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4B" w:rsidRPr="00001B07" w:rsidRDefault="004D4C78" w:rsidP="007D0C4B">
      <w:pPr>
        <w:pStyle w:val="Default"/>
        <w:jc w:val="center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Тема.</w:t>
      </w:r>
      <w:bookmarkStart w:id="0" w:name="_GoBack"/>
      <w:bookmarkEnd w:id="0"/>
      <w:r w:rsidR="007D0C4B" w:rsidRPr="00001B07">
        <w:rPr>
          <w:b/>
          <w:bCs/>
          <w:sz w:val="26"/>
          <w:szCs w:val="26"/>
          <w:lang w:val="uk-UA"/>
        </w:rPr>
        <w:t xml:space="preserve"> Нормування та оцінювання стану ґрунтів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i/>
          <w:iCs/>
          <w:sz w:val="26"/>
          <w:szCs w:val="26"/>
          <w:lang w:val="uk-UA"/>
        </w:rPr>
        <w:t xml:space="preserve">Зміст теми: 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12.1 Нормування стану ґрунтів. 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12.2 Принцип контролю забруднення ґрунтів. 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12.3. Оцінювання стану ґрунтів. 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12.3.1 Оцінювання небезпеки забруднення ґрунту хімічними речовинами. 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12.4 Санітарні та біологічні показники оцінювання стану ґрунтів. 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12.5 Класифікація ґрунтів за впливом хімічних забруднюючих речовин. 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12.6 Гігієнічне оцінювання ґрунтів населених пунктів. 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i/>
          <w:iCs/>
          <w:sz w:val="26"/>
          <w:szCs w:val="26"/>
          <w:lang w:val="uk-UA"/>
        </w:rPr>
        <w:t xml:space="preserve">Ключові терміни: </w:t>
      </w:r>
      <w:r w:rsidRPr="00001B07">
        <w:rPr>
          <w:sz w:val="26"/>
          <w:szCs w:val="26"/>
          <w:lang w:val="uk-UA"/>
        </w:rPr>
        <w:t xml:space="preserve">забруднення, показники, нормування, оцінювання, гранично допустима концентрація, фонова концентрація. </w:t>
      </w:r>
    </w:p>
    <w:p w:rsidR="007D0C4B" w:rsidRPr="00001B07" w:rsidRDefault="007D0C4B" w:rsidP="007D0C4B">
      <w:pPr>
        <w:pStyle w:val="Default"/>
        <w:jc w:val="center"/>
        <w:rPr>
          <w:sz w:val="26"/>
          <w:szCs w:val="26"/>
          <w:lang w:val="uk-UA"/>
        </w:rPr>
      </w:pPr>
      <w:r w:rsidRPr="00001B07">
        <w:rPr>
          <w:b/>
          <w:bCs/>
          <w:sz w:val="26"/>
          <w:szCs w:val="26"/>
          <w:lang w:val="uk-UA"/>
        </w:rPr>
        <w:t>12.1 Нормування стану ґрунтів</w:t>
      </w:r>
    </w:p>
    <w:p w:rsidR="007D0C4B" w:rsidRPr="00001B07" w:rsidRDefault="007D0C4B" w:rsidP="007D0C4B">
      <w:pPr>
        <w:pStyle w:val="Default"/>
        <w:jc w:val="both"/>
        <w:rPr>
          <w:sz w:val="26"/>
          <w:szCs w:val="26"/>
          <w:lang w:val="uk-UA"/>
        </w:rPr>
      </w:pPr>
      <w:proofErr w:type="spellStart"/>
      <w:r w:rsidRPr="00001B07">
        <w:rPr>
          <w:sz w:val="26"/>
          <w:szCs w:val="26"/>
          <w:lang w:val="uk-UA"/>
        </w:rPr>
        <w:t>Існуюючі</w:t>
      </w:r>
      <w:proofErr w:type="spellEnd"/>
      <w:r w:rsidRPr="00001B07">
        <w:rPr>
          <w:sz w:val="26"/>
          <w:szCs w:val="26"/>
          <w:lang w:val="uk-UA"/>
        </w:rPr>
        <w:t xml:space="preserve"> підходи щодо нормування техногенних забруднень у ґрунті, основані на оцінюванні впливу кількості забруднювача на комплекс показників за тими або іншими критеріями. Ґрунт найбільш </w:t>
      </w:r>
      <w:proofErr w:type="spellStart"/>
      <w:r w:rsidRPr="00001B07">
        <w:rPr>
          <w:sz w:val="26"/>
          <w:szCs w:val="26"/>
          <w:lang w:val="uk-UA"/>
        </w:rPr>
        <w:t>інтенсивно</w:t>
      </w:r>
      <w:proofErr w:type="spellEnd"/>
      <w:r w:rsidRPr="00001B07">
        <w:rPr>
          <w:sz w:val="26"/>
          <w:szCs w:val="26"/>
          <w:lang w:val="uk-UA"/>
        </w:rPr>
        <w:t xml:space="preserve"> акумулює забруднення, що надходять на його поверхню й, утримуючи частину з них, віддає інше контактуючим середовищам з різною енергією, що залежить від різноманітних причин. Залежно від властивостей ґрунту й сучасної динаміки ґрунтових процесів, техногенні забруднювачі, що попадають в ґрунт розкладаються, виносяться за межі ґрунтового профілю, втрачають токсичність або, навпаки, накопичуються в доступних формах, перетворюються в більш токсичні сполуки, порушують нормальне функціонування ґрунтової біоти, а отже, і всієї ґрунтової системи. </w:t>
      </w:r>
    </w:p>
    <w:p w:rsidR="007D0C4B" w:rsidRPr="00001B07" w:rsidRDefault="007D0C4B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Тому поряд із вивченням стабільності речовини в різних типах ґрунтів, її впливу на </w:t>
      </w:r>
      <w:proofErr w:type="spellStart"/>
      <w:r w:rsidRPr="00001B07">
        <w:rPr>
          <w:sz w:val="26"/>
          <w:szCs w:val="26"/>
          <w:lang w:val="uk-UA"/>
        </w:rPr>
        <w:t>мікробіоценоз</w:t>
      </w:r>
      <w:proofErr w:type="spellEnd"/>
      <w:r w:rsidRPr="00001B07">
        <w:rPr>
          <w:sz w:val="26"/>
          <w:szCs w:val="26"/>
          <w:lang w:val="uk-UA"/>
        </w:rPr>
        <w:t xml:space="preserve">, умов метаболізму, </w:t>
      </w:r>
      <w:r w:rsidRPr="00001B07">
        <w:rPr>
          <w:color w:val="auto"/>
          <w:sz w:val="26"/>
          <w:szCs w:val="26"/>
          <w:lang w:val="uk-UA"/>
        </w:rPr>
        <w:t xml:space="preserve">необхідно визначити ступінь і умови її міграції в навколишньому середовищі. </w:t>
      </w:r>
    </w:p>
    <w:p w:rsidR="007D0C4B" w:rsidRPr="00001B07" w:rsidRDefault="007D0C4B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При санітарно-гігієнічному нормуванні забруднюючих речовин враховуються показники шкідливості: </w:t>
      </w:r>
      <w:proofErr w:type="spellStart"/>
      <w:r w:rsidRPr="00001B07">
        <w:rPr>
          <w:color w:val="auto"/>
          <w:sz w:val="26"/>
          <w:szCs w:val="26"/>
          <w:lang w:val="uk-UA"/>
        </w:rPr>
        <w:t>транслокаційний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– </w:t>
      </w:r>
      <w:proofErr w:type="spellStart"/>
      <w:r w:rsidRPr="00001B07">
        <w:rPr>
          <w:color w:val="auto"/>
          <w:sz w:val="26"/>
          <w:szCs w:val="26"/>
          <w:lang w:val="uk-UA"/>
        </w:rPr>
        <w:t>лімітуючий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перехід нормованої забруднюючої речовини в рослину; міграційний водний – </w:t>
      </w:r>
      <w:proofErr w:type="spellStart"/>
      <w:r w:rsidRPr="00001B07">
        <w:rPr>
          <w:color w:val="auto"/>
          <w:sz w:val="26"/>
          <w:szCs w:val="26"/>
          <w:lang w:val="uk-UA"/>
        </w:rPr>
        <w:t>лімітуючий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перехід нормованої забруднюючої речовини у водне середовище; міграційний повітряний – </w:t>
      </w:r>
      <w:proofErr w:type="spellStart"/>
      <w:r w:rsidRPr="00001B07">
        <w:rPr>
          <w:color w:val="auto"/>
          <w:sz w:val="26"/>
          <w:szCs w:val="26"/>
          <w:lang w:val="uk-UA"/>
        </w:rPr>
        <w:t>лімітуючий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перехід нормованої забруднюючої речовини в повітря; загальний санітарний – визначає здатність ґрунту до самоочищення. </w:t>
      </w:r>
    </w:p>
    <w:p w:rsidR="007D0C4B" w:rsidRPr="00001B07" w:rsidRDefault="007D0C4B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У всіх випадках експериментального розроблення гранично допустимих концентрацій (ГДК) у ґрунті забруднювачів </w:t>
      </w:r>
      <w:proofErr w:type="spellStart"/>
      <w:r w:rsidRPr="00001B07">
        <w:rPr>
          <w:color w:val="auto"/>
          <w:sz w:val="26"/>
          <w:szCs w:val="26"/>
          <w:lang w:val="uk-UA"/>
        </w:rPr>
        <w:t>лімітуючим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показником була </w:t>
      </w:r>
      <w:proofErr w:type="spellStart"/>
      <w:r w:rsidRPr="00001B07">
        <w:rPr>
          <w:color w:val="auto"/>
          <w:sz w:val="26"/>
          <w:szCs w:val="26"/>
          <w:lang w:val="uk-UA"/>
        </w:rPr>
        <w:t>транслокація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(перехід) речовини з ґрунту у рослини. </w:t>
      </w:r>
    </w:p>
    <w:p w:rsidR="007D0C4B" w:rsidRPr="00001B07" w:rsidRDefault="007D0C4B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Якщо для певної речовини не встановлено ГДК, то для нормування використовують значення фонових концентрацій цієї речовини. </w:t>
      </w:r>
    </w:p>
    <w:p w:rsidR="007D0C4B" w:rsidRPr="00001B07" w:rsidRDefault="007D0C4B" w:rsidP="007D0C4B">
      <w:pPr>
        <w:pStyle w:val="Default"/>
        <w:jc w:val="center"/>
        <w:rPr>
          <w:color w:val="auto"/>
          <w:sz w:val="26"/>
          <w:szCs w:val="26"/>
          <w:lang w:val="uk-UA"/>
        </w:rPr>
      </w:pPr>
      <w:r w:rsidRPr="00001B07">
        <w:rPr>
          <w:b/>
          <w:bCs/>
          <w:color w:val="auto"/>
          <w:sz w:val="26"/>
          <w:szCs w:val="26"/>
          <w:lang w:val="uk-UA"/>
        </w:rPr>
        <w:t>12.2 Принцип контролю забруднення ґрунтів</w:t>
      </w:r>
    </w:p>
    <w:p w:rsidR="007D0C4B" w:rsidRPr="00001B07" w:rsidRDefault="007D0C4B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Принцип контролю забруднення ґрунтів – перевірка відповідності концентрацій забруднюючих речовин установленими нормами і вимогами у вигляді ГДК або фонових концентрацій. </w:t>
      </w:r>
    </w:p>
    <w:p w:rsidR="007D0C4B" w:rsidRPr="00001B07" w:rsidRDefault="007D0C4B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При контролі забруднення ґрунтів хімічні речовини відповідно до ГОСТ 17.4.2.01–83 «Охорона природи. Ґрунти. Класифікація хімічних речовин для контролю забруднень» за ступенем небезпеки поділяють на три класи: </w:t>
      </w:r>
    </w:p>
    <w:p w:rsidR="007D0C4B" w:rsidRPr="00001B07" w:rsidRDefault="007D0C4B" w:rsidP="007D0C4B">
      <w:pPr>
        <w:pStyle w:val="Default"/>
        <w:spacing w:after="45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 1 клас – високо небезпечні; </w:t>
      </w:r>
    </w:p>
    <w:p w:rsidR="007D0C4B" w:rsidRPr="00001B07" w:rsidRDefault="007D0C4B" w:rsidP="007D0C4B">
      <w:pPr>
        <w:pStyle w:val="Default"/>
        <w:spacing w:after="45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 2 клас – </w:t>
      </w:r>
      <w:proofErr w:type="spellStart"/>
      <w:r w:rsidRPr="00001B07">
        <w:rPr>
          <w:color w:val="auto"/>
          <w:sz w:val="26"/>
          <w:szCs w:val="26"/>
          <w:lang w:val="uk-UA"/>
        </w:rPr>
        <w:t>помірно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небезпечні; </w:t>
      </w:r>
    </w:p>
    <w:p w:rsidR="007D0C4B" w:rsidRPr="00001B07" w:rsidRDefault="007D0C4B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 3 клас – мало небезпечні. </w:t>
      </w:r>
    </w:p>
    <w:p w:rsidR="007D0C4B" w:rsidRPr="00001B07" w:rsidRDefault="007D0C4B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>Показники, за якими встановлюють клас небезпеки речовин наведені в табл. 12.1.</w:t>
      </w:r>
    </w:p>
    <w:p w:rsidR="00001B07" w:rsidRDefault="00001B07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</w:p>
    <w:p w:rsidR="007D0C4B" w:rsidRPr="00001B07" w:rsidRDefault="007D0C4B" w:rsidP="007D0C4B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lastRenderedPageBreak/>
        <w:t>Таблиця 12.1 – Критерії класів небезпечності хімічних речовин у ґрунтах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2384"/>
        <w:gridCol w:w="2385"/>
        <w:gridCol w:w="2385"/>
      </w:tblGrid>
      <w:tr w:rsidR="007D0C4B" w:rsidRPr="00001B07" w:rsidTr="007D0C4B">
        <w:tc>
          <w:tcPr>
            <w:tcW w:w="2417" w:type="dxa"/>
            <w:vMerge w:val="restart"/>
          </w:tcPr>
          <w:p w:rsidR="007D0C4B" w:rsidRPr="009556B5" w:rsidRDefault="007D0C4B" w:rsidP="007D0C4B">
            <w:pPr>
              <w:pStyle w:val="Default"/>
              <w:jc w:val="both"/>
              <w:rPr>
                <w:color w:val="auto"/>
                <w:lang w:val="uk-UA"/>
              </w:rPr>
            </w:pPr>
            <w:r w:rsidRPr="009556B5">
              <w:rPr>
                <w:lang w:val="uk-UA"/>
              </w:rPr>
              <w:t>Показник</w:t>
            </w:r>
          </w:p>
        </w:tc>
        <w:tc>
          <w:tcPr>
            <w:tcW w:w="7154" w:type="dxa"/>
            <w:gridSpan w:val="3"/>
          </w:tcPr>
          <w:p w:rsidR="007D0C4B" w:rsidRPr="009556B5" w:rsidRDefault="007D0C4B" w:rsidP="007D0C4B">
            <w:pPr>
              <w:pStyle w:val="Default"/>
              <w:jc w:val="both"/>
              <w:rPr>
                <w:color w:val="auto"/>
                <w:lang w:val="uk-UA"/>
              </w:rPr>
            </w:pPr>
            <w:r w:rsidRPr="009556B5">
              <w:rPr>
                <w:lang w:val="uk-UA"/>
              </w:rPr>
              <w:t>Норма для класів небезпеки</w:t>
            </w:r>
          </w:p>
        </w:tc>
      </w:tr>
      <w:tr w:rsidR="007D0C4B" w:rsidRPr="00001B07" w:rsidTr="007D0C4B">
        <w:tc>
          <w:tcPr>
            <w:tcW w:w="2417" w:type="dxa"/>
            <w:vMerge/>
          </w:tcPr>
          <w:p w:rsidR="007D0C4B" w:rsidRPr="009556B5" w:rsidRDefault="007D0C4B" w:rsidP="007D0C4B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2384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1 клас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2 клас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3 клас </w:t>
            </w:r>
          </w:p>
        </w:tc>
      </w:tr>
      <w:tr w:rsidR="007D0C4B" w:rsidRPr="00001B07" w:rsidTr="007D0C4B">
        <w:tc>
          <w:tcPr>
            <w:tcW w:w="2417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Токсичність, ДЛ50, мг/кг </w:t>
            </w:r>
          </w:p>
        </w:tc>
        <w:tc>
          <w:tcPr>
            <w:tcW w:w="2384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&lt; 200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200–1000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&gt; 1000 </w:t>
            </w:r>
          </w:p>
        </w:tc>
      </w:tr>
      <w:tr w:rsidR="007D0C4B" w:rsidRPr="00001B07" w:rsidTr="007D0C4B">
        <w:tc>
          <w:tcPr>
            <w:tcW w:w="2417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proofErr w:type="spellStart"/>
            <w:r w:rsidRPr="009556B5">
              <w:rPr>
                <w:lang w:val="uk-UA"/>
              </w:rPr>
              <w:t>Персистентність</w:t>
            </w:r>
            <w:proofErr w:type="spellEnd"/>
            <w:r w:rsidRPr="009556B5">
              <w:rPr>
                <w:lang w:val="uk-UA"/>
              </w:rPr>
              <w:t xml:space="preserve"> у ґрунті, міс. </w:t>
            </w:r>
          </w:p>
        </w:tc>
        <w:tc>
          <w:tcPr>
            <w:tcW w:w="2384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&gt; 12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6–12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&lt; 6 </w:t>
            </w:r>
          </w:p>
        </w:tc>
      </w:tr>
      <w:tr w:rsidR="007D0C4B" w:rsidRPr="00001B07" w:rsidTr="007D0C4B">
        <w:tc>
          <w:tcPr>
            <w:tcW w:w="2417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ГДК, мг/кг </w:t>
            </w:r>
          </w:p>
        </w:tc>
        <w:tc>
          <w:tcPr>
            <w:tcW w:w="2384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&lt; 0,2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0,2–0,5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&gt; 0,5 </w:t>
            </w:r>
          </w:p>
        </w:tc>
      </w:tr>
      <w:tr w:rsidR="007D0C4B" w:rsidRPr="00001B07" w:rsidTr="007D0C4B">
        <w:tc>
          <w:tcPr>
            <w:tcW w:w="2417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Міграція </w:t>
            </w:r>
          </w:p>
        </w:tc>
        <w:tc>
          <w:tcPr>
            <w:tcW w:w="2384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Мігрують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Слабо мігрують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Не мігрують </w:t>
            </w:r>
          </w:p>
        </w:tc>
      </w:tr>
      <w:tr w:rsidR="007D0C4B" w:rsidRPr="00001B07" w:rsidTr="007D0C4B">
        <w:tc>
          <w:tcPr>
            <w:tcW w:w="2417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proofErr w:type="spellStart"/>
            <w:r w:rsidRPr="009556B5">
              <w:rPr>
                <w:lang w:val="uk-UA"/>
              </w:rPr>
              <w:t>Персистентність</w:t>
            </w:r>
            <w:proofErr w:type="spellEnd"/>
            <w:r w:rsidRPr="009556B5">
              <w:rPr>
                <w:lang w:val="uk-UA"/>
              </w:rPr>
              <w:t xml:space="preserve"> у рослинах, міс. </w:t>
            </w:r>
          </w:p>
        </w:tc>
        <w:tc>
          <w:tcPr>
            <w:tcW w:w="2384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&gt; 3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1–3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&lt; 1 </w:t>
            </w:r>
          </w:p>
        </w:tc>
      </w:tr>
      <w:tr w:rsidR="007D0C4B" w:rsidRPr="00001B07" w:rsidTr="007D0C4B">
        <w:tc>
          <w:tcPr>
            <w:tcW w:w="2417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Вплив на харчову цінність сільськогосподарської продукції </w:t>
            </w:r>
          </w:p>
        </w:tc>
        <w:tc>
          <w:tcPr>
            <w:tcW w:w="2384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Сильний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Помірний </w:t>
            </w:r>
          </w:p>
        </w:tc>
        <w:tc>
          <w:tcPr>
            <w:tcW w:w="2385" w:type="dxa"/>
          </w:tcPr>
          <w:p w:rsidR="007D0C4B" w:rsidRPr="009556B5" w:rsidRDefault="007D0C4B" w:rsidP="007D0C4B">
            <w:pPr>
              <w:pStyle w:val="Default"/>
              <w:rPr>
                <w:lang w:val="uk-UA"/>
              </w:rPr>
            </w:pPr>
            <w:r w:rsidRPr="009556B5">
              <w:rPr>
                <w:lang w:val="uk-UA"/>
              </w:rPr>
              <w:t xml:space="preserve">Немає </w:t>
            </w:r>
          </w:p>
        </w:tc>
      </w:tr>
    </w:tbl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Зроблено орієнтовний розподіл речовин за класами небезпеки. Так, з пестицидів до 1–го класу віднесені </w:t>
      </w:r>
      <w:proofErr w:type="spellStart"/>
      <w:r w:rsidRPr="00001B07">
        <w:rPr>
          <w:sz w:val="26"/>
          <w:szCs w:val="26"/>
          <w:lang w:val="uk-UA"/>
        </w:rPr>
        <w:t>атразин</w:t>
      </w:r>
      <w:proofErr w:type="spellEnd"/>
      <w:r w:rsidRPr="00001B07">
        <w:rPr>
          <w:sz w:val="26"/>
          <w:szCs w:val="26"/>
          <w:lang w:val="uk-UA"/>
        </w:rPr>
        <w:t xml:space="preserve">, ДДТ, метафос та інше, до 2–го – карбофос, </w:t>
      </w:r>
      <w:proofErr w:type="spellStart"/>
      <w:r w:rsidRPr="00001B07">
        <w:rPr>
          <w:sz w:val="26"/>
          <w:szCs w:val="26"/>
          <w:lang w:val="uk-UA"/>
        </w:rPr>
        <w:t>нітрафен</w:t>
      </w:r>
      <w:proofErr w:type="spellEnd"/>
      <w:r w:rsidRPr="00001B07">
        <w:rPr>
          <w:sz w:val="26"/>
          <w:szCs w:val="26"/>
          <w:lang w:val="uk-UA"/>
        </w:rPr>
        <w:t xml:space="preserve">, хлорофос й інше, до 3–го – </w:t>
      </w:r>
      <w:proofErr w:type="spellStart"/>
      <w:r w:rsidRPr="00001B07">
        <w:rPr>
          <w:sz w:val="26"/>
          <w:szCs w:val="26"/>
          <w:lang w:val="uk-UA"/>
        </w:rPr>
        <w:t>дилор</w:t>
      </w:r>
      <w:proofErr w:type="spellEnd"/>
      <w:r w:rsidRPr="00001B07">
        <w:rPr>
          <w:sz w:val="26"/>
          <w:szCs w:val="26"/>
          <w:lang w:val="uk-UA"/>
        </w:rPr>
        <w:t xml:space="preserve">, </w:t>
      </w:r>
      <w:proofErr w:type="spellStart"/>
      <w:r w:rsidRPr="00001B07">
        <w:rPr>
          <w:sz w:val="26"/>
          <w:szCs w:val="26"/>
          <w:lang w:val="uk-UA"/>
        </w:rPr>
        <w:t>полікарбацин</w:t>
      </w:r>
      <w:proofErr w:type="spellEnd"/>
      <w:r w:rsidRPr="00001B07">
        <w:rPr>
          <w:sz w:val="26"/>
          <w:szCs w:val="26"/>
          <w:lang w:val="uk-UA"/>
        </w:rPr>
        <w:t xml:space="preserve"> та інше. </w:t>
      </w:r>
    </w:p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Із речовин, що потрапляють у ґрунт із викидами, скидами, відходами, до 1–го класу віднесені миш’як, кадмій, ртуть, селен, цинк, фтор, </w:t>
      </w:r>
      <w:proofErr w:type="spellStart"/>
      <w:r w:rsidRPr="00001B07">
        <w:rPr>
          <w:sz w:val="26"/>
          <w:szCs w:val="26"/>
          <w:lang w:val="uk-UA"/>
        </w:rPr>
        <w:t>бенз</w:t>
      </w:r>
      <w:proofErr w:type="spellEnd"/>
      <w:r w:rsidRPr="00001B07">
        <w:rPr>
          <w:sz w:val="26"/>
          <w:szCs w:val="26"/>
          <w:lang w:val="uk-UA"/>
        </w:rPr>
        <w:t>(а)</w:t>
      </w:r>
      <w:proofErr w:type="spellStart"/>
      <w:r w:rsidRPr="00001B07">
        <w:rPr>
          <w:sz w:val="26"/>
          <w:szCs w:val="26"/>
          <w:lang w:val="uk-UA"/>
        </w:rPr>
        <w:t>пірен</w:t>
      </w:r>
      <w:proofErr w:type="spellEnd"/>
      <w:r w:rsidRPr="00001B07">
        <w:rPr>
          <w:sz w:val="26"/>
          <w:szCs w:val="26"/>
          <w:lang w:val="uk-UA"/>
        </w:rPr>
        <w:t xml:space="preserve">; 2–го – бор, кобальт, нікель, молібден, сурма, хром; 3–го – барій, ванадій, вольфрам, марганець, стронцій, </w:t>
      </w:r>
      <w:proofErr w:type="spellStart"/>
      <w:r w:rsidRPr="00001B07">
        <w:rPr>
          <w:sz w:val="26"/>
          <w:szCs w:val="26"/>
          <w:lang w:val="uk-UA"/>
        </w:rPr>
        <w:t>ацетофенон</w:t>
      </w:r>
      <w:proofErr w:type="spellEnd"/>
      <w:r w:rsidRPr="00001B07">
        <w:rPr>
          <w:sz w:val="26"/>
          <w:szCs w:val="26"/>
          <w:lang w:val="uk-UA"/>
        </w:rPr>
        <w:t xml:space="preserve">. </w:t>
      </w:r>
    </w:p>
    <w:p w:rsidR="007D0C4B" w:rsidRPr="00001B07" w:rsidRDefault="007D0C4B" w:rsidP="007D0C4B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>Забруднення ґрунтів, як і інших середовищ, є комбінованим, у зв’язку із чим при хімічному контролі забруднення виникає необхідність виділити пріоритетні забруднювачі речовини, що підлягають контролю у першу чергу. При визначенні пріоритетних забруднюючих речовин ураховують класи небезпеки речовин. У випадку відсутності можливості обліку всього комплексу хімічних речовин, що забруднюють ґрунт, оцінювання здійснюють за найнебезпечнішими речовинами, тобто речовинами, що належать до більш високого класу небезпеки.</w:t>
      </w:r>
    </w:p>
    <w:p w:rsidR="007D0C4B" w:rsidRPr="00001B07" w:rsidRDefault="007D0C4B" w:rsidP="00001B07">
      <w:pPr>
        <w:pStyle w:val="Default"/>
        <w:jc w:val="center"/>
        <w:rPr>
          <w:sz w:val="26"/>
          <w:szCs w:val="26"/>
          <w:lang w:val="uk-UA"/>
        </w:rPr>
      </w:pPr>
      <w:r w:rsidRPr="00001B07">
        <w:rPr>
          <w:b/>
          <w:bCs/>
          <w:sz w:val="26"/>
          <w:szCs w:val="26"/>
          <w:lang w:val="uk-UA"/>
        </w:rPr>
        <w:t>12.3. Оцінювання стану ґрунтів</w:t>
      </w:r>
    </w:p>
    <w:p w:rsidR="007D0C4B" w:rsidRPr="00001B07" w:rsidRDefault="007D0C4B" w:rsidP="00001B07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Оцінювання стану ґрунтів може проводитись залежно від їх змін природно-техногенними процесами та за ступенем забрудненості. </w:t>
      </w:r>
    </w:p>
    <w:p w:rsidR="007D0C4B" w:rsidRPr="00001B07" w:rsidRDefault="007D0C4B" w:rsidP="00001B07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У першому випадку використовуються ґрунтові критерії (табл. 12.2), що відображають погіршення властивості ґрунтів. Ґрунтово-ерозійні критерії пов’язані як з природними екологічними процесами, так і з антропогенною діяльністю людини, що прискорює процес деградації ґрунтового покриву. </w:t>
      </w:r>
    </w:p>
    <w:p w:rsidR="007D0C4B" w:rsidRPr="00001B07" w:rsidRDefault="007D0C4B" w:rsidP="00001B07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Таблиця 12.2 – Оцінювання стану ґрунтів залежно від їх змін природно-техногенними геологічними </w:t>
      </w:r>
      <w:proofErr w:type="spellStart"/>
      <w:r w:rsidRPr="00001B07">
        <w:rPr>
          <w:sz w:val="26"/>
          <w:szCs w:val="26"/>
          <w:lang w:val="uk-UA"/>
        </w:rPr>
        <w:t>процессами</w:t>
      </w:r>
      <w:proofErr w:type="spell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843"/>
        <w:gridCol w:w="1843"/>
      </w:tblGrid>
      <w:tr w:rsidR="007D0C4B" w:rsidRPr="00001B07" w:rsidTr="00001B07">
        <w:tc>
          <w:tcPr>
            <w:tcW w:w="2376" w:type="dxa"/>
            <w:vMerge w:val="restart"/>
          </w:tcPr>
          <w:p w:rsidR="007D0C4B" w:rsidRPr="00001B07" w:rsidRDefault="007D0C4B" w:rsidP="009556B5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7797" w:type="dxa"/>
            <w:gridSpan w:val="4"/>
          </w:tcPr>
          <w:p w:rsidR="007D0C4B" w:rsidRPr="00001B07" w:rsidRDefault="007D0C4B" w:rsidP="00001B07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>Зона екологічного стану</w:t>
            </w:r>
          </w:p>
        </w:tc>
      </w:tr>
      <w:tr w:rsidR="007D0C4B" w:rsidRPr="00001B07" w:rsidTr="00001B07">
        <w:tc>
          <w:tcPr>
            <w:tcW w:w="2376" w:type="dxa"/>
            <w:vMerge/>
          </w:tcPr>
          <w:p w:rsidR="007D0C4B" w:rsidRPr="00001B07" w:rsidRDefault="007D0C4B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D0C4B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>екологіч</w:t>
            </w:r>
            <w:r w:rsidR="007D0C4B" w:rsidRPr="00001B07">
              <w:rPr>
                <w:sz w:val="20"/>
                <w:szCs w:val="20"/>
                <w:lang w:val="uk-UA"/>
              </w:rPr>
              <w:t xml:space="preserve">ної норми </w:t>
            </w:r>
          </w:p>
        </w:tc>
        <w:tc>
          <w:tcPr>
            <w:tcW w:w="2126" w:type="dxa"/>
          </w:tcPr>
          <w:p w:rsidR="007D0C4B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>екологіч</w:t>
            </w:r>
            <w:r w:rsidR="007D0C4B" w:rsidRPr="00001B07">
              <w:rPr>
                <w:sz w:val="20"/>
                <w:szCs w:val="20"/>
                <w:lang w:val="uk-UA"/>
              </w:rPr>
              <w:t xml:space="preserve">ного ризику </w:t>
            </w:r>
          </w:p>
        </w:tc>
        <w:tc>
          <w:tcPr>
            <w:tcW w:w="1843" w:type="dxa"/>
          </w:tcPr>
          <w:p w:rsidR="007D0C4B" w:rsidRPr="00001B07" w:rsidRDefault="007D0C4B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екологічної кризи </w:t>
            </w:r>
          </w:p>
        </w:tc>
        <w:tc>
          <w:tcPr>
            <w:tcW w:w="1843" w:type="dxa"/>
          </w:tcPr>
          <w:p w:rsidR="007D0C4B" w:rsidRPr="00001B07" w:rsidRDefault="007D0C4B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екологічного лиха </w:t>
            </w:r>
          </w:p>
        </w:tc>
      </w:tr>
      <w:tr w:rsidR="00E05B38" w:rsidRPr="00001B07" w:rsidTr="00001B07">
        <w:tc>
          <w:tcPr>
            <w:tcW w:w="237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Вміст гумусу, % від початкового </w:t>
            </w:r>
          </w:p>
        </w:tc>
        <w:tc>
          <w:tcPr>
            <w:tcW w:w="1985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&gt; 90 </w:t>
            </w:r>
          </w:p>
        </w:tc>
        <w:tc>
          <w:tcPr>
            <w:tcW w:w="212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90–70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70–30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&lt; 30 </w:t>
            </w:r>
          </w:p>
        </w:tc>
      </w:tr>
      <w:tr w:rsidR="00E05B38" w:rsidRPr="00001B07" w:rsidTr="00001B07">
        <w:tc>
          <w:tcPr>
            <w:tcW w:w="237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Площа вторинно засолених ґрунтів, % </w:t>
            </w:r>
          </w:p>
        </w:tc>
        <w:tc>
          <w:tcPr>
            <w:tcW w:w="1985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&lt; 5 </w:t>
            </w:r>
          </w:p>
        </w:tc>
        <w:tc>
          <w:tcPr>
            <w:tcW w:w="212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5–20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20–50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&gt; 50 </w:t>
            </w:r>
          </w:p>
        </w:tc>
      </w:tr>
      <w:tr w:rsidR="00E05B38" w:rsidRPr="00001B07" w:rsidTr="00001B07">
        <w:tc>
          <w:tcPr>
            <w:tcW w:w="237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Глибина </w:t>
            </w:r>
            <w:proofErr w:type="spellStart"/>
            <w:r w:rsidRPr="00001B07">
              <w:rPr>
                <w:sz w:val="20"/>
                <w:szCs w:val="20"/>
                <w:lang w:val="uk-UA"/>
              </w:rPr>
              <w:t>змитості</w:t>
            </w:r>
            <w:proofErr w:type="spellEnd"/>
            <w:r w:rsidRPr="00001B07">
              <w:rPr>
                <w:sz w:val="20"/>
                <w:szCs w:val="20"/>
                <w:lang w:val="uk-UA"/>
              </w:rPr>
              <w:t xml:space="preserve"> ґрунтових горизонтів, % ґрунтового профілю </w:t>
            </w:r>
          </w:p>
        </w:tc>
        <w:tc>
          <w:tcPr>
            <w:tcW w:w="1985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&lt; 10 </w:t>
            </w:r>
          </w:p>
        </w:tc>
        <w:tc>
          <w:tcPr>
            <w:tcW w:w="212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10–30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30–50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&gt; 50 </w:t>
            </w:r>
          </w:p>
        </w:tc>
      </w:tr>
      <w:tr w:rsidR="00E05B38" w:rsidRPr="00001B07" w:rsidTr="00001B07">
        <w:tc>
          <w:tcPr>
            <w:tcW w:w="237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Площа підґрунтових порід, % від загальної площі </w:t>
            </w:r>
          </w:p>
        </w:tc>
        <w:tc>
          <w:tcPr>
            <w:tcW w:w="1985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&lt; 5 </w:t>
            </w:r>
          </w:p>
        </w:tc>
        <w:tc>
          <w:tcPr>
            <w:tcW w:w="212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5–10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10–25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&gt; 25 </w:t>
            </w:r>
          </w:p>
        </w:tc>
      </w:tr>
      <w:tr w:rsidR="00E05B38" w:rsidRPr="00001B07" w:rsidTr="00001B07">
        <w:tc>
          <w:tcPr>
            <w:tcW w:w="237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Площа повітряної ерозії,% </w:t>
            </w:r>
          </w:p>
        </w:tc>
        <w:tc>
          <w:tcPr>
            <w:tcW w:w="1985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&lt; 5 </w:t>
            </w:r>
          </w:p>
        </w:tc>
        <w:tc>
          <w:tcPr>
            <w:tcW w:w="2126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10–20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20–40 </w:t>
            </w:r>
          </w:p>
        </w:tc>
        <w:tc>
          <w:tcPr>
            <w:tcW w:w="1843" w:type="dxa"/>
          </w:tcPr>
          <w:p w:rsidR="00E05B38" w:rsidRPr="00001B07" w:rsidRDefault="00E05B38" w:rsidP="00001B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01B07">
              <w:rPr>
                <w:sz w:val="20"/>
                <w:szCs w:val="20"/>
                <w:lang w:val="uk-UA"/>
              </w:rPr>
              <w:t xml:space="preserve">&gt; 40 </w:t>
            </w:r>
          </w:p>
        </w:tc>
      </w:tr>
    </w:tbl>
    <w:p w:rsidR="007D0C4B" w:rsidRPr="00001B07" w:rsidRDefault="007D0C4B" w:rsidP="007D0C4B">
      <w:pPr>
        <w:pStyle w:val="Default"/>
        <w:rPr>
          <w:sz w:val="26"/>
          <w:szCs w:val="26"/>
          <w:lang w:val="uk-UA"/>
        </w:rPr>
      </w:pPr>
    </w:p>
    <w:p w:rsidR="00E05B38" w:rsidRPr="00001B07" w:rsidRDefault="00E05B38" w:rsidP="009556B5">
      <w:pPr>
        <w:pStyle w:val="Default"/>
        <w:jc w:val="center"/>
        <w:rPr>
          <w:sz w:val="26"/>
          <w:szCs w:val="26"/>
          <w:lang w:val="uk-UA"/>
        </w:rPr>
      </w:pPr>
      <w:r w:rsidRPr="00001B07">
        <w:rPr>
          <w:b/>
          <w:bCs/>
          <w:sz w:val="26"/>
          <w:szCs w:val="26"/>
          <w:lang w:val="uk-UA"/>
        </w:rPr>
        <w:t>12.3.1 Оцінювання небезпеки забруднення ґрунту хімічними речовинами</w:t>
      </w:r>
    </w:p>
    <w:p w:rsidR="00E05B38" w:rsidRPr="00001B07" w:rsidRDefault="00E05B38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У цілому, під час оцінювання небезпеки забруднення ґрунту хімічними речовинами враховують такі положення: </w:t>
      </w:r>
    </w:p>
    <w:p w:rsidR="00E05B38" w:rsidRPr="00001B07" w:rsidRDefault="00E05B38" w:rsidP="009556B5">
      <w:pPr>
        <w:pStyle w:val="Default"/>
        <w:spacing w:after="13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1) небезпека забруднення тим вища, чим більший фактичний рівень вмісту (С) контрольованих у ґрунті речовин перевищує ГДК , тобто чим більше значення коефіцієнта небезпеки К0 = С/ГДК перевищує 1; </w:t>
      </w:r>
    </w:p>
    <w:p w:rsidR="00E05B38" w:rsidRPr="00001B07" w:rsidRDefault="00E05B38" w:rsidP="009556B5">
      <w:pPr>
        <w:pStyle w:val="Default"/>
        <w:spacing w:after="13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2) небезпека забруднення тим вища, чим вищий клас небезпеки контрольованих речовин; </w:t>
      </w:r>
    </w:p>
    <w:p w:rsidR="00E05B38" w:rsidRPr="00001B07" w:rsidRDefault="00E05B38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3) оцінювання небезпеки забруднення будь-яким токсикантом повинна проводитися з урахуванням </w:t>
      </w:r>
      <w:proofErr w:type="spellStart"/>
      <w:r w:rsidRPr="00001B07">
        <w:rPr>
          <w:sz w:val="26"/>
          <w:szCs w:val="26"/>
          <w:lang w:val="uk-UA"/>
        </w:rPr>
        <w:t>буферності</w:t>
      </w:r>
      <w:proofErr w:type="spellEnd"/>
      <w:r w:rsidRPr="00001B07">
        <w:rPr>
          <w:sz w:val="26"/>
          <w:szCs w:val="26"/>
          <w:lang w:val="uk-UA"/>
        </w:rPr>
        <w:t xml:space="preserve"> ґрунту, що впливає на рухливість хімічних елементів, що визначає їхній вплив на контактуючі середовища. </w:t>
      </w:r>
    </w:p>
    <w:p w:rsidR="00E05B38" w:rsidRPr="00001B07" w:rsidRDefault="00E05B38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Під </w:t>
      </w:r>
      <w:proofErr w:type="spellStart"/>
      <w:r w:rsidRPr="00001B07">
        <w:rPr>
          <w:sz w:val="26"/>
          <w:szCs w:val="26"/>
          <w:lang w:val="uk-UA"/>
        </w:rPr>
        <w:t>буферністю</w:t>
      </w:r>
      <w:proofErr w:type="spellEnd"/>
      <w:r w:rsidRPr="00001B07">
        <w:rPr>
          <w:sz w:val="26"/>
          <w:szCs w:val="26"/>
          <w:lang w:val="uk-UA"/>
        </w:rPr>
        <w:t xml:space="preserve"> ґрунту розуміють сукупність властивостей ґрунту, що визначають його бар’єру функцію, яка обумовлює рівні вторинного забруднення хімічними речовинами контактуючих із ґрунтом середовищ – рослинності, поверхневих і підземних вод, атмосферного повітря. Основними компонентами, що створюють </w:t>
      </w:r>
      <w:proofErr w:type="spellStart"/>
      <w:r w:rsidRPr="00001B07">
        <w:rPr>
          <w:sz w:val="26"/>
          <w:szCs w:val="26"/>
          <w:lang w:val="uk-UA"/>
        </w:rPr>
        <w:t>буферність</w:t>
      </w:r>
      <w:proofErr w:type="spellEnd"/>
      <w:r w:rsidRPr="00001B07">
        <w:rPr>
          <w:sz w:val="26"/>
          <w:szCs w:val="26"/>
          <w:lang w:val="uk-UA"/>
        </w:rPr>
        <w:t xml:space="preserve">, є: тонко дисперсні мінеральні частки, що визначають її механічний склад; органічна речовина (гумус) і реакція середовища – </w:t>
      </w:r>
      <w:proofErr w:type="spellStart"/>
      <w:r w:rsidRPr="00001B07">
        <w:rPr>
          <w:sz w:val="26"/>
          <w:szCs w:val="26"/>
          <w:lang w:val="uk-UA"/>
        </w:rPr>
        <w:t>рН</w:t>
      </w:r>
      <w:proofErr w:type="spellEnd"/>
      <w:r w:rsidRPr="00001B07">
        <w:rPr>
          <w:sz w:val="26"/>
          <w:szCs w:val="26"/>
          <w:lang w:val="uk-UA"/>
        </w:rPr>
        <w:t xml:space="preserve">. Небезпека забруднення тим більша при тому самому значенні К0 (коефіцієнта небезпеки), чим менше значення </w:t>
      </w:r>
      <w:proofErr w:type="spellStart"/>
      <w:r w:rsidRPr="00001B07">
        <w:rPr>
          <w:sz w:val="26"/>
          <w:szCs w:val="26"/>
          <w:lang w:val="uk-UA"/>
        </w:rPr>
        <w:t>рН</w:t>
      </w:r>
      <w:proofErr w:type="spellEnd"/>
      <w:r w:rsidRPr="00001B07">
        <w:rPr>
          <w:sz w:val="26"/>
          <w:szCs w:val="26"/>
          <w:lang w:val="uk-UA"/>
        </w:rPr>
        <w:t xml:space="preserve"> (чим кисліший ґрунт), тим менше вміст у ньому гумусу, чим легший його механічний склад. Наприклад, можна розташувати ґрунти в порядку зростання небезпеки забруднення: чорноземи – суглинок – дерновий – підзолистий ґрунт – супіщаний – дерново – підзолистий. </w:t>
      </w:r>
    </w:p>
    <w:p w:rsidR="00E05B38" w:rsidRPr="00001B07" w:rsidRDefault="00E05B38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Систему контролю забруднення ґрунтів на основі гігієнічної регламентації (ГДК) не можна визначити досконалою. Зустрічаються певні труднощі в інтерпретації й об’єктивному оцінюванні забруднення ґрунту комплексом токсичних або інших речовин, для яких не розроблені нормативи ГДК. У цих випадках рівень хімічного забруднення порівнюють із фоновим. </w:t>
      </w:r>
    </w:p>
    <w:p w:rsidR="00E05B38" w:rsidRPr="00001B07" w:rsidRDefault="00E05B38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Серед усіх забруднювачів ґрунту потрібно більше уваги приділяти тим речовинам, які відіграють велику роль у забрудненні біосфери, мають високу стабільність, рухливість, розчинність, тому головне значення має не валова кількість хімічних речовин у ґрунті (важких металів), а форми </w:t>
      </w:r>
      <w:proofErr w:type="spellStart"/>
      <w:r w:rsidRPr="00001B07">
        <w:rPr>
          <w:sz w:val="26"/>
          <w:szCs w:val="26"/>
          <w:lang w:val="uk-UA"/>
        </w:rPr>
        <w:t>сполук</w:t>
      </w:r>
      <w:proofErr w:type="spellEnd"/>
      <w:r w:rsidRPr="00001B07">
        <w:rPr>
          <w:sz w:val="26"/>
          <w:szCs w:val="26"/>
          <w:lang w:val="uk-UA"/>
        </w:rPr>
        <w:t xml:space="preserve">, які існують у даному середовищі. Найбільш рухливими є хімічні елементи: хлор, бром, фтор, бром, натрій, кальцій, магній, барій. </w:t>
      </w:r>
    </w:p>
    <w:p w:rsidR="00E05B38" w:rsidRPr="00001B07" w:rsidRDefault="00E05B38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Найбільш важливим у сучасних умовах сільськогосподарського виробництва є оцінювання </w:t>
      </w:r>
      <w:proofErr w:type="spellStart"/>
      <w:r w:rsidRPr="00001B07">
        <w:rPr>
          <w:sz w:val="26"/>
          <w:szCs w:val="26"/>
          <w:lang w:val="uk-UA"/>
        </w:rPr>
        <w:t>пестицидного</w:t>
      </w:r>
      <w:proofErr w:type="spellEnd"/>
      <w:r w:rsidRPr="00001B07">
        <w:rPr>
          <w:sz w:val="26"/>
          <w:szCs w:val="26"/>
          <w:lang w:val="uk-UA"/>
        </w:rPr>
        <w:t xml:space="preserve"> забруднення ґрунтів. Прояв токсичних ефектів пестицидів та інших хімічних речовин у ґрунті й процеси їх накопичення залежать від ряду факторів: об’ємів і строків внесення, властивостей пестициду (токсичності, стійкості, здатності до кумуляції, сорбції), механічного складу й структури ґрунту, наявності органічних речовин, </w:t>
      </w:r>
      <w:proofErr w:type="spellStart"/>
      <w:r w:rsidRPr="00001B07">
        <w:rPr>
          <w:sz w:val="26"/>
          <w:szCs w:val="26"/>
          <w:lang w:val="uk-UA"/>
        </w:rPr>
        <w:t>рН</w:t>
      </w:r>
      <w:proofErr w:type="spellEnd"/>
      <w:r w:rsidRPr="00001B07">
        <w:rPr>
          <w:sz w:val="26"/>
          <w:szCs w:val="26"/>
          <w:lang w:val="uk-UA"/>
        </w:rPr>
        <w:t xml:space="preserve">, вологості та інше. </w:t>
      </w:r>
    </w:p>
    <w:p w:rsidR="00E05B38" w:rsidRPr="00001B07" w:rsidRDefault="00E05B38" w:rsidP="009556B5">
      <w:pPr>
        <w:pStyle w:val="Default"/>
        <w:jc w:val="center"/>
        <w:rPr>
          <w:sz w:val="26"/>
          <w:szCs w:val="26"/>
          <w:lang w:val="uk-UA"/>
        </w:rPr>
      </w:pPr>
      <w:r w:rsidRPr="00001B07">
        <w:rPr>
          <w:b/>
          <w:bCs/>
          <w:sz w:val="26"/>
          <w:szCs w:val="26"/>
          <w:lang w:val="uk-UA"/>
        </w:rPr>
        <w:t>12.4 Санітарні та біологічні показники оцінювання стану ґрунтів</w:t>
      </w:r>
    </w:p>
    <w:p w:rsidR="00E05B38" w:rsidRPr="00001B07" w:rsidRDefault="00E05B38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Під санітарним станом розуміють сукупність фізико – хімічних і біологічних властивостей ґрунту, що визначають її безпеку в епідеміологічному та гігієнічному відношеннях (ГОСТ 17.4.2.01–81). У перелік контрольованих показників входять санітарно – бактеріологічні, санітарно – гельмінтологічні й санітарно – ентомологічні показники. До них належать такі: </w:t>
      </w:r>
    </w:p>
    <w:p w:rsidR="00E05B38" w:rsidRPr="00001B07" w:rsidRDefault="00E05B38" w:rsidP="009556B5">
      <w:pPr>
        <w:pStyle w:val="Default"/>
        <w:spacing w:after="47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 санітарне число (відношення азоту білкового до загального органічного азоту); </w:t>
      </w:r>
    </w:p>
    <w:p w:rsidR="00E05B38" w:rsidRPr="00001B07" w:rsidRDefault="00E05B38" w:rsidP="009556B5">
      <w:pPr>
        <w:pStyle w:val="Default"/>
        <w:spacing w:after="47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 показники концентрацій амонійного та нітратного азоту, хлоридів;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lastRenderedPageBreak/>
        <w:t xml:space="preserve"> залишкової кількості пестицидів та інших речовин (важких металів, нафти й нафтопродуктів, фенолів, сірчистих </w:t>
      </w:r>
      <w:proofErr w:type="spellStart"/>
      <w:r w:rsidRPr="00001B07">
        <w:rPr>
          <w:sz w:val="26"/>
          <w:szCs w:val="26"/>
          <w:lang w:val="uk-UA"/>
        </w:rPr>
        <w:t>сполук</w:t>
      </w:r>
      <w:proofErr w:type="spellEnd"/>
      <w:r w:rsidRPr="00001B07">
        <w:rPr>
          <w:sz w:val="26"/>
          <w:szCs w:val="26"/>
          <w:lang w:val="uk-UA"/>
        </w:rPr>
        <w:t xml:space="preserve">), канцерогенів, радіоактивних речовин, </w:t>
      </w:r>
      <w:proofErr w:type="spellStart"/>
      <w:r w:rsidRPr="00001B07">
        <w:rPr>
          <w:sz w:val="26"/>
          <w:szCs w:val="26"/>
          <w:lang w:val="uk-UA"/>
        </w:rPr>
        <w:t>макро</w:t>
      </w:r>
      <w:proofErr w:type="spellEnd"/>
      <w:r w:rsidRPr="00001B07">
        <w:rPr>
          <w:sz w:val="26"/>
          <w:szCs w:val="26"/>
          <w:lang w:val="uk-UA"/>
        </w:rPr>
        <w:t xml:space="preserve"> – і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мікродобрив, термофільних бактерій, бактерій групи кишкової палички, патогенних мікроорганізмів, яєць і личинок гельмінтів і мух. </w:t>
      </w:r>
    </w:p>
    <w:p w:rsidR="00E05B38" w:rsidRPr="00001B07" w:rsidRDefault="00E05B38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Перелік показників для різних видів землекористування (населених пунктів, </w:t>
      </w:r>
      <w:r w:rsidRPr="00001B07">
        <w:rPr>
          <w:sz w:val="26"/>
          <w:szCs w:val="26"/>
          <w:lang w:val="uk-UA"/>
        </w:rPr>
        <w:t xml:space="preserve">курортів і зон відпочинку, зон джерел водопостачання, територій підприємств, сільськогосподарських угідь, лісів) відрізняється. У чистих ґрунтах організми, які характеризують санітарно-бактеріологічні показники, відсутні; їх присутність указує на специфічне органічне, фекальне й інші види забруднень. </w:t>
      </w:r>
    </w:p>
    <w:p w:rsidR="00001B07" w:rsidRPr="00001B07" w:rsidRDefault="00E05B38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Біологічні показники характеризують здатність ґрунту до самоочищення, що визначається насамперед активністю ґрунтової мікрофлори та ґрунтових тварин, фізико – хімічними умовами та властивостями ґрунту. Антропогенний впливи (внесення добрив, обробка пестицидами, режим меліорації й осушення), а також фактори навколишнього середовища (температура, опади, топографія території) впливають на активність ґрунтової мікрофлори та фауни. В екологічних дослідженнях ґрунтів використовують різні біологічні показники: «подих», показники целюлозо розкладаючої активності, активність ферментів (фосфатази, </w:t>
      </w:r>
      <w:proofErr w:type="spellStart"/>
      <w:r w:rsidRPr="00001B07">
        <w:rPr>
          <w:sz w:val="26"/>
          <w:szCs w:val="26"/>
          <w:lang w:val="uk-UA"/>
        </w:rPr>
        <w:t>дегідрогенази</w:t>
      </w:r>
      <w:proofErr w:type="spellEnd"/>
      <w:r w:rsidRPr="00001B07">
        <w:rPr>
          <w:sz w:val="26"/>
          <w:szCs w:val="26"/>
          <w:lang w:val="uk-UA"/>
        </w:rPr>
        <w:t xml:space="preserve">), кількість грибів, дріжджів та інше. Як правило, застосовують кілька показників, тому що їхня чутливість до різних забруднюючих речовин істотно розрізняється. Ознакою біологічної деградації в результаті токсичного впливу є зниження рівня активності мікробної маси. Як комплексний показник забруднення ґрунту використовують показник фіто токсичності. Це тестовий інтегральний показник, який визначають за властивостями забрудненого ґрунту придушувати проростання насіння, ріст і розвиток, вищих рослин. Зниження числа проростків насіння порівняно з контролем при </w:t>
      </w:r>
      <w:proofErr w:type="spellStart"/>
      <w:r w:rsidRPr="00001B07">
        <w:rPr>
          <w:sz w:val="26"/>
          <w:szCs w:val="26"/>
          <w:lang w:val="uk-UA"/>
        </w:rPr>
        <w:t>біотестуванні</w:t>
      </w:r>
      <w:proofErr w:type="spellEnd"/>
      <w:r w:rsidRPr="00001B07">
        <w:rPr>
          <w:sz w:val="26"/>
          <w:szCs w:val="26"/>
          <w:lang w:val="uk-UA"/>
        </w:rPr>
        <w:t xml:space="preserve"> вважають показником наявно</w:t>
      </w:r>
      <w:r w:rsidR="00001B07" w:rsidRPr="00001B07">
        <w:rPr>
          <w:sz w:val="26"/>
          <w:szCs w:val="26"/>
          <w:lang w:val="uk-UA"/>
        </w:rPr>
        <w:t xml:space="preserve">сті </w:t>
      </w:r>
      <w:proofErr w:type="spellStart"/>
      <w:r w:rsidR="00001B07" w:rsidRPr="00001B07">
        <w:rPr>
          <w:sz w:val="26"/>
          <w:szCs w:val="26"/>
          <w:lang w:val="uk-UA"/>
        </w:rPr>
        <w:t>фітотоксичності</w:t>
      </w:r>
      <w:proofErr w:type="spellEnd"/>
      <w:r w:rsidR="00001B07" w:rsidRPr="00001B07">
        <w:rPr>
          <w:sz w:val="26"/>
          <w:szCs w:val="26"/>
          <w:lang w:val="uk-UA"/>
        </w:rPr>
        <w:t xml:space="preserve"> ґрунту. </w:t>
      </w:r>
    </w:p>
    <w:p w:rsidR="00E05B38" w:rsidRPr="00001B07" w:rsidRDefault="00E05B38" w:rsidP="00001B07">
      <w:pPr>
        <w:pStyle w:val="Default"/>
        <w:jc w:val="center"/>
        <w:rPr>
          <w:color w:val="auto"/>
          <w:sz w:val="26"/>
          <w:szCs w:val="26"/>
          <w:lang w:val="uk-UA"/>
        </w:rPr>
      </w:pPr>
      <w:r w:rsidRPr="00001B07">
        <w:rPr>
          <w:b/>
          <w:bCs/>
          <w:color w:val="auto"/>
          <w:sz w:val="26"/>
          <w:szCs w:val="26"/>
          <w:lang w:val="uk-UA"/>
        </w:rPr>
        <w:t>12.5 Класифікація ґрунтів за впливом хімічних забруднюючих речовин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За ступенем забруднення відповідно до </w:t>
      </w:r>
      <w:proofErr w:type="spellStart"/>
      <w:r w:rsidRPr="00001B07">
        <w:rPr>
          <w:color w:val="auto"/>
          <w:sz w:val="26"/>
          <w:szCs w:val="26"/>
          <w:lang w:val="uk-UA"/>
        </w:rPr>
        <w:t>ГОСТу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17.4.3.06–86 «Охорона природи. Ґрунти. Загальні вимоги й класифікація ґрунтів за впливом на них хімічних забруднюючих речовин» ґрунти поділяють на: </w:t>
      </w:r>
    </w:p>
    <w:p w:rsidR="00E05B38" w:rsidRPr="00001B07" w:rsidRDefault="00E05B38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1) сильно забруднені; </w:t>
      </w:r>
    </w:p>
    <w:p w:rsidR="00E05B38" w:rsidRPr="00001B07" w:rsidRDefault="00E05B38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2) середньо забруднені;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3) слабко забруднені.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Якщо ґрунт містить забруднюючі речовини в кількостях, які у кілька разів перевищує ГДК, має низьку біологічну продуктивність і сильно змінені фізико – механічні, хімічні і біологічні характеристики, у результаті чого вміст хімічних речовин у вирощуваних культурах перевищує встановлені нормативи, ґрунт відносять до </w:t>
      </w:r>
      <w:r w:rsidRPr="00001B07">
        <w:rPr>
          <w:b/>
          <w:bCs/>
          <w:color w:val="auto"/>
          <w:sz w:val="26"/>
          <w:szCs w:val="26"/>
          <w:lang w:val="uk-UA"/>
        </w:rPr>
        <w:t>сильно забруднених</w:t>
      </w:r>
      <w:r w:rsidRPr="00001B07">
        <w:rPr>
          <w:color w:val="auto"/>
          <w:sz w:val="26"/>
          <w:szCs w:val="26"/>
          <w:lang w:val="uk-UA"/>
        </w:rPr>
        <w:t xml:space="preserve">. Якщо перевищення ГДК у ґрунті є, але не викликає помітних змін її властивостей, ґрунт відносять до </w:t>
      </w:r>
      <w:r w:rsidRPr="00001B07">
        <w:rPr>
          <w:b/>
          <w:bCs/>
          <w:color w:val="auto"/>
          <w:sz w:val="26"/>
          <w:szCs w:val="26"/>
          <w:lang w:val="uk-UA"/>
        </w:rPr>
        <w:t>середньо забрудненого</w:t>
      </w:r>
      <w:r w:rsidRPr="00001B07">
        <w:rPr>
          <w:color w:val="auto"/>
          <w:sz w:val="26"/>
          <w:szCs w:val="26"/>
          <w:lang w:val="uk-UA"/>
        </w:rPr>
        <w:t xml:space="preserve">. Якщо вміст хімічних речовин не перевищує ГДК, але вище природного фону, ґрунт уважають </w:t>
      </w:r>
      <w:r w:rsidRPr="00001B07">
        <w:rPr>
          <w:b/>
          <w:bCs/>
          <w:color w:val="auto"/>
          <w:sz w:val="26"/>
          <w:szCs w:val="26"/>
          <w:lang w:val="uk-UA"/>
        </w:rPr>
        <w:t xml:space="preserve">слабко забрудненим.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Ранжування приводять за ГДК хімічних речовин у ґрунтах або їх фоновим вмістом (якщо ГДК не розроблено), а також за іншими показниками. Розраховують кілька показників.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Коефіцієнт концентрації забруднюючої речовини: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proofErr w:type="spellStart"/>
      <w:r w:rsidRPr="00001B07">
        <w:rPr>
          <w:color w:val="auto"/>
          <w:sz w:val="26"/>
          <w:szCs w:val="26"/>
          <w:lang w:val="uk-UA"/>
        </w:rPr>
        <w:t>Кс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= Сі/</w:t>
      </w:r>
      <w:proofErr w:type="spellStart"/>
      <w:r w:rsidRPr="00001B07">
        <w:rPr>
          <w:color w:val="auto"/>
          <w:sz w:val="26"/>
          <w:szCs w:val="26"/>
          <w:lang w:val="uk-UA"/>
        </w:rPr>
        <w:t>Сф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,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де </w:t>
      </w:r>
      <w:proofErr w:type="spellStart"/>
      <w:r w:rsidRPr="00001B07">
        <w:rPr>
          <w:color w:val="auto"/>
          <w:sz w:val="26"/>
          <w:szCs w:val="26"/>
          <w:lang w:val="uk-UA"/>
        </w:rPr>
        <w:t>Кс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– коефіцієнт концентрації хімічної речовини;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Сі – фактичний вміст хімічної речовини в ґрунті;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proofErr w:type="spellStart"/>
      <w:r w:rsidRPr="00001B07">
        <w:rPr>
          <w:color w:val="auto"/>
          <w:sz w:val="26"/>
          <w:szCs w:val="26"/>
          <w:lang w:val="uk-UA"/>
        </w:rPr>
        <w:lastRenderedPageBreak/>
        <w:t>Сф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– середня фонова концентрація хімічної речовини у розглянутому районі.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Замість фонової концентрації можна використовувати величину ГДК, у цьому випадку визначається коефіцієнт техногенного геохімічного навантаження </w:t>
      </w:r>
    </w:p>
    <w:p w:rsidR="00001B07" w:rsidRPr="00001B07" w:rsidRDefault="00E05B38" w:rsidP="009556B5">
      <w:pPr>
        <w:pStyle w:val="Default"/>
        <w:jc w:val="center"/>
        <w:rPr>
          <w:color w:val="auto"/>
          <w:sz w:val="26"/>
          <w:szCs w:val="26"/>
          <w:lang w:val="uk-UA"/>
        </w:rPr>
      </w:pPr>
      <w:proofErr w:type="spellStart"/>
      <w:r w:rsidRPr="00001B07">
        <w:rPr>
          <w:color w:val="auto"/>
          <w:sz w:val="26"/>
          <w:szCs w:val="26"/>
          <w:lang w:val="uk-UA"/>
        </w:rPr>
        <w:t>Кі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= Сі</w:t>
      </w:r>
      <w:r w:rsidR="00001B07" w:rsidRPr="00001B07">
        <w:rPr>
          <w:color w:val="auto"/>
          <w:sz w:val="26"/>
          <w:szCs w:val="26"/>
          <w:lang w:val="uk-UA"/>
        </w:rPr>
        <w:t>/ГДК;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Інтегральний показник </w:t>
      </w:r>
      <w:proofErr w:type="spellStart"/>
      <w:r w:rsidRPr="00001B07">
        <w:rPr>
          <w:color w:val="auto"/>
          <w:sz w:val="26"/>
          <w:szCs w:val="26"/>
          <w:lang w:val="uk-UA"/>
        </w:rPr>
        <w:t>поелементного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забруднення ґрунту </w:t>
      </w:r>
    </w:p>
    <w:p w:rsidR="009556B5" w:rsidRDefault="009556B5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де Ксі – інтегральний показник </w:t>
      </w:r>
      <w:proofErr w:type="spellStart"/>
      <w:r w:rsidRPr="00001B07">
        <w:rPr>
          <w:color w:val="auto"/>
          <w:sz w:val="26"/>
          <w:szCs w:val="26"/>
          <w:lang w:val="uk-UA"/>
        </w:rPr>
        <w:t>поелементного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забруднення ґрунту;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Сі – концентрації забруднюючих речовин, що контролюється;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proofErr w:type="spellStart"/>
      <w:r w:rsidRPr="00001B07">
        <w:rPr>
          <w:color w:val="auto"/>
          <w:sz w:val="26"/>
          <w:szCs w:val="26"/>
          <w:lang w:val="uk-UA"/>
        </w:rPr>
        <w:t>Сфі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– фоновий вміст забруднюючих речовин;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Коефіцієнт зворотної реакції ґрунтів на динаміку забруднення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proofErr w:type="spellStart"/>
      <w:r w:rsidRPr="00001B07">
        <w:rPr>
          <w:color w:val="auto"/>
          <w:sz w:val="26"/>
          <w:szCs w:val="26"/>
          <w:lang w:val="uk-UA"/>
        </w:rPr>
        <w:t>Кр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= (А–</w:t>
      </w:r>
      <w:proofErr w:type="spellStart"/>
      <w:r w:rsidRPr="00001B07">
        <w:rPr>
          <w:color w:val="auto"/>
          <w:sz w:val="26"/>
          <w:szCs w:val="26"/>
          <w:lang w:val="uk-UA"/>
        </w:rPr>
        <w:t>Аф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)/ </w:t>
      </w:r>
      <w:proofErr w:type="spellStart"/>
      <w:r w:rsidRPr="00001B07">
        <w:rPr>
          <w:color w:val="auto"/>
          <w:sz w:val="26"/>
          <w:szCs w:val="26"/>
          <w:lang w:val="uk-UA"/>
        </w:rPr>
        <w:t>Аф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де А і </w:t>
      </w:r>
      <w:proofErr w:type="spellStart"/>
      <w:r w:rsidRPr="00001B07">
        <w:rPr>
          <w:color w:val="auto"/>
          <w:sz w:val="26"/>
          <w:szCs w:val="26"/>
          <w:lang w:val="uk-UA"/>
        </w:rPr>
        <w:t>Аф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– параметри, які контролюється в забрудненій і фоновій пробах.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За ступенем стійкості до хімічних забруднюючих речовин виділяють три ранги стійкості ґрунтів: </w:t>
      </w:r>
    </w:p>
    <w:p w:rsidR="00E05B38" w:rsidRPr="00001B07" w:rsidRDefault="00E05B38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1) дуже стійкі; </w:t>
      </w:r>
    </w:p>
    <w:p w:rsidR="00E05B38" w:rsidRPr="00001B07" w:rsidRDefault="00E05B38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2) середньо стійкі;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3) малостійкі.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</w:p>
    <w:p w:rsidR="00001B07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Визначено основні показники, якими характеризується ступінь стійкості ґрунту до хімічних речовин. Стійкість характеризується такими показниками: гумусовим станом ґрунту, кислотно–основними властивостями, біологічною активністю, окислювально-відновними властивостями, </w:t>
      </w:r>
      <w:proofErr w:type="spellStart"/>
      <w:r w:rsidRPr="00001B07">
        <w:rPr>
          <w:color w:val="auto"/>
          <w:sz w:val="26"/>
          <w:szCs w:val="26"/>
          <w:lang w:val="uk-UA"/>
        </w:rPr>
        <w:t>катіонно</w:t>
      </w:r>
      <w:proofErr w:type="spellEnd"/>
      <w:r w:rsidRPr="00001B07">
        <w:rPr>
          <w:color w:val="auto"/>
          <w:sz w:val="26"/>
          <w:szCs w:val="26"/>
          <w:lang w:val="uk-UA"/>
        </w:rPr>
        <w:t>–</w:t>
      </w:r>
      <w:proofErr w:type="spellStart"/>
      <w:r w:rsidRPr="00001B07">
        <w:rPr>
          <w:color w:val="auto"/>
          <w:sz w:val="26"/>
          <w:szCs w:val="26"/>
          <w:lang w:val="uk-UA"/>
        </w:rPr>
        <w:t>обміними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властивостями, рівнем ґрунтових вод, частиною речовин у розчинній формі. Короткочасну зміну властивостей ґрунтів діагностують за динамікою вологості, за </w:t>
      </w:r>
      <w:proofErr w:type="spellStart"/>
      <w:r w:rsidRPr="00001B07">
        <w:rPr>
          <w:color w:val="auto"/>
          <w:sz w:val="26"/>
          <w:szCs w:val="26"/>
          <w:lang w:val="uk-UA"/>
        </w:rPr>
        <w:t>рН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, складом ґрунтових розчинів, подихом ґрунтів, вмістом доступних рослинам живильних речовин. Показники довгострокових змін – за 5–10 років і більше: вміст гумусу, відношення вуглецю гумінових кислот до вуглецю </w:t>
      </w:r>
      <w:proofErr w:type="spellStart"/>
      <w:r w:rsidRPr="00001B07">
        <w:rPr>
          <w:color w:val="auto"/>
          <w:sz w:val="26"/>
          <w:szCs w:val="26"/>
          <w:lang w:val="uk-UA"/>
        </w:rPr>
        <w:t>фульвокислот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, ерозійні втрати ґрунту, структурний стан, склад обмінних катіонів, загальна лужність, кислотність, вміст солей. </w:t>
      </w:r>
    </w:p>
    <w:p w:rsidR="00E05B38" w:rsidRPr="00001B07" w:rsidRDefault="00E05B38" w:rsidP="009556B5">
      <w:pPr>
        <w:pStyle w:val="Default"/>
        <w:jc w:val="center"/>
        <w:rPr>
          <w:color w:val="auto"/>
          <w:sz w:val="26"/>
          <w:szCs w:val="26"/>
          <w:lang w:val="uk-UA"/>
        </w:rPr>
      </w:pPr>
      <w:r w:rsidRPr="00001B07">
        <w:rPr>
          <w:b/>
          <w:bCs/>
          <w:color w:val="auto"/>
          <w:sz w:val="26"/>
          <w:szCs w:val="26"/>
          <w:lang w:val="uk-UA"/>
        </w:rPr>
        <w:t>12.6 Гігієнічне оцінювання ґрунтів населених пунктів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Оцінювання небезпеки забруднення ґрунту населених пунктів визначається: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– епідеміологічною значущістю забрудненого хімічними речовинами ґрунту;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– роллю забрудненого ґрунту як джерела вторинного забруднення приземного шару атмосферного повітря і при її безпосередньому контакті з людиною;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– значущістю ступеня забруднення ґрунту як індикатора забруднення атмосферного повітря.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Необхідність урахування епідеміологічної небезпеки ґрунту населених пунктів обумовлена тим, що зі збільшенням хімічного навантаження зростає епідемічна небезпека ґрунту. У забрудненому ґрунті на фоні зменшення представників ґрунтових </w:t>
      </w:r>
      <w:proofErr w:type="spellStart"/>
      <w:r w:rsidRPr="00001B07">
        <w:rPr>
          <w:color w:val="auto"/>
          <w:sz w:val="26"/>
          <w:szCs w:val="26"/>
          <w:lang w:val="uk-UA"/>
        </w:rPr>
        <w:t>мікробіоценозів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(антагоністів патогенної кишкової мікрофлори) і зниження її біологічної активності відзначається збільшення позитивних знахідок патогенних </w:t>
      </w:r>
      <w:proofErr w:type="spellStart"/>
      <w:r w:rsidRPr="00001B07">
        <w:rPr>
          <w:color w:val="auto"/>
          <w:sz w:val="26"/>
          <w:szCs w:val="26"/>
          <w:lang w:val="uk-UA"/>
        </w:rPr>
        <w:t>ентеробактерій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і геогельмінтів, що були більш стійкі до хімічного забруднення ґрунту, чим представники природних ґрунтових </w:t>
      </w:r>
      <w:proofErr w:type="spellStart"/>
      <w:r w:rsidRPr="00001B07">
        <w:rPr>
          <w:color w:val="auto"/>
          <w:sz w:val="26"/>
          <w:szCs w:val="26"/>
          <w:lang w:val="uk-UA"/>
        </w:rPr>
        <w:t>мікробіоценозів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. Оцінювання рівня епідемічної небезпеки ґрунту населених пунктів проводиться за схемою, розробленої на основі імовірнісного перебування патогенних </w:t>
      </w:r>
      <w:proofErr w:type="spellStart"/>
      <w:r w:rsidRPr="00001B07">
        <w:rPr>
          <w:color w:val="auto"/>
          <w:sz w:val="26"/>
          <w:szCs w:val="26"/>
          <w:lang w:val="uk-UA"/>
        </w:rPr>
        <w:t>ентеробактерій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і </w:t>
      </w:r>
      <w:proofErr w:type="spellStart"/>
      <w:r w:rsidRPr="00001B07">
        <w:rPr>
          <w:color w:val="auto"/>
          <w:sz w:val="26"/>
          <w:szCs w:val="26"/>
          <w:lang w:val="uk-UA"/>
        </w:rPr>
        <w:t>ентеровірусів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. Критерієм епідемічної безпеки є відсутність патогенних агентів у досліджуваному об'єкті (табл. 12.3).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Оцінювання небезпеки забруднення ґрунту на основі ГДК мають ряд недоліків: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lastRenderedPageBreak/>
        <w:t xml:space="preserve">1) не враховуються ефекти накопичення забруднюючої речовини у результаті переходу з одного середовища в інше, при переміщенні по трофічному ланцюгу, а також процеси трансформації при міграції;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2) санітарно-гігієнічні норми застосовуються у разі, коли вторинні природні процеси не є визначальними, що обмежує можливості їх використання;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3) підходи орієнтовані на </w:t>
      </w:r>
      <w:proofErr w:type="spellStart"/>
      <w:r w:rsidRPr="00001B07">
        <w:rPr>
          <w:color w:val="auto"/>
          <w:sz w:val="26"/>
          <w:szCs w:val="26"/>
          <w:lang w:val="uk-UA"/>
        </w:rPr>
        <w:t>напівлетальні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дози, а потім граничні концентрації; залежності доза – час – ефект, на підставі яких розробляються ГДК, близькі між собою в діапазоні високих доз та істотно розрізняються в діапазоні низьких доз;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4) ГДК встановлюються в експерименті переважно на пацюках і мишах, які найбільш стійкі до токсикантів, а тому можливість екстраполяції їх на організм людини дуже сумнівна. </w:t>
      </w:r>
    </w:p>
    <w:p w:rsidR="00E05B38" w:rsidRPr="00001B07" w:rsidRDefault="00E05B38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Оцінювання рівня хімічного забруднення ґрунтів як індикатора несприятливого впливу на здоров'я населення проводиться за показниками, розроблених при сумісних геохімічних і геогігієнічних дослідженнях навколишнього середовища міст. </w:t>
      </w:r>
    </w:p>
    <w:p w:rsidR="009556B5" w:rsidRDefault="009556B5" w:rsidP="00E05B38">
      <w:pPr>
        <w:pStyle w:val="Default"/>
        <w:rPr>
          <w:color w:val="auto"/>
          <w:sz w:val="26"/>
          <w:szCs w:val="26"/>
          <w:lang w:val="uk-UA"/>
        </w:rPr>
      </w:pPr>
    </w:p>
    <w:p w:rsidR="00E05B38" w:rsidRDefault="00E05B38" w:rsidP="00E05B38">
      <w:pPr>
        <w:pStyle w:val="Default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>Таблиця 12.3 – Оцінювання епідемічної небезпеки ґрунтів населених пунктів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1479"/>
        <w:gridCol w:w="1327"/>
        <w:gridCol w:w="1325"/>
        <w:gridCol w:w="1338"/>
        <w:gridCol w:w="1322"/>
        <w:gridCol w:w="1329"/>
      </w:tblGrid>
      <w:tr w:rsidR="00E05B38" w:rsidRPr="00001B07" w:rsidTr="00E05B38">
        <w:tc>
          <w:tcPr>
            <w:tcW w:w="1451" w:type="dxa"/>
            <w:vMerge w:val="restart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Категорія забруднення </w:t>
            </w:r>
          </w:p>
        </w:tc>
        <w:tc>
          <w:tcPr>
            <w:tcW w:w="1479" w:type="dxa"/>
            <w:vMerge w:val="restart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Об’єкт </w:t>
            </w:r>
          </w:p>
        </w:tc>
        <w:tc>
          <w:tcPr>
            <w:tcW w:w="6641" w:type="dxa"/>
            <w:gridSpan w:val="5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Показник забруднення (клітини/г. ґрунту) </w:t>
            </w:r>
          </w:p>
        </w:tc>
      </w:tr>
      <w:tr w:rsidR="00E05B38" w:rsidRPr="00001B07" w:rsidTr="00E05B38">
        <w:tc>
          <w:tcPr>
            <w:tcW w:w="1451" w:type="dxa"/>
            <w:vMerge/>
          </w:tcPr>
          <w:p w:rsidR="00E05B38" w:rsidRPr="009556B5" w:rsidRDefault="00E05B38" w:rsidP="009556B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vMerge/>
          </w:tcPr>
          <w:p w:rsidR="00E05B38" w:rsidRPr="009556B5" w:rsidRDefault="00E05B38" w:rsidP="009556B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кишкові палички </w:t>
            </w:r>
          </w:p>
        </w:tc>
        <w:tc>
          <w:tcPr>
            <w:tcW w:w="1325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556B5">
              <w:rPr>
                <w:sz w:val="20"/>
                <w:szCs w:val="20"/>
                <w:lang w:val="uk-UA"/>
              </w:rPr>
              <w:t>ентеро</w:t>
            </w:r>
            <w:proofErr w:type="spellEnd"/>
            <w:r w:rsidRPr="009556B5">
              <w:rPr>
                <w:sz w:val="20"/>
                <w:szCs w:val="20"/>
                <w:lang w:val="uk-UA"/>
              </w:rPr>
              <w:t>–</w:t>
            </w:r>
            <w:proofErr w:type="spellStart"/>
            <w:r w:rsidRPr="009556B5">
              <w:rPr>
                <w:sz w:val="20"/>
                <w:szCs w:val="20"/>
                <w:lang w:val="uk-UA"/>
              </w:rPr>
              <w:t>кокки</w:t>
            </w:r>
            <w:proofErr w:type="spellEnd"/>
            <w:r w:rsidRPr="009556B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38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патогенні </w:t>
            </w:r>
            <w:proofErr w:type="spellStart"/>
            <w:r w:rsidRPr="009556B5">
              <w:rPr>
                <w:sz w:val="20"/>
                <w:szCs w:val="20"/>
                <w:lang w:val="uk-UA"/>
              </w:rPr>
              <w:t>ентеро</w:t>
            </w:r>
            <w:proofErr w:type="spellEnd"/>
            <w:r w:rsidRPr="009556B5">
              <w:rPr>
                <w:sz w:val="20"/>
                <w:szCs w:val="20"/>
                <w:lang w:val="uk-UA"/>
              </w:rPr>
              <w:t xml:space="preserve">-бактерії </w:t>
            </w:r>
          </w:p>
        </w:tc>
        <w:tc>
          <w:tcPr>
            <w:tcW w:w="1322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556B5">
              <w:rPr>
                <w:sz w:val="20"/>
                <w:szCs w:val="20"/>
                <w:lang w:val="uk-UA"/>
              </w:rPr>
              <w:t>ентеро</w:t>
            </w:r>
            <w:proofErr w:type="spellEnd"/>
            <w:r w:rsidRPr="009556B5">
              <w:rPr>
                <w:sz w:val="20"/>
                <w:szCs w:val="20"/>
                <w:lang w:val="uk-UA"/>
              </w:rPr>
              <w:t xml:space="preserve">-віруси </w:t>
            </w:r>
          </w:p>
        </w:tc>
        <w:tc>
          <w:tcPr>
            <w:tcW w:w="1329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556B5">
              <w:rPr>
                <w:sz w:val="20"/>
                <w:szCs w:val="20"/>
                <w:lang w:val="uk-UA"/>
              </w:rPr>
              <w:t>гельмін</w:t>
            </w:r>
            <w:proofErr w:type="spellEnd"/>
            <w:r w:rsidRPr="009556B5">
              <w:rPr>
                <w:sz w:val="20"/>
                <w:szCs w:val="20"/>
                <w:lang w:val="uk-UA"/>
              </w:rPr>
              <w:t xml:space="preserve">-ти </w:t>
            </w:r>
          </w:p>
        </w:tc>
      </w:tr>
      <w:tr w:rsidR="00E05B38" w:rsidRPr="00001B07" w:rsidTr="00E05B38">
        <w:tc>
          <w:tcPr>
            <w:tcW w:w="1451" w:type="dxa"/>
          </w:tcPr>
          <w:p w:rsidR="00E05B38" w:rsidRPr="009556B5" w:rsidRDefault="00E05B38" w:rsidP="009556B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>Чиста</w:t>
            </w:r>
          </w:p>
        </w:tc>
        <w:tc>
          <w:tcPr>
            <w:tcW w:w="1479" w:type="dxa"/>
            <w:vMerge w:val="restart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Зони підвищеного ризику: дитячі садки, ігрові майданчики, зони санітарної охорони водойм </w:t>
            </w:r>
          </w:p>
        </w:tc>
        <w:tc>
          <w:tcPr>
            <w:tcW w:w="1327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1 – 9 </w:t>
            </w:r>
          </w:p>
        </w:tc>
        <w:tc>
          <w:tcPr>
            <w:tcW w:w="1325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1 – 9 </w:t>
            </w:r>
          </w:p>
        </w:tc>
        <w:tc>
          <w:tcPr>
            <w:tcW w:w="1338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– </w:t>
            </w:r>
          </w:p>
        </w:tc>
        <w:tc>
          <w:tcPr>
            <w:tcW w:w="1322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– </w:t>
            </w:r>
          </w:p>
        </w:tc>
        <w:tc>
          <w:tcPr>
            <w:tcW w:w="1329" w:type="dxa"/>
          </w:tcPr>
          <w:p w:rsidR="00E05B38" w:rsidRPr="009556B5" w:rsidRDefault="00E05B38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– </w:t>
            </w:r>
          </w:p>
        </w:tc>
      </w:tr>
      <w:tr w:rsidR="00001B07" w:rsidRPr="00001B07" w:rsidTr="00E05B38">
        <w:tc>
          <w:tcPr>
            <w:tcW w:w="1451" w:type="dxa"/>
          </w:tcPr>
          <w:p w:rsidR="00001B07" w:rsidRPr="009556B5" w:rsidRDefault="00001B07" w:rsidP="009556B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9556B5">
              <w:rPr>
                <w:sz w:val="20"/>
                <w:szCs w:val="20"/>
                <w:lang w:val="uk-UA"/>
              </w:rPr>
              <w:t>Забрудне</w:t>
            </w:r>
            <w:proofErr w:type="spellEnd"/>
            <w:r w:rsidRPr="009556B5">
              <w:rPr>
                <w:sz w:val="20"/>
                <w:szCs w:val="20"/>
                <w:lang w:val="uk-UA"/>
              </w:rPr>
              <w:t>-на</w:t>
            </w:r>
          </w:p>
        </w:tc>
        <w:tc>
          <w:tcPr>
            <w:tcW w:w="1479" w:type="dxa"/>
            <w:vMerge/>
          </w:tcPr>
          <w:p w:rsidR="00001B07" w:rsidRPr="009556B5" w:rsidRDefault="00001B07" w:rsidP="009556B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10 і вище </w:t>
            </w:r>
          </w:p>
        </w:tc>
        <w:tc>
          <w:tcPr>
            <w:tcW w:w="1325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10 і вище </w:t>
            </w:r>
          </w:p>
        </w:tc>
        <w:tc>
          <w:tcPr>
            <w:tcW w:w="1338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+ </w:t>
            </w:r>
          </w:p>
        </w:tc>
        <w:tc>
          <w:tcPr>
            <w:tcW w:w="1322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+ </w:t>
            </w:r>
          </w:p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_ </w:t>
            </w:r>
          </w:p>
        </w:tc>
        <w:tc>
          <w:tcPr>
            <w:tcW w:w="1329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+ </w:t>
            </w:r>
          </w:p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_ </w:t>
            </w:r>
          </w:p>
        </w:tc>
      </w:tr>
      <w:tr w:rsidR="00001B07" w:rsidRPr="00001B07" w:rsidTr="00E05B38">
        <w:tc>
          <w:tcPr>
            <w:tcW w:w="1451" w:type="dxa"/>
          </w:tcPr>
          <w:p w:rsidR="00001B07" w:rsidRPr="009556B5" w:rsidRDefault="00001B07" w:rsidP="009556B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>Чиста</w:t>
            </w:r>
          </w:p>
        </w:tc>
        <w:tc>
          <w:tcPr>
            <w:tcW w:w="1479" w:type="dxa"/>
            <w:vMerge w:val="restart"/>
          </w:tcPr>
          <w:p w:rsidR="00001B07" w:rsidRPr="009556B5" w:rsidRDefault="00001B07" w:rsidP="009556B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>Санітарно-захисні зони</w:t>
            </w:r>
          </w:p>
        </w:tc>
        <w:tc>
          <w:tcPr>
            <w:tcW w:w="1327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1 – 99 </w:t>
            </w:r>
          </w:p>
        </w:tc>
        <w:tc>
          <w:tcPr>
            <w:tcW w:w="1325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1 – 99 </w:t>
            </w:r>
          </w:p>
        </w:tc>
        <w:tc>
          <w:tcPr>
            <w:tcW w:w="1338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_ </w:t>
            </w:r>
          </w:p>
        </w:tc>
        <w:tc>
          <w:tcPr>
            <w:tcW w:w="1322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_ </w:t>
            </w:r>
          </w:p>
        </w:tc>
        <w:tc>
          <w:tcPr>
            <w:tcW w:w="1329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_ </w:t>
            </w:r>
          </w:p>
        </w:tc>
      </w:tr>
      <w:tr w:rsidR="00001B07" w:rsidRPr="00001B07" w:rsidTr="00E05B38">
        <w:tc>
          <w:tcPr>
            <w:tcW w:w="1451" w:type="dxa"/>
          </w:tcPr>
          <w:p w:rsidR="00001B07" w:rsidRPr="009556B5" w:rsidRDefault="00001B07" w:rsidP="009556B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9556B5">
              <w:rPr>
                <w:sz w:val="20"/>
                <w:szCs w:val="20"/>
                <w:lang w:val="uk-UA"/>
              </w:rPr>
              <w:t>Забрудне</w:t>
            </w:r>
            <w:proofErr w:type="spellEnd"/>
            <w:r w:rsidRPr="009556B5">
              <w:rPr>
                <w:sz w:val="20"/>
                <w:szCs w:val="20"/>
                <w:lang w:val="uk-UA"/>
              </w:rPr>
              <w:t>-на</w:t>
            </w:r>
          </w:p>
        </w:tc>
        <w:tc>
          <w:tcPr>
            <w:tcW w:w="1479" w:type="dxa"/>
            <w:vMerge/>
          </w:tcPr>
          <w:p w:rsidR="00001B07" w:rsidRPr="009556B5" w:rsidRDefault="00001B07" w:rsidP="009556B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100 і вище </w:t>
            </w:r>
          </w:p>
        </w:tc>
        <w:tc>
          <w:tcPr>
            <w:tcW w:w="1325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100 і вище </w:t>
            </w:r>
          </w:p>
        </w:tc>
        <w:tc>
          <w:tcPr>
            <w:tcW w:w="1338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+ </w:t>
            </w:r>
          </w:p>
        </w:tc>
        <w:tc>
          <w:tcPr>
            <w:tcW w:w="1322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+ </w:t>
            </w:r>
          </w:p>
        </w:tc>
        <w:tc>
          <w:tcPr>
            <w:tcW w:w="1329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+ </w:t>
            </w:r>
          </w:p>
        </w:tc>
      </w:tr>
    </w:tbl>
    <w:p w:rsidR="00A11A88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У випадку </w:t>
      </w:r>
      <w:proofErr w:type="spellStart"/>
      <w:r w:rsidRPr="00001B07">
        <w:rPr>
          <w:sz w:val="26"/>
          <w:szCs w:val="26"/>
          <w:lang w:val="uk-UA"/>
        </w:rPr>
        <w:t>полікомпонентної</w:t>
      </w:r>
      <w:proofErr w:type="spellEnd"/>
      <w:r w:rsidRPr="00001B07">
        <w:rPr>
          <w:sz w:val="26"/>
          <w:szCs w:val="26"/>
          <w:lang w:val="uk-UA"/>
        </w:rPr>
        <w:t xml:space="preserve"> техногенної аномалії розраховується сумарний показник забруднення за формулою </w:t>
      </w:r>
    </w:p>
    <w:p w:rsidR="00A11A88" w:rsidRDefault="00A11A88" w:rsidP="009556B5">
      <w:pPr>
        <w:pStyle w:val="Default"/>
        <w:jc w:val="both"/>
        <w:rPr>
          <w:sz w:val="26"/>
          <w:szCs w:val="26"/>
          <w:lang w:val="uk-UA"/>
        </w:rPr>
      </w:pP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де n – число компонентів, які враховуються. 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Оцінювання небезпеки забруднення ґрунту комплексом металів за </w:t>
      </w:r>
      <w:proofErr w:type="spellStart"/>
      <w:r w:rsidRPr="00001B07">
        <w:rPr>
          <w:sz w:val="26"/>
          <w:szCs w:val="26"/>
          <w:lang w:val="uk-UA"/>
        </w:rPr>
        <w:t>Zc</w:t>
      </w:r>
      <w:proofErr w:type="spellEnd"/>
      <w:r w:rsidRPr="00001B07">
        <w:rPr>
          <w:sz w:val="26"/>
          <w:szCs w:val="26"/>
          <w:lang w:val="uk-UA"/>
        </w:rPr>
        <w:t xml:space="preserve"> проводиться за оціночною шкалою (табл. 12.4). Градації оціночної шкали розроблені на основі вивчення показників стану здоров'я населення, що проживає на територіях з різним рівнем забруднення ґрунтів. </w:t>
      </w:r>
    </w:p>
    <w:p w:rsidR="00E05B38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>Таблиця 12.4 – Орієнтована шкала оцінювання небезпеки забруднення ґрунтів за сумарним показником забруднення (Z)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5528"/>
      </w:tblGrid>
      <w:tr w:rsidR="00001B07" w:rsidRPr="00001B07" w:rsidTr="009556B5">
        <w:tc>
          <w:tcPr>
            <w:tcW w:w="2235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Категорія забруднення ґрунтів R </w:t>
            </w:r>
          </w:p>
        </w:tc>
        <w:tc>
          <w:tcPr>
            <w:tcW w:w="1984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Величина </w:t>
            </w:r>
          </w:p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( Z ) </w:t>
            </w:r>
          </w:p>
        </w:tc>
        <w:tc>
          <w:tcPr>
            <w:tcW w:w="5528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Зміни показників здоров'я населення у вогнищах забруднення </w:t>
            </w:r>
          </w:p>
        </w:tc>
      </w:tr>
      <w:tr w:rsidR="00001B07" w:rsidRPr="00001B07" w:rsidTr="009556B5">
        <w:tc>
          <w:tcPr>
            <w:tcW w:w="2235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Припустима </w:t>
            </w:r>
          </w:p>
        </w:tc>
        <w:tc>
          <w:tcPr>
            <w:tcW w:w="1984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Менше 16 </w:t>
            </w:r>
          </w:p>
        </w:tc>
        <w:tc>
          <w:tcPr>
            <w:tcW w:w="5528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Найбільш низький рівень захворюваності дітей і мінімальна частота функціональних відхилень </w:t>
            </w:r>
          </w:p>
        </w:tc>
      </w:tr>
      <w:tr w:rsidR="00001B07" w:rsidRPr="00001B07" w:rsidTr="009556B5">
        <w:tc>
          <w:tcPr>
            <w:tcW w:w="2235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556B5">
              <w:rPr>
                <w:sz w:val="20"/>
                <w:szCs w:val="20"/>
                <w:lang w:val="uk-UA"/>
              </w:rPr>
              <w:t>Помірно</w:t>
            </w:r>
            <w:proofErr w:type="spellEnd"/>
            <w:r w:rsidRPr="009556B5">
              <w:rPr>
                <w:sz w:val="20"/>
                <w:szCs w:val="20"/>
                <w:lang w:val="uk-UA"/>
              </w:rPr>
              <w:t xml:space="preserve"> небезпечна </w:t>
            </w:r>
          </w:p>
        </w:tc>
        <w:tc>
          <w:tcPr>
            <w:tcW w:w="1984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16–32 </w:t>
            </w:r>
          </w:p>
        </w:tc>
        <w:tc>
          <w:tcPr>
            <w:tcW w:w="5528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Збільшення загальної захворюваності </w:t>
            </w:r>
          </w:p>
        </w:tc>
      </w:tr>
      <w:tr w:rsidR="00001B07" w:rsidRPr="00001B07" w:rsidTr="009556B5">
        <w:tc>
          <w:tcPr>
            <w:tcW w:w="2235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Небезпечна </w:t>
            </w:r>
          </w:p>
        </w:tc>
        <w:tc>
          <w:tcPr>
            <w:tcW w:w="1984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32–132 </w:t>
            </w:r>
          </w:p>
        </w:tc>
        <w:tc>
          <w:tcPr>
            <w:tcW w:w="5528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Збільшення загальної захворюваності, числа дітей, які часто хворіють, дітей із хронічними захворюваннями, порушеннями функціонального стану серцево-судинної системи </w:t>
            </w:r>
          </w:p>
        </w:tc>
      </w:tr>
      <w:tr w:rsidR="00001B07" w:rsidRPr="00001B07" w:rsidTr="009556B5">
        <w:tc>
          <w:tcPr>
            <w:tcW w:w="2235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Надзвичайно небезпечна </w:t>
            </w:r>
          </w:p>
        </w:tc>
        <w:tc>
          <w:tcPr>
            <w:tcW w:w="1984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Більше 128 </w:t>
            </w:r>
          </w:p>
        </w:tc>
        <w:tc>
          <w:tcPr>
            <w:tcW w:w="5528" w:type="dxa"/>
          </w:tcPr>
          <w:p w:rsidR="00001B07" w:rsidRPr="009556B5" w:rsidRDefault="00001B07" w:rsidP="009556B5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9556B5">
              <w:rPr>
                <w:sz w:val="20"/>
                <w:szCs w:val="20"/>
                <w:lang w:val="uk-UA"/>
              </w:rPr>
              <w:t xml:space="preserve">Збільшення захворюваності дитячого населення; порушення репродуктивної функції жінок (збільшення токсикозу вагітності, числа передчасних пологів, мертвонароджуваності, </w:t>
            </w:r>
            <w:proofErr w:type="spellStart"/>
            <w:r w:rsidRPr="009556B5">
              <w:rPr>
                <w:sz w:val="20"/>
                <w:szCs w:val="20"/>
                <w:lang w:val="uk-UA"/>
              </w:rPr>
              <w:t>гіпотрофій</w:t>
            </w:r>
            <w:proofErr w:type="spellEnd"/>
            <w:r w:rsidRPr="009556B5">
              <w:rPr>
                <w:sz w:val="20"/>
                <w:szCs w:val="20"/>
                <w:lang w:val="uk-UA"/>
              </w:rPr>
              <w:t xml:space="preserve"> немовлят) </w:t>
            </w:r>
          </w:p>
        </w:tc>
      </w:tr>
    </w:tbl>
    <w:p w:rsidR="00001B07" w:rsidRPr="00001B07" w:rsidRDefault="00001B07" w:rsidP="009556B5">
      <w:pPr>
        <w:pStyle w:val="Default"/>
        <w:jc w:val="center"/>
        <w:rPr>
          <w:sz w:val="26"/>
          <w:szCs w:val="26"/>
          <w:lang w:val="uk-UA"/>
        </w:rPr>
      </w:pPr>
      <w:r w:rsidRPr="00001B07">
        <w:rPr>
          <w:b/>
          <w:bCs/>
          <w:sz w:val="26"/>
          <w:szCs w:val="26"/>
          <w:lang w:val="uk-UA"/>
        </w:rPr>
        <w:lastRenderedPageBreak/>
        <w:t>Висновки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При санітарно-гігієнічному нормуванні забруднюючих речовин враховуються показники шкідливості: транс локаційний, міграційний водний, міграційний повітряний, загальний санітарний. 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При розробці ГДК у ґрунті забруднювачів </w:t>
      </w:r>
      <w:proofErr w:type="spellStart"/>
      <w:r w:rsidRPr="00001B07">
        <w:rPr>
          <w:sz w:val="26"/>
          <w:szCs w:val="26"/>
          <w:lang w:val="uk-UA"/>
        </w:rPr>
        <w:t>лімітуючим</w:t>
      </w:r>
      <w:proofErr w:type="spellEnd"/>
      <w:r w:rsidRPr="00001B07">
        <w:rPr>
          <w:sz w:val="26"/>
          <w:szCs w:val="26"/>
          <w:lang w:val="uk-UA"/>
        </w:rPr>
        <w:t xml:space="preserve"> показником є </w:t>
      </w:r>
      <w:proofErr w:type="spellStart"/>
      <w:r w:rsidRPr="00001B07">
        <w:rPr>
          <w:sz w:val="26"/>
          <w:szCs w:val="26"/>
          <w:lang w:val="uk-UA"/>
        </w:rPr>
        <w:t>транслокація</w:t>
      </w:r>
      <w:proofErr w:type="spellEnd"/>
      <w:r w:rsidRPr="00001B07">
        <w:rPr>
          <w:sz w:val="26"/>
          <w:szCs w:val="26"/>
          <w:lang w:val="uk-UA"/>
        </w:rPr>
        <w:t xml:space="preserve"> речовини з ґрунту у рослини. 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Якщо для певної речовини на встановлено ГДК, то для нормування використовують значення фонових концентрацій цієї речовини. 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При контролі забруднення ґрунтів хімічні речовини поділяють на три класи: 1 клас – високо небезпечні, 2 клас – </w:t>
      </w:r>
      <w:proofErr w:type="spellStart"/>
      <w:r w:rsidRPr="00001B07">
        <w:rPr>
          <w:sz w:val="26"/>
          <w:szCs w:val="26"/>
          <w:lang w:val="uk-UA"/>
        </w:rPr>
        <w:t>помірно</w:t>
      </w:r>
      <w:proofErr w:type="spellEnd"/>
      <w:r w:rsidRPr="00001B07">
        <w:rPr>
          <w:sz w:val="26"/>
          <w:szCs w:val="26"/>
          <w:lang w:val="uk-UA"/>
        </w:rPr>
        <w:t xml:space="preserve"> небезпечні, 3 клас – мало небезпечні. 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Оцінювання стану ґрунтів може проводитись залежно від їх змін природно-техногенними процесами та за ступенем забрудненості. 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Небезпека забруднення тим вища, чим більше фактичний рівень вмісту контрольованих у ґрунті речовин перевищує ГДК; чим вищий клас небезпеки контрольованих речовин. 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Оцінювання небезпеки забруднення будь-яким токсикантом повинно проводитися з урахуванням </w:t>
      </w:r>
      <w:proofErr w:type="spellStart"/>
      <w:r w:rsidRPr="00001B07">
        <w:rPr>
          <w:sz w:val="26"/>
          <w:szCs w:val="26"/>
          <w:lang w:val="uk-UA"/>
        </w:rPr>
        <w:t>буферності</w:t>
      </w:r>
      <w:proofErr w:type="spellEnd"/>
      <w:r w:rsidRPr="00001B07">
        <w:rPr>
          <w:sz w:val="26"/>
          <w:szCs w:val="26"/>
          <w:lang w:val="uk-UA"/>
        </w:rPr>
        <w:t xml:space="preserve"> ґрунту, що впливає на рухливість хімічних елементів, що визначає їхній вплив на контактуючі середовища. 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За ступенем забруднення ґрунти поділяють на: сильно забруднені, середньо забруднені, слабко забруднені. </w:t>
      </w:r>
    </w:p>
    <w:p w:rsidR="00001B07" w:rsidRPr="00001B07" w:rsidRDefault="00001B07" w:rsidP="009556B5">
      <w:pPr>
        <w:pStyle w:val="Default"/>
        <w:jc w:val="both"/>
        <w:rPr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За ступенем стійкості до хімічних забруднюючих речовин виділяють три ранги стійкості ґрунтів: дуже стійкі, середньо стійкі, малостійкі. </w:t>
      </w:r>
    </w:p>
    <w:p w:rsidR="00001B07" w:rsidRPr="00001B07" w:rsidRDefault="00001B07" w:rsidP="009556B5">
      <w:pPr>
        <w:pStyle w:val="Default"/>
        <w:jc w:val="center"/>
        <w:rPr>
          <w:sz w:val="26"/>
          <w:szCs w:val="26"/>
          <w:lang w:val="uk-UA"/>
        </w:rPr>
      </w:pPr>
      <w:r w:rsidRPr="00001B07">
        <w:rPr>
          <w:b/>
          <w:bCs/>
          <w:sz w:val="26"/>
          <w:szCs w:val="26"/>
          <w:lang w:val="uk-UA"/>
        </w:rPr>
        <w:t>Питання для самоперевірки</w:t>
      </w:r>
    </w:p>
    <w:p w:rsidR="00001B07" w:rsidRPr="00001B07" w:rsidRDefault="00001B07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sz w:val="26"/>
          <w:szCs w:val="26"/>
          <w:lang w:val="uk-UA"/>
        </w:rPr>
        <w:t xml:space="preserve">1. Назвіть та охарактеризуйте показники, що враховуються при санітарно-гігієнічному нормуванні забруднюючих речовин у ґрунті. </w:t>
      </w:r>
    </w:p>
    <w:p w:rsidR="00001B07" w:rsidRPr="00001B07" w:rsidRDefault="00001B07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2. Які показники використовуються для нормування забруднень ґрунту хімічними речовинами? </w:t>
      </w:r>
    </w:p>
    <w:p w:rsidR="00001B07" w:rsidRPr="00001B07" w:rsidRDefault="00001B07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3. Сформулюйте принцип контролю забруднення ґрунтів. </w:t>
      </w:r>
    </w:p>
    <w:p w:rsidR="00001B07" w:rsidRPr="00001B07" w:rsidRDefault="00001B07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4. Наведіть класифікацію хімічних речовин за ступенем небезпеки. </w:t>
      </w:r>
    </w:p>
    <w:p w:rsidR="00001B07" w:rsidRPr="00001B07" w:rsidRDefault="00001B07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5. Які показники стану ґрунтів вживаються при визначенні зони екологічного стану? </w:t>
      </w:r>
    </w:p>
    <w:p w:rsidR="00001B07" w:rsidRPr="00001B07" w:rsidRDefault="00001B07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6. За якими показниками проводиться оцінювання небезпеки забруднення ґрунту хімічними речовинами? </w:t>
      </w:r>
    </w:p>
    <w:p w:rsidR="00001B07" w:rsidRPr="00001B07" w:rsidRDefault="00001B07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7. Що таке </w:t>
      </w:r>
      <w:proofErr w:type="spellStart"/>
      <w:r w:rsidRPr="00001B07">
        <w:rPr>
          <w:color w:val="auto"/>
          <w:sz w:val="26"/>
          <w:szCs w:val="26"/>
          <w:lang w:val="uk-UA"/>
        </w:rPr>
        <w:t>буферність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ґрунту? Яке її значення при нормуванні забруднення? </w:t>
      </w:r>
    </w:p>
    <w:p w:rsidR="00001B07" w:rsidRPr="00001B07" w:rsidRDefault="00001B07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8. Що розуміють під поняттям «санітарний стан ґрунтів»? </w:t>
      </w:r>
    </w:p>
    <w:p w:rsidR="00001B07" w:rsidRPr="00001B07" w:rsidRDefault="00001B07" w:rsidP="009556B5">
      <w:pPr>
        <w:pStyle w:val="Default"/>
        <w:spacing w:after="27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9. Наведіть формулу інтегрального показника </w:t>
      </w:r>
      <w:proofErr w:type="spellStart"/>
      <w:r w:rsidRPr="00001B07">
        <w:rPr>
          <w:color w:val="auto"/>
          <w:sz w:val="26"/>
          <w:szCs w:val="26"/>
          <w:lang w:val="uk-UA"/>
        </w:rPr>
        <w:t>поелементного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забруднення ґрунту. </w:t>
      </w:r>
    </w:p>
    <w:p w:rsidR="00001B07" w:rsidRPr="00001B07" w:rsidRDefault="00001B07" w:rsidP="009556B5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001B07">
        <w:rPr>
          <w:color w:val="auto"/>
          <w:sz w:val="26"/>
          <w:szCs w:val="26"/>
          <w:lang w:val="uk-UA"/>
        </w:rPr>
        <w:t xml:space="preserve">10. Наведіть класифікацію </w:t>
      </w:r>
      <w:proofErr w:type="spellStart"/>
      <w:r w:rsidRPr="00001B07">
        <w:rPr>
          <w:color w:val="auto"/>
          <w:sz w:val="26"/>
          <w:szCs w:val="26"/>
          <w:lang w:val="uk-UA"/>
        </w:rPr>
        <w:t>грунтів</w:t>
      </w:r>
      <w:proofErr w:type="spellEnd"/>
      <w:r w:rsidRPr="00001B07">
        <w:rPr>
          <w:color w:val="auto"/>
          <w:sz w:val="26"/>
          <w:szCs w:val="26"/>
          <w:lang w:val="uk-UA"/>
        </w:rPr>
        <w:t xml:space="preserve"> за ступенем стійкості до хімічних забруднюючих речовин та за ступенем забруднення. </w:t>
      </w:r>
    </w:p>
    <w:p w:rsidR="00001B07" w:rsidRPr="00001B07" w:rsidRDefault="00001B07" w:rsidP="00001B07">
      <w:pPr>
        <w:pStyle w:val="Default"/>
        <w:rPr>
          <w:color w:val="auto"/>
          <w:sz w:val="26"/>
          <w:szCs w:val="26"/>
          <w:lang w:val="uk-UA"/>
        </w:rPr>
      </w:pPr>
    </w:p>
    <w:sectPr w:rsidR="00001B07" w:rsidRPr="00001B07" w:rsidSect="00001B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042D6"/>
    <w:multiLevelType w:val="hybridMultilevel"/>
    <w:tmpl w:val="3DBAC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F89BDC"/>
    <w:multiLevelType w:val="hybridMultilevel"/>
    <w:tmpl w:val="0F857B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C4B"/>
    <w:rsid w:val="00001B07"/>
    <w:rsid w:val="00106E2C"/>
    <w:rsid w:val="004D4C78"/>
    <w:rsid w:val="007D0C4B"/>
    <w:rsid w:val="009556B5"/>
    <w:rsid w:val="00A11A88"/>
    <w:rsid w:val="00D678AC"/>
    <w:rsid w:val="00E05B38"/>
    <w:rsid w:val="00E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DEFF5-C13E-4D53-BA26-B1DBB0B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0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2018-04-03T18:56:00Z</dcterms:created>
  <dcterms:modified xsi:type="dcterms:W3CDTF">2022-01-25T20:20:00Z</dcterms:modified>
</cp:coreProperties>
</file>