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D4" w:rsidRDefault="00563CD4" w:rsidP="00563CD4">
      <w:pPr>
        <w:pStyle w:val="a3"/>
        <w:rPr>
          <w:b/>
          <w:sz w:val="28"/>
          <w:szCs w:val="28"/>
        </w:rPr>
      </w:pPr>
    </w:p>
    <w:p w:rsidR="00563CD4" w:rsidRPr="00563CD4" w:rsidRDefault="00563CD4" w:rsidP="00563CD4">
      <w:pPr>
        <w:pStyle w:val="a3"/>
        <w:rPr>
          <w:b/>
          <w:sz w:val="28"/>
          <w:szCs w:val="28"/>
        </w:rPr>
      </w:pPr>
      <w:r w:rsidRPr="00563CD4">
        <w:rPr>
          <w:b/>
          <w:sz w:val="28"/>
          <w:szCs w:val="28"/>
        </w:rPr>
        <w:t xml:space="preserve">ЗАГАЛЬНИЙ ЗМІСТ ТА НАВЧАЛЬНІ ЕЛЕМЕНТИ, </w:t>
      </w:r>
      <w:r w:rsidRPr="00563CD4">
        <w:rPr>
          <w:b/>
          <w:sz w:val="28"/>
          <w:szCs w:val="28"/>
        </w:rPr>
        <w:br/>
        <w:t xml:space="preserve">ЩО ПІДЛЯГАЮТЬ ВИВЧЕННЮ СТУДЕНТАМИ ДЕННОЇ ФОРМИ </w:t>
      </w:r>
      <w:bookmarkStart w:id="0" w:name="_GoBack"/>
      <w:bookmarkEnd w:id="0"/>
      <w:r w:rsidRPr="00563CD4">
        <w:rPr>
          <w:b/>
          <w:sz w:val="28"/>
          <w:szCs w:val="28"/>
        </w:rPr>
        <w:t>НАВЧАННЯ</w:t>
      </w:r>
    </w:p>
    <w:p w:rsidR="00563CD4" w:rsidRPr="00563CD4" w:rsidRDefault="00563CD4" w:rsidP="00563CD4">
      <w:pPr>
        <w:pStyle w:val="a5"/>
        <w:ind w:left="0" w:firstLine="540"/>
        <w:rPr>
          <w:sz w:val="28"/>
          <w:szCs w:val="28"/>
        </w:rPr>
      </w:pPr>
    </w:p>
    <w:p w:rsidR="00563CD4" w:rsidRPr="00563CD4" w:rsidRDefault="00563CD4" w:rsidP="00563CD4">
      <w:pPr>
        <w:pStyle w:val="a5"/>
        <w:ind w:left="0"/>
        <w:rPr>
          <w:sz w:val="28"/>
          <w:szCs w:val="28"/>
        </w:rPr>
      </w:pPr>
      <w:r w:rsidRPr="00563CD4">
        <w:rPr>
          <w:sz w:val="28"/>
          <w:szCs w:val="28"/>
        </w:rPr>
        <w:t>Модуль №1: Теоретичні основи нормування антропогенного навантаження на навколишнє середовище</w:t>
      </w:r>
    </w:p>
    <w:p w:rsidR="00563CD4" w:rsidRPr="00563CD4" w:rsidRDefault="00563CD4" w:rsidP="00563CD4">
      <w:pPr>
        <w:pStyle w:val="a5"/>
        <w:ind w:left="360"/>
        <w:rPr>
          <w:sz w:val="28"/>
          <w:szCs w:val="28"/>
        </w:rPr>
      </w:pPr>
    </w:p>
    <w:p w:rsidR="00563CD4" w:rsidRPr="00563CD4" w:rsidRDefault="00563CD4" w:rsidP="00563CD4">
      <w:pPr>
        <w:pStyle w:val="a5"/>
        <w:spacing w:line="233" w:lineRule="auto"/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Антропогенне забруднення навколишнього середовища. Екологічний стан України. Техногенні забруднювачі природного середовища. Загальні характеристики найпоширеніших небезпечних забруднювачів. Мета та завдання екологічного нормування. Часові категорії екологічного нормування. Основні положення і показники нормування антропогенного навантаження на природне середовище. Санітарно-гігієнічне нормування. Екологічне нормування. Науково-технічне нормування. Нормування санітарно-захисної зони. Правові основи стандартизації та нормування в галузі охорони навколишнього середовища. Нормативні основи охорони довкілля.</w:t>
      </w:r>
    </w:p>
    <w:p w:rsidR="00563CD4" w:rsidRPr="00563CD4" w:rsidRDefault="00563CD4" w:rsidP="00563CD4">
      <w:pPr>
        <w:pStyle w:val="a3"/>
        <w:ind w:firstLine="360"/>
        <w:jc w:val="both"/>
        <w:rPr>
          <w:b/>
          <w:sz w:val="28"/>
          <w:szCs w:val="28"/>
          <w:lang w:val="ru-RU"/>
        </w:rPr>
      </w:pPr>
    </w:p>
    <w:p w:rsidR="00563CD4" w:rsidRPr="00563CD4" w:rsidRDefault="00563CD4" w:rsidP="00563CD4">
      <w:pPr>
        <w:pStyle w:val="a3"/>
        <w:ind w:firstLine="360"/>
        <w:jc w:val="both"/>
        <w:rPr>
          <w:b/>
          <w:sz w:val="28"/>
          <w:szCs w:val="28"/>
        </w:rPr>
      </w:pPr>
      <w:r w:rsidRPr="00563CD4">
        <w:rPr>
          <w:b/>
          <w:sz w:val="28"/>
          <w:szCs w:val="28"/>
        </w:rPr>
        <w:t>Нормативні навчальні елементи з модуля №1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Мета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Завдання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Часові категорії екологічного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Основні характеристики санітарно-гігієнічного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Підходи санітарно-гігієнічного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Екологічне нормування та його показники.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Застосування науково-технічного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Принципи нормування СЗЗ.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Антропогенне забруднення.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Основні джерела антропогенного забруднення довкілля.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Мета правових основ охорони навколишнього середовища.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Мета нормативних основ охорони навколишнього середовища.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Принципи нормування надійності, диференціації та інтеграції, реалістичності, оптимальності, «слабкої ланки», цілі, компромісу між поколіннями, ненульового ризику.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Правова основа нормування у галузі охорони навколишнього природного середовища.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Міжнародні організації з екологічного нормування.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1992 рік – конференція в Ріо-де-Жанейро: «Порядок денний на 21 століття».</w:t>
      </w:r>
    </w:p>
    <w:p w:rsidR="00563CD4" w:rsidRPr="00563CD4" w:rsidRDefault="00563CD4" w:rsidP="00563CD4">
      <w:pPr>
        <w:pStyle w:val="a5"/>
        <w:numPr>
          <w:ilvl w:val="1"/>
          <w:numId w:val="2"/>
        </w:numPr>
        <w:tabs>
          <w:tab w:val="clear" w:pos="1085"/>
          <w:tab w:val="left" w:pos="709"/>
        </w:tabs>
        <w:ind w:left="0" w:firstLine="34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 xml:space="preserve">Стандарти </w:t>
      </w:r>
      <w:r w:rsidRPr="00563CD4">
        <w:rPr>
          <w:b w:val="0"/>
          <w:sz w:val="28"/>
          <w:szCs w:val="28"/>
          <w:lang w:val="en-US"/>
        </w:rPr>
        <w:t>ISO.</w:t>
      </w:r>
    </w:p>
    <w:p w:rsidR="00563CD4" w:rsidRPr="00563CD4" w:rsidRDefault="00563CD4" w:rsidP="00563CD4">
      <w:pPr>
        <w:pStyle w:val="a5"/>
        <w:ind w:left="0" w:firstLine="540"/>
        <w:rPr>
          <w:b w:val="0"/>
          <w:sz w:val="28"/>
          <w:szCs w:val="28"/>
        </w:rPr>
      </w:pPr>
    </w:p>
    <w:p w:rsidR="00563CD4" w:rsidRPr="00563CD4" w:rsidRDefault="00563CD4" w:rsidP="00563CD4">
      <w:pPr>
        <w:pStyle w:val="a5"/>
        <w:ind w:left="0"/>
        <w:rPr>
          <w:sz w:val="28"/>
          <w:szCs w:val="28"/>
        </w:rPr>
      </w:pPr>
      <w:r w:rsidRPr="00563CD4">
        <w:rPr>
          <w:sz w:val="28"/>
          <w:szCs w:val="28"/>
        </w:rPr>
        <w:lastRenderedPageBreak/>
        <w:t>Модуль №2: Нормування антропогенного навантаження на складові антропосфери</w:t>
      </w:r>
    </w:p>
    <w:p w:rsidR="00563CD4" w:rsidRPr="00563CD4" w:rsidRDefault="00563CD4" w:rsidP="00563CD4">
      <w:pPr>
        <w:pStyle w:val="a5"/>
        <w:ind w:left="0" w:firstLine="540"/>
        <w:rPr>
          <w:sz w:val="28"/>
          <w:szCs w:val="28"/>
        </w:rPr>
      </w:pPr>
    </w:p>
    <w:p w:rsidR="00563CD4" w:rsidRPr="00563CD4" w:rsidRDefault="00563CD4" w:rsidP="00563CD4">
      <w:pPr>
        <w:pStyle w:val="a3"/>
        <w:ind w:firstLine="360"/>
        <w:jc w:val="both"/>
        <w:rPr>
          <w:b/>
          <w:spacing w:val="-4"/>
          <w:sz w:val="28"/>
          <w:szCs w:val="28"/>
        </w:rPr>
      </w:pPr>
      <w:r w:rsidRPr="00563CD4">
        <w:rPr>
          <w:spacing w:val="-4"/>
          <w:sz w:val="28"/>
          <w:szCs w:val="28"/>
        </w:rPr>
        <w:t>Нормування якості атмосферного повітря: джерела забруднення повітря, якість повітря.</w:t>
      </w:r>
      <w:r w:rsidRPr="00563CD4">
        <w:rPr>
          <w:b/>
          <w:spacing w:val="-4"/>
          <w:sz w:val="28"/>
          <w:szCs w:val="28"/>
        </w:rPr>
        <w:t xml:space="preserve">. </w:t>
      </w:r>
      <w:r w:rsidRPr="00563CD4">
        <w:rPr>
          <w:spacing w:val="-4"/>
          <w:sz w:val="28"/>
          <w:szCs w:val="28"/>
        </w:rPr>
        <w:t xml:space="preserve">Нормування якості води: екологічні функції води, види та джерела забруднення води; якість води; нормативні показники якості води. Нормування якості ґрунту: джерела забруднення ґрунтів, нормативні показники якості ґрунту. Нормування якості продуктів харчування: забруднення продуктів харчування, критерії якості та санітарно-гігієнічне нормування забрудненості продуктів харчування. Нормування впливу техногенних об’єктів на природне середовище: науково-технічні нормативи впливів на природне середовище (ГДС, ГДВ), нормування показників накопичення відходів. Нормування в галузі радіаційної безпеки: джерела радіаційного забруднення; іонізуюче випромінювання; основні види випромінювання; система нормування в галузі радіаційної безпеки. Нормування шумових та вібраційних забруднень довкілля: основні параметри шуму; фізичні характеристики звуку, шумове забруднення довкілля. Нормування впливів шуму. Нормування вібраційного навантаження. Нормування впливів електромагнітних </w:t>
      </w:r>
      <w:proofErr w:type="spellStart"/>
      <w:r w:rsidRPr="00563CD4">
        <w:rPr>
          <w:spacing w:val="-4"/>
          <w:sz w:val="28"/>
          <w:szCs w:val="28"/>
        </w:rPr>
        <w:t>випромінювань</w:t>
      </w:r>
      <w:proofErr w:type="spellEnd"/>
      <w:r w:rsidRPr="00563CD4">
        <w:rPr>
          <w:spacing w:val="-4"/>
          <w:sz w:val="28"/>
          <w:szCs w:val="28"/>
        </w:rPr>
        <w:t xml:space="preserve"> радіочастотного діапазону. Нормування впливів </w:t>
      </w:r>
      <w:proofErr w:type="spellStart"/>
      <w:r w:rsidRPr="00563CD4">
        <w:rPr>
          <w:spacing w:val="-4"/>
          <w:sz w:val="28"/>
          <w:szCs w:val="28"/>
        </w:rPr>
        <w:t>випромінювань</w:t>
      </w:r>
      <w:proofErr w:type="spellEnd"/>
      <w:r w:rsidRPr="00563CD4">
        <w:rPr>
          <w:spacing w:val="-4"/>
          <w:sz w:val="28"/>
          <w:szCs w:val="28"/>
        </w:rPr>
        <w:t xml:space="preserve"> оптичного діапазону.</w:t>
      </w:r>
      <w:r w:rsidRPr="00563CD4">
        <w:rPr>
          <w:b/>
          <w:spacing w:val="-4"/>
          <w:sz w:val="28"/>
          <w:szCs w:val="28"/>
        </w:rPr>
        <w:t xml:space="preserve"> </w:t>
      </w:r>
    </w:p>
    <w:p w:rsidR="00563CD4" w:rsidRPr="00563CD4" w:rsidRDefault="00563CD4" w:rsidP="00563CD4">
      <w:pPr>
        <w:pStyle w:val="a3"/>
        <w:ind w:firstLine="360"/>
        <w:jc w:val="both"/>
        <w:rPr>
          <w:b/>
          <w:sz w:val="28"/>
          <w:szCs w:val="28"/>
        </w:rPr>
      </w:pPr>
    </w:p>
    <w:p w:rsidR="00563CD4" w:rsidRPr="00563CD4" w:rsidRDefault="00563CD4" w:rsidP="00563CD4">
      <w:pPr>
        <w:pStyle w:val="a3"/>
        <w:ind w:firstLine="360"/>
        <w:jc w:val="both"/>
        <w:rPr>
          <w:b/>
          <w:sz w:val="28"/>
          <w:szCs w:val="28"/>
        </w:rPr>
      </w:pPr>
      <w:r w:rsidRPr="00563CD4">
        <w:rPr>
          <w:b/>
          <w:sz w:val="28"/>
          <w:szCs w:val="28"/>
        </w:rPr>
        <w:t>Нормативні навчальні елементи з модуля №2</w:t>
      </w:r>
    </w:p>
    <w:p w:rsidR="00563CD4" w:rsidRPr="00563CD4" w:rsidRDefault="00563CD4" w:rsidP="00563CD4">
      <w:pPr>
        <w:pStyle w:val="a5"/>
        <w:numPr>
          <w:ilvl w:val="2"/>
          <w:numId w:val="2"/>
        </w:numPr>
        <w:tabs>
          <w:tab w:val="clear" w:pos="900"/>
          <w:tab w:val="num" w:pos="720"/>
          <w:tab w:val="left" w:pos="1134"/>
        </w:tabs>
        <w:ind w:left="0" w:firstLine="360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Назвіть основні складові атмосферного повітря.</w:t>
      </w:r>
    </w:p>
    <w:p w:rsidR="00563CD4" w:rsidRPr="00563CD4" w:rsidRDefault="00563CD4" w:rsidP="00563CD4">
      <w:pPr>
        <w:pStyle w:val="a5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Наведіть приклади основних джерел забруднення повітря.</w:t>
      </w:r>
    </w:p>
    <w:p w:rsidR="00563CD4" w:rsidRPr="00563CD4" w:rsidRDefault="00563CD4" w:rsidP="00563CD4">
      <w:pPr>
        <w:pStyle w:val="a5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Якість повітря.</w:t>
      </w:r>
    </w:p>
    <w:p w:rsidR="00563CD4" w:rsidRPr="00563CD4" w:rsidRDefault="00563CD4" w:rsidP="00563CD4">
      <w:pPr>
        <w:pStyle w:val="a5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Гранично допустима концентрація шкідливої речовини у повітрі робочої зони.</w:t>
      </w:r>
    </w:p>
    <w:p w:rsidR="00563CD4" w:rsidRPr="00563CD4" w:rsidRDefault="00563CD4" w:rsidP="00563CD4">
      <w:pPr>
        <w:pStyle w:val="a5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both"/>
        <w:rPr>
          <w:b w:val="0"/>
          <w:sz w:val="28"/>
          <w:szCs w:val="28"/>
        </w:rPr>
      </w:pPr>
      <w:r w:rsidRPr="00563CD4">
        <w:rPr>
          <w:b w:val="0"/>
          <w:sz w:val="28"/>
          <w:szCs w:val="28"/>
        </w:rPr>
        <w:t>Мета застосування гранично допустимої концентрації максимально разової в повітрі населених пунктів.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pacing w:val="-6"/>
          <w:sz w:val="28"/>
          <w:szCs w:val="28"/>
        </w:rPr>
      </w:pPr>
      <w:r w:rsidRPr="00563CD4">
        <w:rPr>
          <w:spacing w:val="-6"/>
          <w:sz w:val="28"/>
          <w:szCs w:val="28"/>
        </w:rPr>
        <w:t>Застосування гранично допустимої концентрації середньодобової.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Основні екологічні функції води.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Основні види забруднення води.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Основні джерела забруднення води.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Основні нормативні показники якості води.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Суть інтегральної оцінки якості води.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Застосування методу сумарного ефекту.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bCs w:val="0"/>
          <w:sz w:val="28"/>
          <w:szCs w:val="28"/>
        </w:rPr>
      </w:pPr>
      <w:r w:rsidRPr="00563CD4">
        <w:rPr>
          <w:bCs w:val="0"/>
          <w:sz w:val="28"/>
          <w:szCs w:val="28"/>
        </w:rPr>
        <w:t>Критерії комплексної оцінки рівня забрудненості води за заданою ЛОШ.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bCs w:val="0"/>
          <w:sz w:val="28"/>
          <w:szCs w:val="28"/>
        </w:rPr>
        <w:t xml:space="preserve">Показник </w:t>
      </w:r>
      <w:proofErr w:type="spellStart"/>
      <w:r w:rsidRPr="00563CD4">
        <w:rPr>
          <w:bCs w:val="0"/>
          <w:sz w:val="28"/>
          <w:szCs w:val="28"/>
        </w:rPr>
        <w:t>ефтрофікації</w:t>
      </w:r>
      <w:proofErr w:type="spellEnd"/>
      <w:r w:rsidRPr="00563CD4">
        <w:rPr>
          <w:bCs w:val="0"/>
          <w:sz w:val="28"/>
          <w:szCs w:val="28"/>
        </w:rPr>
        <w:t>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Значення ґрунту для біосфери.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Види забруднення ґрунтів.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Основні джерела забруднення ґрунтів.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Гранично допустима концентрація шкідливої речовини в орному шарі ґрунту.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lastRenderedPageBreak/>
        <w:t>Поділ ґрунтів за ступенем забруднення.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Санітарне число.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 xml:space="preserve">Класи небезпечності хімічних </w:t>
      </w:r>
      <w:proofErr w:type="spellStart"/>
      <w:r w:rsidRPr="00563CD4">
        <w:rPr>
          <w:sz w:val="28"/>
          <w:szCs w:val="28"/>
        </w:rPr>
        <w:t>сполук</w:t>
      </w:r>
      <w:proofErr w:type="spellEnd"/>
      <w:r w:rsidRPr="00563CD4">
        <w:rPr>
          <w:sz w:val="28"/>
          <w:szCs w:val="28"/>
        </w:rPr>
        <w:t>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Застосування ТДК.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Принцип харчування як біологічної потреби людини.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Основні напрямки роботи запобіжного санітарного нагляду з питань гігієни харчування.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Шлях потрапляння нітратів у харчові продукти.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Добова норма нітратів у продуктах харчування.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Що потрібно робити з продуктами харчування, у яких вміст нітратів перевищує допустимі рівні?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Поділ пестицидів за призначенням.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Ступінь небезпечності пестицидів для людей і тварин.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Нормативні показники вмісту хлорорганічних пестицидів у продуктах харчування.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 xml:space="preserve">Токсичність фосфорорганічних </w:t>
      </w:r>
      <w:proofErr w:type="spellStart"/>
      <w:r w:rsidRPr="00563CD4">
        <w:rPr>
          <w:sz w:val="28"/>
          <w:szCs w:val="28"/>
        </w:rPr>
        <w:t>сполук</w:t>
      </w:r>
      <w:proofErr w:type="spellEnd"/>
      <w:r w:rsidRPr="00563CD4">
        <w:rPr>
          <w:sz w:val="28"/>
          <w:szCs w:val="28"/>
        </w:rPr>
        <w:t>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В яких продуктах харчування вміст фосфатів не допускається?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З якою метою використовуються сполуки, які містять мідь?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Допустима добова доза міді у продуктах харчування.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Важкі метали, що відносяться до першого класу небезпеки.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 xml:space="preserve">ГДК </w:t>
      </w:r>
      <w:proofErr w:type="spellStart"/>
      <w:r w:rsidRPr="00563CD4">
        <w:rPr>
          <w:sz w:val="28"/>
          <w:szCs w:val="28"/>
        </w:rPr>
        <w:t>арсенуму</w:t>
      </w:r>
      <w:proofErr w:type="spellEnd"/>
      <w:r w:rsidRPr="00563CD4">
        <w:rPr>
          <w:sz w:val="28"/>
          <w:szCs w:val="28"/>
        </w:rPr>
        <w:t xml:space="preserve"> (</w:t>
      </w:r>
      <w:r w:rsidRPr="00563CD4">
        <w:rPr>
          <w:sz w:val="28"/>
          <w:szCs w:val="28"/>
          <w:lang w:val="en-US"/>
        </w:rPr>
        <w:t>As</w:t>
      </w:r>
      <w:r w:rsidRPr="00563CD4">
        <w:rPr>
          <w:sz w:val="28"/>
          <w:szCs w:val="28"/>
          <w:lang w:val="ru-RU"/>
        </w:rPr>
        <w:t>)</w:t>
      </w:r>
      <w:r w:rsidRPr="00563CD4">
        <w:rPr>
          <w:sz w:val="28"/>
          <w:szCs w:val="28"/>
        </w:rPr>
        <w:t xml:space="preserve"> в харчових продуктах.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Визначення «впливу».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За якими показниками характеризується вплив?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Визначення гранично допустимому викиду.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Гранично допустимий скид.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Тимчасово узгоджені викиди та скиди.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Загальний принцип встановлення ГДС.</w:t>
      </w:r>
    </w:p>
    <w:p w:rsidR="00563CD4" w:rsidRPr="00563CD4" w:rsidRDefault="00563CD4" w:rsidP="00563CD4">
      <w:pPr>
        <w:numPr>
          <w:ilvl w:val="2"/>
          <w:numId w:val="2"/>
        </w:numPr>
        <w:shd w:val="clear" w:color="auto" w:fill="FFFFFF"/>
        <w:tabs>
          <w:tab w:val="num" w:pos="709"/>
          <w:tab w:val="left" w:pos="1134"/>
        </w:tabs>
        <w:ind w:left="0" w:firstLine="360"/>
        <w:jc w:val="both"/>
        <w:rPr>
          <w:sz w:val="28"/>
          <w:szCs w:val="28"/>
          <w:lang w:val="uk-UA"/>
        </w:rPr>
      </w:pPr>
      <w:r w:rsidRPr="00563CD4">
        <w:rPr>
          <w:bCs/>
          <w:color w:val="000000"/>
          <w:sz w:val="28"/>
          <w:szCs w:val="28"/>
          <w:lang w:val="uk-UA"/>
        </w:rPr>
        <w:t>Джерела утворення відходів та їх</w:t>
      </w:r>
      <w:r w:rsidRPr="00563CD4">
        <w:rPr>
          <w:sz w:val="28"/>
          <w:szCs w:val="28"/>
          <w:lang w:val="uk-UA"/>
        </w:rPr>
        <w:t xml:space="preserve">  </w:t>
      </w:r>
      <w:r w:rsidRPr="00563CD4">
        <w:rPr>
          <w:bCs/>
          <w:color w:val="000000"/>
          <w:spacing w:val="-6"/>
          <w:sz w:val="28"/>
          <w:szCs w:val="28"/>
          <w:lang w:val="uk-UA"/>
        </w:rPr>
        <w:t>класифікація.</w:t>
      </w:r>
    </w:p>
    <w:p w:rsidR="00563CD4" w:rsidRPr="00563CD4" w:rsidRDefault="00563CD4" w:rsidP="00563CD4">
      <w:pPr>
        <w:pStyle w:val="5"/>
        <w:numPr>
          <w:ilvl w:val="2"/>
          <w:numId w:val="2"/>
        </w:numPr>
        <w:tabs>
          <w:tab w:val="num" w:pos="709"/>
          <w:tab w:val="left" w:pos="1134"/>
        </w:tabs>
        <w:spacing w:before="0"/>
        <w:ind w:left="0" w:firstLine="360"/>
        <w:jc w:val="both"/>
        <w:rPr>
          <w:b w:val="0"/>
          <w:i w:val="0"/>
          <w:sz w:val="28"/>
          <w:szCs w:val="28"/>
          <w:lang w:val="ru-RU"/>
        </w:rPr>
      </w:pPr>
      <w:r w:rsidRPr="00563CD4">
        <w:rPr>
          <w:b w:val="0"/>
          <w:i w:val="0"/>
          <w:sz w:val="28"/>
          <w:szCs w:val="28"/>
        </w:rPr>
        <w:t>Загальний принцип нормування показників накопичення відходів.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540"/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Іонізуюче випромінювання.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540"/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Стисла характеристика основних видів іонізуючого випромінювання.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540"/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Чим відрізняються поглинена доза від еквівалентної?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540"/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Категорії населення, що встановлюються у відповідності до НРБУ-97.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540"/>
          <w:tab w:val="num" w:pos="709"/>
          <w:tab w:val="left" w:pos="1134"/>
        </w:tabs>
        <w:ind w:left="0" w:firstLine="360"/>
        <w:rPr>
          <w:sz w:val="28"/>
          <w:szCs w:val="28"/>
        </w:rPr>
      </w:pPr>
      <w:r w:rsidRPr="00563CD4">
        <w:rPr>
          <w:sz w:val="28"/>
          <w:szCs w:val="28"/>
        </w:rPr>
        <w:t>Показники визначення ефективної дози.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Основні класифікаційні ознаки та характеристики шуму.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Визначення основних параметрів шуму.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Сутність шумового забруднення довкілля.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Сутність та основні принципи нормування шуму.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Основні принципи нормування інфразвукових шумів.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Основні причини виникнення ультразвуку.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Сутність нормування ультразвукових шумів.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Основні джерела вібрації.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lastRenderedPageBreak/>
        <w:t>Сутність та основні принципи нормування вібрацій.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Санітарне нормування вібрацій.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Електромагнітні поля, та причини їх виникнення.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Джерела електромагнітних полів антропогенного походження.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Основні параметри складових електромагнітного поля.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Показники гранично допустимих рівнів складових електромагнітного поля на робочих місцях і для населення.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Від чого залежать гранично допустимі рівні електромагнітного поля промислової частоти?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При яких обставинах застосовуються гранично допустимі значення енергетичної експозиції?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До яких наслідків призводять електромагнітні випромінювання на людину та об’єкти довкілля?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360"/>
          <w:tab w:val="left" w:pos="540"/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Від чого залежить ступінь впливу ІЧ-</w:t>
      </w:r>
      <w:proofErr w:type="spellStart"/>
      <w:r w:rsidRPr="00563CD4">
        <w:rPr>
          <w:sz w:val="28"/>
          <w:szCs w:val="28"/>
        </w:rPr>
        <w:t>випромінювань</w:t>
      </w:r>
      <w:proofErr w:type="spellEnd"/>
      <w:r w:rsidRPr="00563CD4">
        <w:rPr>
          <w:sz w:val="28"/>
          <w:szCs w:val="28"/>
        </w:rPr>
        <w:t>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360"/>
          <w:tab w:val="left" w:pos="540"/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За якими показниками здійснюється нормування допустимої тривалості неперервного опромінювання ІЧ-променями?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360"/>
          <w:tab w:val="left" w:pos="540"/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Біологічне значення ультрафіолетового випромінювання.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left" w:pos="360"/>
          <w:tab w:val="left" w:pos="540"/>
          <w:tab w:val="num" w:pos="709"/>
          <w:tab w:val="left" w:pos="1134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Рівні інтенсивності УФ-</w:t>
      </w:r>
      <w:proofErr w:type="spellStart"/>
      <w:r w:rsidRPr="00563CD4">
        <w:rPr>
          <w:sz w:val="28"/>
          <w:szCs w:val="28"/>
        </w:rPr>
        <w:t>випромінювань</w:t>
      </w:r>
      <w:proofErr w:type="spellEnd"/>
      <w:r w:rsidRPr="00563CD4">
        <w:rPr>
          <w:sz w:val="28"/>
          <w:szCs w:val="28"/>
        </w:rPr>
        <w:t>.</w:t>
      </w:r>
    </w:p>
    <w:p w:rsidR="00563CD4" w:rsidRPr="00563CD4" w:rsidRDefault="00563CD4" w:rsidP="00563CD4">
      <w:pPr>
        <w:pStyle w:val="1"/>
        <w:numPr>
          <w:ilvl w:val="2"/>
          <w:numId w:val="2"/>
        </w:numPr>
        <w:tabs>
          <w:tab w:val="clear" w:pos="900"/>
          <w:tab w:val="left" w:pos="709"/>
        </w:tabs>
        <w:ind w:left="0" w:firstLine="360"/>
        <w:jc w:val="left"/>
        <w:rPr>
          <w:sz w:val="28"/>
          <w:szCs w:val="28"/>
        </w:rPr>
      </w:pPr>
      <w:r w:rsidRPr="00563CD4">
        <w:rPr>
          <w:sz w:val="28"/>
          <w:szCs w:val="28"/>
        </w:rPr>
        <w:t>ГДР енергетичної експозиції.</w:t>
      </w:r>
    </w:p>
    <w:p w:rsidR="00542116" w:rsidRPr="00563CD4" w:rsidRDefault="00542116">
      <w:pPr>
        <w:rPr>
          <w:sz w:val="28"/>
          <w:szCs w:val="28"/>
        </w:rPr>
      </w:pPr>
    </w:p>
    <w:sectPr w:rsidR="00542116" w:rsidRPr="00563CD4" w:rsidSect="00563CD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D4" w:rsidRDefault="00563CD4" w:rsidP="00563CD4">
      <w:r>
        <w:separator/>
      </w:r>
    </w:p>
  </w:endnote>
  <w:endnote w:type="continuationSeparator" w:id="0">
    <w:p w:rsidR="00563CD4" w:rsidRDefault="00563CD4" w:rsidP="005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D4" w:rsidRDefault="00563CD4" w:rsidP="00563CD4">
      <w:r>
        <w:separator/>
      </w:r>
    </w:p>
  </w:footnote>
  <w:footnote w:type="continuationSeparator" w:id="0">
    <w:p w:rsidR="00563CD4" w:rsidRDefault="00563CD4" w:rsidP="0056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D4" w:rsidRDefault="00563CD4">
    <w:pPr>
      <w:pStyle w:val="a8"/>
    </w:pPr>
  </w:p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563CD4" w:rsidRPr="00650FD0" w:rsidTr="00B26177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CD4" w:rsidRPr="006F4158" w:rsidRDefault="00563CD4" w:rsidP="00563CD4">
          <w:pPr>
            <w:pStyle w:val="a8"/>
            <w:jc w:val="center"/>
            <w:rPr>
              <w:sz w:val="22"/>
              <w:szCs w:val="22"/>
              <w:lang w:val="uk-UA"/>
            </w:rPr>
          </w:pPr>
          <w:r w:rsidRPr="006F4158">
            <w:rPr>
              <w:b/>
              <w:noProof/>
              <w:sz w:val="22"/>
              <w:szCs w:val="22"/>
              <w:lang w:val="uk-UA" w:eastAsia="uk-UA"/>
            </w:rPr>
            <w:t>ЖДТУ</w:t>
          </w:r>
        </w:p>
      </w:tc>
      <w:tc>
        <w:tcPr>
          <w:tcW w:w="8221" w:type="dxa"/>
          <w:tcBorders>
            <w:left w:val="single" w:sz="4" w:space="0" w:color="auto"/>
          </w:tcBorders>
        </w:tcPr>
        <w:p w:rsidR="00563CD4" w:rsidRPr="00C61791" w:rsidRDefault="00563CD4" w:rsidP="00563CD4">
          <w:pPr>
            <w:pStyle w:val="a8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563CD4" w:rsidRPr="00C61791" w:rsidRDefault="00563CD4" w:rsidP="00563CD4">
          <w:pPr>
            <w:pStyle w:val="a8"/>
            <w:jc w:val="center"/>
            <w:rPr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Житомирський державний технологічний університет</w:t>
          </w:r>
        </w:p>
      </w:tc>
    </w:tr>
  </w:tbl>
  <w:p w:rsidR="00563CD4" w:rsidRDefault="00563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E9B"/>
    <w:multiLevelType w:val="hybridMultilevel"/>
    <w:tmpl w:val="C958F3E0"/>
    <w:lvl w:ilvl="0" w:tplc="7DD241B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BF2448C8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8036273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3" w:tplc="CCA0BC2C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646C543D"/>
    <w:multiLevelType w:val="multilevel"/>
    <w:tmpl w:val="3CF26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4"/>
    <w:rsid w:val="00542116"/>
    <w:rsid w:val="005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DD4D-A4A7-4ECF-AC8A-4AE046E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CD4"/>
    <w:pPr>
      <w:jc w:val="center"/>
    </w:pPr>
    <w:rPr>
      <w:sz w:val="40"/>
      <w:lang w:val="uk-UA"/>
    </w:rPr>
  </w:style>
  <w:style w:type="character" w:customStyle="1" w:styleId="a4">
    <w:name w:val="Основной текст Знак"/>
    <w:basedOn w:val="a0"/>
    <w:link w:val="a3"/>
    <w:rsid w:val="00563CD4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a5">
    <w:name w:val="Body Text Indent"/>
    <w:basedOn w:val="a"/>
    <w:link w:val="a6"/>
    <w:rsid w:val="00563CD4"/>
    <w:pPr>
      <w:ind w:left="720"/>
    </w:pPr>
    <w:rPr>
      <w:b/>
      <w:bCs/>
      <w:lang w:val="uk-UA"/>
    </w:rPr>
  </w:style>
  <w:style w:type="character" w:customStyle="1" w:styleId="a6">
    <w:name w:val="Основной текст с отступом Знак"/>
    <w:basedOn w:val="a0"/>
    <w:link w:val="a5"/>
    <w:rsid w:val="00563CD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7">
    <w:name w:val="Знак"/>
    <w:basedOn w:val="a"/>
    <w:rsid w:val="00563CD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rsid w:val="00563CD4"/>
    <w:pPr>
      <w:ind w:firstLine="284"/>
      <w:jc w:val="both"/>
    </w:pPr>
    <w:rPr>
      <w:bCs/>
      <w:sz w:val="22"/>
      <w:lang w:val="uk-UA"/>
    </w:rPr>
  </w:style>
  <w:style w:type="paragraph" w:customStyle="1" w:styleId="5">
    <w:name w:val="Стиль5"/>
    <w:basedOn w:val="1"/>
    <w:rsid w:val="00563CD4"/>
    <w:pPr>
      <w:spacing w:before="60"/>
      <w:ind w:firstLine="0"/>
      <w:jc w:val="center"/>
    </w:pPr>
    <w:rPr>
      <w:b/>
      <w:bCs w:val="0"/>
      <w:i/>
      <w:iCs/>
    </w:rPr>
  </w:style>
  <w:style w:type="paragraph" w:styleId="a8">
    <w:name w:val="header"/>
    <w:basedOn w:val="a"/>
    <w:link w:val="a9"/>
    <w:uiPriority w:val="99"/>
    <w:unhideWhenUsed/>
    <w:rsid w:val="00563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40yearsold</dc:creator>
  <cp:keywords/>
  <dc:description/>
  <cp:lastModifiedBy>40yearsold</cp:lastModifiedBy>
  <cp:revision>1</cp:revision>
  <dcterms:created xsi:type="dcterms:W3CDTF">2018-02-12T03:45:00Z</dcterms:created>
  <dcterms:modified xsi:type="dcterms:W3CDTF">2018-02-12T03:51:00Z</dcterms:modified>
</cp:coreProperties>
</file>