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267FF">
        <w:rPr>
          <w:rFonts w:eastAsiaTheme="minorHAnsi"/>
          <w:b/>
          <w:bCs/>
          <w:sz w:val="28"/>
          <w:szCs w:val="28"/>
          <w:lang w:eastAsia="en-US"/>
        </w:rPr>
        <w:t>ТЕМА 3. РЕСУРСНА ТЕОРІЯ У СИСТЕМІ БІЗНЕС-МОДЕЛЮВАННЯ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267FF">
        <w:rPr>
          <w:rFonts w:eastAsiaTheme="minorHAnsi"/>
          <w:i/>
          <w:iCs/>
          <w:sz w:val="28"/>
          <w:szCs w:val="28"/>
          <w:lang w:eastAsia="en-US"/>
        </w:rPr>
        <w:t>3.1. Стратегічні ресурси бізнес-моделі компанії: сутність, елементи та їх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267FF">
        <w:rPr>
          <w:rFonts w:eastAsiaTheme="minorHAnsi"/>
          <w:i/>
          <w:iCs/>
          <w:sz w:val="28"/>
          <w:szCs w:val="28"/>
          <w:lang w:eastAsia="en-US"/>
        </w:rPr>
        <w:t>взаємодія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267FF">
        <w:rPr>
          <w:rFonts w:eastAsiaTheme="minorHAnsi"/>
          <w:i/>
          <w:iCs/>
          <w:sz w:val="28"/>
          <w:szCs w:val="28"/>
          <w:lang w:eastAsia="en-US"/>
        </w:rPr>
        <w:t>3.2. Роль інтелектуального капіталу у формуванні бізнес-моделі компанії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267FF">
        <w:rPr>
          <w:rFonts w:eastAsiaTheme="minorHAnsi"/>
          <w:i/>
          <w:iCs/>
          <w:sz w:val="28"/>
          <w:szCs w:val="28"/>
          <w:lang w:eastAsia="en-US"/>
        </w:rPr>
        <w:t>3.3.Визначення та види ресурсних ефектів</w:t>
      </w:r>
    </w:p>
    <w:p w:rsid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67FF">
        <w:rPr>
          <w:rFonts w:eastAsiaTheme="minorHAnsi"/>
          <w:b/>
          <w:bCs/>
          <w:i/>
          <w:iCs/>
          <w:sz w:val="28"/>
          <w:szCs w:val="28"/>
          <w:lang w:eastAsia="en-US"/>
        </w:rPr>
        <w:t>3.1. Стратегічні ресурси бізнес-моделі компанії: сутність, елементи та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b/>
          <w:bCs/>
          <w:i/>
          <w:iCs/>
          <w:sz w:val="28"/>
          <w:szCs w:val="28"/>
          <w:lang w:eastAsia="en-US"/>
        </w:rPr>
        <w:t>їх взаємодія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Класична ресурсна тріада “земля, праця, капітал” у сучасному трактуванні</w:t>
      </w:r>
      <w:r w:rsidR="00244E71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ресурсної теорії трансформувалась у складну комбінацію матеріальних,</w:t>
      </w:r>
      <w:r w:rsidR="00244E71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фінансових і нематеріальних ресурсів підприємства. Одним із концептуальних</w:t>
      </w:r>
      <w:r w:rsidR="00244E71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положень ресурсної теорії є твердження про індивідуальність розвитку кожної</w:t>
      </w:r>
      <w:r w:rsidR="00244E71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компанії, що обумовлюється особливим набором її ресурсів. Однак, лише</w:t>
      </w:r>
      <w:r w:rsidR="00244E71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наявність у компанії ресурсів чи доступ до них в умовах динамічного ринку не</w:t>
      </w:r>
      <w:r w:rsidR="00244E71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може забезпечити їй довгострокових конкурентних переваг. Саме тому в сучасній</w:t>
      </w:r>
      <w:r w:rsidR="00244E71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ресурсній теорії увага зосереджується на здатності компанії створювати нові види</w:t>
      </w:r>
      <w:r w:rsidR="00244E71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ресурсів та здійснювати безперервний пошук їх комбінацій.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Сьогодні розвиток ресурсної теорії відбувається у двох напрямах: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- по-перше, все більшого поширення завойовує концепція “динамічних</w:t>
      </w:r>
      <w:r w:rsidR="00244E71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здібностей” підприємства, які являють собою її потенціал інтегрування, створення</w:t>
      </w:r>
      <w:r w:rsidR="00244E71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і реконфігурації внутрішніх і зовнішніх компетенцій для відповідності мінливому</w:t>
      </w:r>
      <w:r w:rsidR="00244E71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зовнішньому середовищу. Іншими словами, сучасна компанія повинна володіти</w:t>
      </w:r>
      <w:r w:rsidR="00244E71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здатністю до розпізнання, освоєння та використання нових ринкових</w:t>
      </w:r>
      <w:r w:rsidR="00244E71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можливостей шляхом перманентної трансформації своєї бізнес-моделі;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- по-друге, формування сучасного інформаційного суспільства активізує</w:t>
      </w:r>
      <w:r w:rsidR="00FD405D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розвиток теорії управління знаннями, де ресурсний підхід набув синонімічного</w:t>
      </w:r>
      <w:r w:rsidR="00FD405D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значення “концепції інтелектуального потенціалу фірми”. При визначенні знання</w:t>
      </w:r>
      <w:r w:rsidR="00FD405D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як цінного ресурсу компанії логіка її стратегічних дій стає продовженням</w:t>
      </w:r>
      <w:r w:rsidR="00FD405D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ресурсного підходу в цілому і концепції динамічних здібностей зокрема. Так,</w:t>
      </w:r>
      <w:r w:rsidR="00FD405D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відмінність у господарських результатах різних підприємств інтерпретується як</w:t>
      </w:r>
      <w:r w:rsidR="00FD405D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lastRenderedPageBreak/>
        <w:t>наслідок асиметрії між ними у знаннях. Чим краще підприємство кодифікує</w:t>
      </w:r>
      <w:r w:rsidR="00FD405D">
        <w:rPr>
          <w:rFonts w:eastAsiaTheme="minorHAnsi"/>
          <w:sz w:val="28"/>
          <w:szCs w:val="28"/>
          <w:lang w:eastAsia="en-US"/>
        </w:rPr>
        <w:t xml:space="preserve">  </w:t>
      </w:r>
      <w:r w:rsidRPr="00B267FF">
        <w:rPr>
          <w:rFonts w:eastAsiaTheme="minorHAnsi"/>
          <w:sz w:val="28"/>
          <w:szCs w:val="28"/>
          <w:lang w:eastAsia="en-US"/>
        </w:rPr>
        <w:t>знання своїх співробітників і й забезпечує їх трансфер всередині компанії, тим</w:t>
      </w:r>
      <w:r w:rsidR="00FD405D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більше преваг в ефективності діяльності воно має, а значить і вищою є його</w:t>
      </w:r>
      <w:r w:rsidR="00FD405D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ринкова вартість.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267FF">
        <w:rPr>
          <w:rFonts w:eastAsiaTheme="minorHAnsi"/>
          <w:i/>
          <w:iCs/>
          <w:sz w:val="28"/>
          <w:szCs w:val="28"/>
          <w:lang w:eastAsia="en-US"/>
        </w:rPr>
        <w:t>Види ресурсів або їх комбінації, які є основою реалізації стратегічних цілей</w:t>
      </w:r>
      <w:r w:rsidR="00FD405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i/>
          <w:iCs/>
          <w:sz w:val="28"/>
          <w:szCs w:val="28"/>
          <w:lang w:eastAsia="en-US"/>
        </w:rPr>
        <w:t>і забезпечення стійких конкурентних переваг підприємства, а також мають</w:t>
      </w:r>
      <w:r w:rsidR="00FD405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i/>
          <w:iCs/>
          <w:sz w:val="28"/>
          <w:szCs w:val="28"/>
          <w:lang w:eastAsia="en-US"/>
        </w:rPr>
        <w:t>потенціал генерування прибутку у майбутньому, відносять до категорії</w:t>
      </w:r>
      <w:r w:rsidR="00FD405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i/>
          <w:iCs/>
          <w:sz w:val="28"/>
          <w:szCs w:val="28"/>
          <w:lang w:eastAsia="en-US"/>
        </w:rPr>
        <w:t>стратегічних</w:t>
      </w:r>
      <w:r w:rsidRPr="00B267FF">
        <w:rPr>
          <w:rFonts w:eastAsiaTheme="minorHAnsi"/>
          <w:sz w:val="28"/>
          <w:szCs w:val="28"/>
          <w:lang w:eastAsia="en-US"/>
        </w:rPr>
        <w:t>. У контексті концепції бізнес-моделювання цю ідею доцільно</w:t>
      </w:r>
      <w:r w:rsidR="00FD405D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 xml:space="preserve">трактувати наступним чином: </w:t>
      </w:r>
      <w:r w:rsidRPr="00B267FF">
        <w:rPr>
          <w:rFonts w:eastAsiaTheme="minorHAnsi"/>
          <w:i/>
          <w:iCs/>
          <w:sz w:val="28"/>
          <w:szCs w:val="28"/>
          <w:lang w:eastAsia="en-US"/>
        </w:rPr>
        <w:t>бізнес-модель компанії має індивідуальний</w:t>
      </w:r>
      <w:r w:rsidR="00FD405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i/>
          <w:iCs/>
          <w:sz w:val="28"/>
          <w:szCs w:val="28"/>
          <w:lang w:eastAsia="en-US"/>
        </w:rPr>
        <w:t>характер, оскільки в процесі її формування використовується специфічний набір</w:t>
      </w:r>
      <w:r w:rsidR="00FD405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i/>
          <w:iCs/>
          <w:sz w:val="28"/>
          <w:szCs w:val="28"/>
          <w:lang w:eastAsia="en-US"/>
        </w:rPr>
        <w:t>стратегічних ресурсів.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Всю сукупність ресурсів, яку компанія може використовувати у своїй</w:t>
      </w:r>
      <w:r w:rsidR="00C07733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бізнес-діяльності, поділяють на дві великі групи:</w:t>
      </w:r>
    </w:p>
    <w:p w:rsidR="00B267FF" w:rsidRPr="00B267FF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B267FF" w:rsidRPr="00B267FF">
        <w:rPr>
          <w:rFonts w:eastAsiaTheme="minorHAnsi"/>
          <w:sz w:val="28"/>
          <w:szCs w:val="28"/>
          <w:lang w:eastAsia="en-US"/>
        </w:rPr>
        <w:t>сяжні ресурси – це фізичні та фінансові активи підприємства,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7FF" w:rsidRPr="00B267FF">
        <w:rPr>
          <w:rFonts w:eastAsiaTheme="minorHAnsi"/>
          <w:sz w:val="28"/>
          <w:szCs w:val="28"/>
          <w:lang w:eastAsia="en-US"/>
        </w:rPr>
        <w:t>які відображені в бухгалтерському балансі. Вони дають вартісну характеристику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7FF" w:rsidRPr="00B267FF">
        <w:rPr>
          <w:rFonts w:eastAsiaTheme="minorHAnsi"/>
          <w:sz w:val="28"/>
          <w:szCs w:val="28"/>
          <w:lang w:eastAsia="en-US"/>
        </w:rPr>
        <w:t>матеріально-технічної бази та фінансових можливостей суб’єкта господарювання;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267FF" w:rsidRPr="00B267FF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B267FF" w:rsidRPr="00B267FF">
        <w:rPr>
          <w:rFonts w:eastAsiaTheme="minorHAnsi"/>
          <w:sz w:val="28"/>
          <w:szCs w:val="28"/>
          <w:lang w:eastAsia="en-US"/>
        </w:rPr>
        <w:t>еосяжні ресурси – це ті, що використовуються у процесі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7FF" w:rsidRPr="00B267FF">
        <w:rPr>
          <w:rFonts w:eastAsiaTheme="minorHAnsi"/>
          <w:sz w:val="28"/>
          <w:szCs w:val="28"/>
          <w:lang w:eastAsia="en-US"/>
        </w:rPr>
        <w:t>створення цінності продукту чи послуги, мають здатність генерувати доход 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7FF" w:rsidRPr="00B267FF">
        <w:rPr>
          <w:rFonts w:eastAsiaTheme="minorHAnsi"/>
          <w:sz w:val="28"/>
          <w:szCs w:val="28"/>
          <w:lang w:eastAsia="en-US"/>
        </w:rPr>
        <w:t>прибуток, але не мають матеріальної основи. Лише деякі елементи неосяжних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7FF" w:rsidRPr="00B267FF">
        <w:rPr>
          <w:rFonts w:eastAsiaTheme="minorHAnsi"/>
          <w:sz w:val="28"/>
          <w:szCs w:val="28"/>
          <w:lang w:eastAsia="en-US"/>
        </w:rPr>
        <w:t>ресурсів (наприклад, торгова марка, ноу-хау, інтелектуальна власність) 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7FF" w:rsidRPr="00B267FF">
        <w:rPr>
          <w:rFonts w:eastAsiaTheme="minorHAnsi"/>
          <w:sz w:val="28"/>
          <w:szCs w:val="28"/>
          <w:lang w:eastAsia="en-US"/>
        </w:rPr>
        <w:t>відповідності із стандартами бухгалтерського обліку можуть мати вартісну оцінку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7FF" w:rsidRPr="00B267FF">
        <w:rPr>
          <w:rFonts w:eastAsiaTheme="minorHAnsi"/>
          <w:sz w:val="28"/>
          <w:szCs w:val="28"/>
          <w:lang w:eastAsia="en-US"/>
        </w:rPr>
        <w:t>та бути відображені у балансі підприємства у статті “Нематеріальні активи”. Інша,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7FF" w:rsidRPr="00B267FF">
        <w:rPr>
          <w:rFonts w:eastAsiaTheme="minorHAnsi"/>
          <w:sz w:val="28"/>
          <w:szCs w:val="28"/>
          <w:lang w:eastAsia="en-US"/>
        </w:rPr>
        <w:t>найбільш динамічна частина неосяжних ресурсів не відповідає бухгалтерському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7FF" w:rsidRPr="00B267FF">
        <w:rPr>
          <w:rFonts w:eastAsiaTheme="minorHAnsi"/>
          <w:sz w:val="28"/>
          <w:szCs w:val="28"/>
          <w:lang w:eastAsia="en-US"/>
        </w:rPr>
        <w:t>трактуванню активів, тому не відображається у балансі. Однак, саме ці елементи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7FF" w:rsidRPr="00B267FF">
        <w:rPr>
          <w:rFonts w:eastAsiaTheme="minorHAnsi"/>
          <w:sz w:val="28"/>
          <w:szCs w:val="28"/>
          <w:lang w:eastAsia="en-US"/>
        </w:rPr>
        <w:t>неосяжних ресурсів можуть мати суттєвий вплив на формування ринкової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7FF" w:rsidRPr="00B267FF">
        <w:rPr>
          <w:rFonts w:eastAsiaTheme="minorHAnsi"/>
          <w:sz w:val="28"/>
          <w:szCs w:val="28"/>
          <w:lang w:eastAsia="en-US"/>
        </w:rPr>
        <w:t>вартості компанії.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Серед всієї сукупності осяжних і неосяжних ресурсів підприємства до</w:t>
      </w:r>
      <w:r w:rsidR="00C07733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категорії стратегічних відносять ті, що:</w:t>
      </w:r>
    </w:p>
    <w:p w:rsidR="00B267FF" w:rsidRPr="00C07733" w:rsidRDefault="00B267FF" w:rsidP="00B267F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07733">
        <w:rPr>
          <w:rFonts w:eastAsiaTheme="minorHAnsi"/>
          <w:sz w:val="28"/>
          <w:szCs w:val="28"/>
          <w:lang w:eastAsia="en-US"/>
        </w:rPr>
        <w:t>підвищують конкурентоспроможність продукції шляхом зменшення</w:t>
      </w:r>
      <w:r w:rsidR="00C07733" w:rsidRPr="00C07733">
        <w:rPr>
          <w:rFonts w:eastAsiaTheme="minorHAnsi"/>
          <w:sz w:val="28"/>
          <w:szCs w:val="28"/>
          <w:lang w:eastAsia="en-US"/>
        </w:rPr>
        <w:t xml:space="preserve"> </w:t>
      </w:r>
      <w:r w:rsidRPr="00C07733">
        <w:rPr>
          <w:rFonts w:eastAsiaTheme="minorHAnsi"/>
          <w:sz w:val="28"/>
          <w:szCs w:val="28"/>
          <w:lang w:eastAsia="en-US"/>
        </w:rPr>
        <w:t>витрат (права на користування корисними копалинами та інші переваги доступу</w:t>
      </w:r>
      <w:r w:rsidR="00C07733" w:rsidRPr="00C07733">
        <w:rPr>
          <w:rFonts w:eastAsiaTheme="minorHAnsi"/>
          <w:sz w:val="28"/>
          <w:szCs w:val="28"/>
          <w:lang w:eastAsia="en-US"/>
        </w:rPr>
        <w:t xml:space="preserve"> </w:t>
      </w:r>
      <w:r w:rsidRPr="00C07733">
        <w:rPr>
          <w:rFonts w:eastAsiaTheme="minorHAnsi"/>
          <w:sz w:val="28"/>
          <w:szCs w:val="28"/>
          <w:lang w:eastAsia="en-US"/>
        </w:rPr>
        <w:t xml:space="preserve">до </w:t>
      </w:r>
      <w:r w:rsidRPr="00C07733">
        <w:rPr>
          <w:rFonts w:eastAsiaTheme="minorHAnsi"/>
          <w:sz w:val="28"/>
          <w:szCs w:val="28"/>
          <w:lang w:eastAsia="en-US"/>
        </w:rPr>
        <w:lastRenderedPageBreak/>
        <w:t>обмежених ресурсів; інноваційні, енергозберігаючі технології; оптимальна</w:t>
      </w:r>
      <w:r w:rsidR="00C07733" w:rsidRPr="00C07733">
        <w:rPr>
          <w:rFonts w:eastAsiaTheme="minorHAnsi"/>
          <w:sz w:val="28"/>
          <w:szCs w:val="28"/>
          <w:lang w:eastAsia="en-US"/>
        </w:rPr>
        <w:t xml:space="preserve"> </w:t>
      </w:r>
      <w:r w:rsidRPr="00C07733">
        <w:rPr>
          <w:rFonts w:eastAsiaTheme="minorHAnsi"/>
          <w:sz w:val="28"/>
          <w:szCs w:val="28"/>
          <w:lang w:eastAsia="en-US"/>
        </w:rPr>
        <w:t>система бізнес-процесів тощо);</w:t>
      </w:r>
    </w:p>
    <w:p w:rsidR="00B267FF" w:rsidRPr="00C07733" w:rsidRDefault="00B267FF" w:rsidP="00C07733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07733">
        <w:rPr>
          <w:rFonts w:eastAsiaTheme="minorHAnsi"/>
          <w:sz w:val="28"/>
          <w:szCs w:val="28"/>
          <w:lang w:eastAsia="en-US"/>
        </w:rPr>
        <w:t>у випадку необхідності, можуть бути використані для диверсифікації</w:t>
      </w:r>
      <w:r w:rsidR="00C07733" w:rsidRPr="00C07733">
        <w:rPr>
          <w:rFonts w:eastAsiaTheme="minorHAnsi"/>
          <w:sz w:val="28"/>
          <w:szCs w:val="28"/>
          <w:lang w:eastAsia="en-US"/>
        </w:rPr>
        <w:t xml:space="preserve"> </w:t>
      </w:r>
      <w:r w:rsidRPr="00C07733">
        <w:rPr>
          <w:rFonts w:eastAsiaTheme="minorHAnsi"/>
          <w:sz w:val="28"/>
          <w:szCs w:val="28"/>
          <w:lang w:eastAsia="en-US"/>
        </w:rPr>
        <w:t>діяльності (досвід роботи на ринку; канали збуту; торгові марки та бренди тощо);</w:t>
      </w:r>
    </w:p>
    <w:p w:rsidR="00B267FF" w:rsidRPr="00C07733" w:rsidRDefault="00B267FF" w:rsidP="00B267F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07733">
        <w:rPr>
          <w:rFonts w:eastAsiaTheme="minorHAnsi"/>
          <w:sz w:val="28"/>
          <w:szCs w:val="28"/>
          <w:lang w:eastAsia="en-US"/>
        </w:rPr>
        <w:t>забезпечують отримання синергійного ефекту від спільного</w:t>
      </w:r>
      <w:r w:rsidR="00C07733" w:rsidRPr="00C07733">
        <w:rPr>
          <w:rFonts w:eastAsiaTheme="minorHAnsi"/>
          <w:sz w:val="28"/>
          <w:szCs w:val="28"/>
          <w:lang w:eastAsia="en-US"/>
        </w:rPr>
        <w:t xml:space="preserve"> </w:t>
      </w:r>
      <w:r w:rsidRPr="00C07733">
        <w:rPr>
          <w:rFonts w:eastAsiaTheme="minorHAnsi"/>
          <w:sz w:val="28"/>
          <w:szCs w:val="28"/>
          <w:lang w:eastAsia="en-US"/>
        </w:rPr>
        <w:t>використання різними бізнес-одиницями інтегрованої компанії або від</w:t>
      </w:r>
      <w:r w:rsidR="00C07733" w:rsidRPr="00C07733">
        <w:rPr>
          <w:rFonts w:eastAsiaTheme="minorHAnsi"/>
          <w:sz w:val="28"/>
          <w:szCs w:val="28"/>
          <w:lang w:eastAsia="en-US"/>
        </w:rPr>
        <w:t xml:space="preserve"> </w:t>
      </w:r>
      <w:r w:rsidRPr="00C07733">
        <w:rPr>
          <w:rFonts w:eastAsiaTheme="minorHAnsi"/>
          <w:sz w:val="28"/>
          <w:szCs w:val="28"/>
          <w:lang w:eastAsia="en-US"/>
        </w:rPr>
        <w:t>формування їх нової комбінації;</w:t>
      </w:r>
    </w:p>
    <w:p w:rsidR="00C07733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44AF7" wp14:editId="5CFCC915">
                <wp:simplePos x="0" y="0"/>
                <wp:positionH relativeFrom="column">
                  <wp:posOffset>-360680</wp:posOffset>
                </wp:positionH>
                <wp:positionV relativeFrom="paragraph">
                  <wp:posOffset>28575</wp:posOffset>
                </wp:positionV>
                <wp:extent cx="6791960" cy="3962400"/>
                <wp:effectExtent l="0" t="0" r="27940" b="1905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960" cy="3962400"/>
                          <a:chOff x="1674" y="1391"/>
                          <a:chExt cx="14220" cy="7740"/>
                        </a:xfrm>
                      </wpg:grpSpPr>
                      <wps:wsp>
                        <wps:cNvPr id="4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5454" y="1391"/>
                            <a:ext cx="5580" cy="108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CCFFFF">
                              <a:alpha val="50000"/>
                            </a:srgbClr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733" w:rsidRPr="00C07733" w:rsidRDefault="00C07733" w:rsidP="00282DFB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C07733"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РЕСУРСИ 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8334" y="247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4554" y="3011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>
                            <a:off x="4554" y="301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11934" y="301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294" y="3551"/>
                            <a:ext cx="252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>
                              <a:alpha val="50000"/>
                            </a:srgbClr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7733" w:rsidRPr="00C07733" w:rsidRDefault="00C07733" w:rsidP="00282DFB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07733"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 xml:space="preserve">Осяжні </w:t>
                              </w:r>
                            </w:p>
                            <w:p w:rsidR="00C07733" w:rsidRPr="00C07733" w:rsidRDefault="00C07733" w:rsidP="00282DFB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 w:rsidRPr="00C07733"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ресурси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677" y="3551"/>
                            <a:ext cx="252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>
                              <a:alpha val="50000"/>
                            </a:srgbClr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7733" w:rsidRPr="00C07733" w:rsidRDefault="00C07733" w:rsidP="00282DFB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07733"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Неосяжні ресурси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4554" y="445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3114" y="481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3114" y="48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5994" y="48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854" y="5171"/>
                            <a:ext cx="2520" cy="108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733" w:rsidRPr="00C07733" w:rsidRDefault="00C07733" w:rsidP="00282DF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C07733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Фізичні активи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4734" y="5171"/>
                            <a:ext cx="2160" cy="108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733" w:rsidRPr="00C07733" w:rsidRDefault="00C07733" w:rsidP="00282DFB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07733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Фінанасові ресурси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11934" y="445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/>
                        <wps:spPr bwMode="auto">
                          <a:xfrm>
                            <a:off x="7974" y="4811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/>
                        <wps:spPr bwMode="auto">
                          <a:xfrm>
                            <a:off x="7974" y="48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/>
                        <wps:spPr bwMode="auto">
                          <a:xfrm>
                            <a:off x="10674" y="48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/>
                        <wps:spPr bwMode="auto">
                          <a:xfrm>
                            <a:off x="11934" y="48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13554" y="48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/>
                        <wps:spPr bwMode="auto">
                          <a:xfrm>
                            <a:off x="15174" y="48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4454" y="5171"/>
                            <a:ext cx="1440" cy="108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733" w:rsidRPr="00A24D6F" w:rsidRDefault="00C07733" w:rsidP="00282DFB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C07733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 xml:space="preserve">Ринкові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ресурси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2834" y="5171"/>
                            <a:ext cx="1440" cy="108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733" w:rsidRPr="00A24D6F" w:rsidRDefault="00C07733" w:rsidP="00282DFB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C07733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Людські</w:t>
                              </w:r>
                              <w:r w:rsidRPr="00A24D6F"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 xml:space="preserve"> ресурси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1394" y="5171"/>
                            <a:ext cx="1260" cy="108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733" w:rsidRPr="00C07733" w:rsidRDefault="00C07733" w:rsidP="00282DFB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07733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Знання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9234" y="5171"/>
                            <a:ext cx="1980" cy="108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733" w:rsidRPr="00C07733" w:rsidRDefault="00C07733" w:rsidP="00282DFB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07733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Організаційні ресурси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7074" y="5171"/>
                            <a:ext cx="1980" cy="108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733" w:rsidRPr="00C07733" w:rsidRDefault="00C07733" w:rsidP="00C07733">
                              <w:pPr>
                                <w:ind w:right="-220"/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07733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Нематеріальні активи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0"/>
                        <wps:cNvSpPr>
                          <a:spLocks/>
                        </wps:cNvSpPr>
                        <wps:spPr bwMode="auto">
                          <a:xfrm rot="5400000">
                            <a:off x="7884" y="-36"/>
                            <a:ext cx="1800" cy="14220"/>
                          </a:xfrm>
                          <a:prstGeom prst="rightBrace">
                            <a:avLst>
                              <a:gd name="adj1" fmla="val 65833"/>
                              <a:gd name="adj2" fmla="val 51819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4374" y="8051"/>
                            <a:ext cx="8460" cy="1080"/>
                          </a:xfrm>
                          <a:prstGeom prst="ellipse">
                            <a:avLst/>
                          </a:prstGeom>
                          <a:solidFill>
                            <a:srgbClr val="CCFFCC">
                              <a:alpha val="50000"/>
                            </a:srgbClr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7733" w:rsidRPr="00C07733" w:rsidRDefault="00C07733" w:rsidP="00282DFB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07733"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Потенційні стратегічні ресурси компанії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left:0;text-align:left;margin-left:-28.4pt;margin-top:2.25pt;width:534.8pt;height:312pt;z-index:251658240" coordorigin="1674,1391" coordsize="14220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5" o:spid="_x0000_s1027" type="#_x0000_t16" style="position:absolute;left:5454;top:1391;width:55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wPsYA&#10;AADbAAAADwAAAGRycy9kb3ducmV2LnhtbESP3WrCQBSE7wu+w3KE3hTdtEiR6Co2xdCCCPXv+pA9&#10;ZmOzZ0N2q6lP7wqFXg4z8w0znXe2FmdqfeVYwfMwAUFcOF1xqWC3XQ7GIHxA1lg7JgW/5GE+6z1M&#10;MdXuwl903oRSRAj7FBWYEJpUSl8YsuiHriGO3tG1FkOUbSl1i5cIt7V8SZJXabHiuGCwocxQ8b35&#10;sQoO+Sks99e8WL+Z9/zpNPZZ9rlS6rHfLSYgAnXhP/zX/tAKRiO4f4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GwPsYAAADbAAAADwAAAAAAAAAAAAAAAACYAgAAZHJz&#10;L2Rvd25yZXYueG1sUEsFBgAAAAAEAAQA9QAAAIsDAAAAAA==&#10;" fillcolor="#cff" strokeweight="2pt">
                  <v:fill opacity="32896f"/>
                  <v:textbox>
                    <w:txbxContent>
                      <w:p w:rsidR="00C07733" w:rsidRPr="00C07733" w:rsidRDefault="00C07733" w:rsidP="00282DFB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C07733"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РЕСУРСИ ПІДПРИЄМСТВА</w:t>
                        </w:r>
                      </w:p>
                    </w:txbxContent>
                  </v:textbox>
                </v:shape>
                <v:line id="Line 46" o:spid="_x0000_s1028" style="position:absolute;visibility:visible;mso-wrap-style:square" from="8334,2471" to="8334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yP8MMAAADbAAAADwAAAGRycy9kb3ducmV2LnhtbESPQWvCQBSE70L/w/IKvZmNrZYS3Uhb&#10;EDx4MUrp8bH7TEKyb8PuVlN/vVsoeBxm5htmtR5tL87kQ+tYwSzLQRBrZ1quFRwPm+kbiBCRDfaO&#10;ScEvBViXD5MVFsZdeE/nKtYiQTgUqKCJcSikDLohiyFzA3HyTs5bjEn6WhqPlwS3vXzO81dpseW0&#10;0OBAnw3prvqxCqqtPrnri+++vj92Wm/Q77H1Sj09ju9LEJHGeA//t7dGwXwB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Mj/DDAAAA2wAAAA8AAAAAAAAAAAAA&#10;AAAAoQIAAGRycy9kb3ducmV2LnhtbFBLBQYAAAAABAAEAPkAAACRAwAAAAA=&#10;" strokeweight="3pt"/>
                <v:line id="Line 47" o:spid="_x0000_s1029" style="position:absolute;visibility:visible;mso-wrap-style:square" from="4554,3011" to="11934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Rh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Piawt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XhGHwQAAANsAAAAPAAAAAAAAAAAAAAAA&#10;AKECAABkcnMvZG93bnJldi54bWxQSwUGAAAAAAQABAD5AAAAjwMAAAAA&#10;" strokeweight="3pt"/>
                <v:line id="Line 48" o:spid="_x0000_s1030" style="position:absolute;visibility:visible;mso-wrap-style:square" from="4554,3011" to="4554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0HM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tBzDAAAA2wAAAA8AAAAAAAAAAAAA&#10;AAAAoQIAAGRycy9kb3ducmV2LnhtbFBLBQYAAAAABAAEAPkAAACRAwAAAAA=&#10;" strokeweight="3pt"/>
                <v:line id="Line 49" o:spid="_x0000_s1031" style="position:absolute;visibility:visible;mso-wrap-style:square" from="11934,3011" to="11934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0gbsAAAADbAAAADwAAAGRycy9kb3ducmV2LnhtbERPu2rDMBTdA/kHcQvdYrlpKMG1EppA&#10;wEMXu6VkvEjXD2JdGUlN3H59NBQ6Hs673M92FFfyYXCs4CnLQRBrZwbuFHx+nFZbECEiGxwdk4If&#10;CrDfLRclFsbduKZrEzuRQjgUqKCPcSqkDLoniyFzE3HiWuctxgR9J43HWwq3o1zn+Yu0OHBq6HGi&#10;Y0/60nxbBU2lW/f77C9f58O71if0NQ5eqceH+e0VRKQ5/ov/3JVRsEl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NIG7AAAAA2wAAAA8AAAAAAAAAAAAAAAAA&#10;oQIAAGRycy9kb3ducmV2LnhtbFBLBQYAAAAABAAEAPkAAACOAwAAAAA=&#10;" strokeweight="3pt"/>
                <v:roundrect id="AutoShape 50" o:spid="_x0000_s1032" style="position:absolute;left:3294;top:3551;width:252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bxbsQA&#10;AADbAAAADwAAAGRycy9kb3ducmV2LnhtbESPQWvCQBSE7wX/w/IEb3WjtqLRVaQ0tBdpjYLXR/aZ&#10;RLNvw+6q6b93C4Ueh5n5hlmuO9OIGzlfW1YwGiYgiAuray4VHPbZ8wyED8gaG8uk4Ic8rFe9pyWm&#10;2t55R7c8lCJC2KeooAqhTaX0RUUG/dC2xNE7WWcwROlKqR3eI9w0cpwkU2mw5rhQYUtvFRWX/Goi&#10;Zfv9lV2z/fvm8hHOx9xNzq+no1KDfrdZgAjUhf/wX/tTK3iZw+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G8W7EAAAA2wAAAA8AAAAAAAAAAAAAAAAAmAIAAGRycy9k&#10;b3ducmV2LnhtbFBLBQYAAAAABAAEAPUAAACJAwAAAAA=&#10;" fillcolor="silver" strokeweight="2pt">
                  <v:fill opacity="32896f"/>
                  <v:textbox>
                    <w:txbxContent>
                      <w:p w:rsidR="00C07733" w:rsidRPr="00C07733" w:rsidRDefault="00C07733" w:rsidP="00282DFB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C07733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 xml:space="preserve">Осяжні </w:t>
                        </w:r>
                      </w:p>
                      <w:p w:rsidR="00C07733" w:rsidRPr="00C07733" w:rsidRDefault="00C07733" w:rsidP="00282DFB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C07733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ресурси</w:t>
                        </w:r>
                        <w:proofErr w:type="gramEnd"/>
                      </w:p>
                    </w:txbxContent>
                  </v:textbox>
                </v:roundrect>
                <v:roundrect id="AutoShape 51" o:spid="_x0000_s1033" style="position:absolute;left:10677;top:3551;width:252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XOLsQA&#10;AADbAAAADwAAAGRycy9kb3ducmV2LnhtbESPwWrCQBCG70LfYZlCb7ppRSmpq0hpsBepjQWvQ3ZM&#10;otnZsLtqfPvOodDj8M//zXyL1eA6daUQW88GnicZKOLK25ZrAz/7YvwKKiZki51nMnCnCKvlw2iB&#10;ufU3/qZrmWolEI45GmhS6nOtY9WQwzjxPbFkRx8cJhlDrW3Am8Bdp1+ybK4dtiwXGuzpvaHqXF6c&#10;ULa7r+JS7D/W5006HcowPc2OB2OeHof1G6hEQ/pf/mt/WgMz+V5cx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zi7EAAAA2wAAAA8AAAAAAAAAAAAAAAAAmAIAAGRycy9k&#10;b3ducmV2LnhtbFBLBQYAAAAABAAEAPUAAACJAwAAAAA=&#10;" fillcolor="silver" strokeweight="2pt">
                  <v:fill opacity="32896f"/>
                  <v:textbox>
                    <w:txbxContent>
                      <w:p w:rsidR="00C07733" w:rsidRPr="00C07733" w:rsidRDefault="00C07733" w:rsidP="00282DFB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C07733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Неосяжні ресурси</w:t>
                        </w:r>
                      </w:p>
                    </w:txbxContent>
                  </v:textbox>
                </v:roundrect>
                <v:line id="Line 52" o:spid="_x0000_s1034" style="position:absolute;visibility:visible;mso-wrap-style:square" from="4554,4451" to="4554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    <v:line id="Line 53" o:spid="_x0000_s1035" style="position:absolute;visibility:visible;mso-wrap-style:square" from="3114,4811" to="5994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  <v:line id="Line 54" o:spid="_x0000_s1036" style="position:absolute;visibility:visible;mso-wrap-style:square" from="3114,4811" to="3114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  <v:line id="Line 55" o:spid="_x0000_s1037" style="position:absolute;visibility:visible;mso-wrap-style:square" from="5994,4811" to="5994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56" o:spid="_x0000_s1038" type="#_x0000_t10" style="position:absolute;left:1854;top:5171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ZisMA&#10;AADbAAAADwAAAGRycy9kb3ducmV2LnhtbESPQWvCQBSE7wX/w/KE3uqmBYNGVwmCUHKyidjra/aZ&#10;Dc2+DdnVpP/eLRR6HGbmG2a7n2wn7jT41rGC10UCgrh2uuVGwbk6vqxA+ICssXNMCn7Iw343e9pi&#10;pt3IH3QvQyMihH2GCkwIfSalrw1Z9AvXE0fv6gaLIcqhkXrAMcJtJ9+SJJUWW44LBns6GKq/y5tV&#10;UHz2X6e8km5lbk2ep+Uai0tQ6nk+5RsQgabwH/5rv2sFyyX8fo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uZisMAAADbAAAADwAAAAAAAAAAAAAAAACYAgAAZHJzL2Rv&#10;d25yZXYueG1sUEsFBgAAAAAEAAQA9QAAAIgDAAAAAA==&#10;" strokeweight="2pt">
                  <v:textbox>
                    <w:txbxContent>
                      <w:p w:rsidR="00C07733" w:rsidRPr="00C07733" w:rsidRDefault="00C07733" w:rsidP="00282DFB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 w:rsidRPr="00C07733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Фізичні активи</w:t>
                        </w:r>
                      </w:p>
                    </w:txbxContent>
                  </v:textbox>
                </v:shape>
                <v:shape id="AutoShape 57" o:spid="_x0000_s1039" type="#_x0000_t10" style="position:absolute;left:4734;top:5171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H/cMA&#10;AADbAAAADwAAAGRycy9kb3ducmV2LnhtbESPwWrDMBBE74X8g9hAbo2cQo3jRgkmUCg5tXZprltr&#10;Y5lYK2PJjvP3VaHQ4zAzb5jdYbadmGjwrWMFm3UCgrh2uuVGwWf1+piB8AFZY+eYFNzJw2G/eNhh&#10;rt2NP2gqQyMihH2OCkwIfS6lrw1Z9GvXE0fv4gaLIcqhkXrAW4TbTj4lSSotthwXDPZ0NFRfy9Eq&#10;OJ377/eiki4zY1MUabnF01dQarWcixcQgebwH/5rv2kFzyn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kH/cMAAADbAAAADwAAAAAAAAAAAAAAAACYAgAAZHJzL2Rv&#10;d25yZXYueG1sUEsFBgAAAAAEAAQA9QAAAIgDAAAAAA==&#10;" strokeweight="2pt">
                  <v:textbox>
                    <w:txbxContent>
                      <w:p w:rsidR="00C07733" w:rsidRPr="00C07733" w:rsidRDefault="00C07733" w:rsidP="00282DFB">
                        <w:pPr>
                          <w:jc w:val="center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C0773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Фінанасові ресурси</w:t>
                        </w:r>
                      </w:p>
                    </w:txbxContent>
                  </v:textbox>
                </v:shape>
                <v:line id="Line 58" o:spid="_x0000_s1040" style="position:absolute;visibility:visible;mso-wrap-style:square" from="11934,4451" to="11934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  <v:line id="Line 59" o:spid="_x0000_s1041" style="position:absolute;visibility:visible;mso-wrap-style:square" from="7974,4811" to="15174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  <v:line id="Line 60" o:spid="_x0000_s1042" style="position:absolute;visibility:visible;mso-wrap-style:square" from="7974,4811" to="7974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  <v:line id="Line 61" o:spid="_x0000_s1043" style="position:absolute;visibility:visible;mso-wrap-style:square" from="10674,4811" to="10674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  <v:line id="Line 62" o:spid="_x0000_s1044" style="position:absolute;visibility:visible;mso-wrap-style:square" from="11934,4811" to="11934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  <v:line id="Line 63" o:spid="_x0000_s1045" style="position:absolute;visibility:visible;mso-wrap-style:square" from="13554,4811" to="13554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    <v:line id="Line 64" o:spid="_x0000_s1046" style="position:absolute;visibility:visible;mso-wrap-style:square" from="15174,4811" to="15174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p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DCpr8AAADbAAAADwAAAAAAAAAAAAAAAACh&#10;AgAAZHJzL2Rvd25yZXYueG1sUEsFBgAAAAAEAAQA+QAAAI0DAAAAAA==&#10;" strokeweight="2pt"/>
                <v:shape id="AutoShape 65" o:spid="_x0000_s1047" type="#_x0000_t10" style="position:absolute;left:14454;top:5171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2rMMA&#10;AADbAAAADwAAAGRycy9kb3ducmV2LnhtbESPwWrDMBBE74X8g9hAbo2cUozjRgkmUCg5tXZprltr&#10;Y5lYK2PJjvP3VaHQ4zAzb5jdYbadmGjwrWMFm3UCgrh2uuVGwWf1+piB8AFZY+eYFNzJw2G/eNhh&#10;rt2NP2gqQyMihH2OCkwIfS6lrw1Z9GvXE0fv4gaLIcqhkXrAW4TbTj4lSSotthwXDPZ0NFRfy9Eq&#10;OJ377/eiki4zY1MUabnF01dQarWcixcQgebwH/5rv2kF6TP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v2rMMAAADbAAAADwAAAAAAAAAAAAAAAACYAgAAZHJzL2Rv&#10;d25yZXYueG1sUEsFBgAAAAAEAAQA9QAAAIgDAAAAAA==&#10;" strokeweight="2pt">
                  <v:textbox>
                    <w:txbxContent>
                      <w:p w:rsidR="00C07733" w:rsidRPr="00A24D6F" w:rsidRDefault="00C07733" w:rsidP="00282DFB">
                        <w:pPr>
                          <w:jc w:val="center"/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C0773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Ринкові </w:t>
                        </w: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ресурси</w:t>
                        </w:r>
                      </w:p>
                    </w:txbxContent>
                  </v:textbox>
                </v:shape>
                <v:shape id="AutoShape 66" o:spid="_x0000_s1048" type="#_x0000_t10" style="position:absolute;left:12834;top:5171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TN8MA&#10;AADbAAAADwAAAGRycy9kb3ducmV2LnhtbESPwWrDMBBE74X8g9hAbo2cQo3jRgkmUCg5tXZprltr&#10;Y5lYK2PJjvP3VaHQ4zAzb5jdYbadmGjwrWMFm3UCgrh2uuVGwWf1+piB8AFZY+eYFNzJw2G/eNhh&#10;rt2NP2gqQyMihH2OCkwIfS6lrw1Z9GvXE0fv4gaLIcqhkXrAW4TbTj4lSSotthwXDPZ0NFRfy9Eq&#10;OJ377/eiki4zY1MUabnF01dQarWcixcQgebwH/5rv2kF6TP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dTN8MAAADbAAAADwAAAAAAAAAAAAAAAACYAgAAZHJzL2Rv&#10;d25yZXYueG1sUEsFBgAAAAAEAAQA9QAAAIgDAAAAAA==&#10;" strokeweight="2pt">
                  <v:textbox>
                    <w:txbxContent>
                      <w:p w:rsidR="00C07733" w:rsidRPr="00A24D6F" w:rsidRDefault="00C07733" w:rsidP="00282DFB">
                        <w:pPr>
                          <w:jc w:val="center"/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C0773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Людські</w:t>
                        </w:r>
                        <w:r w:rsidRPr="00A24D6F"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 xml:space="preserve"> ресурси</w:t>
                        </w:r>
                      </w:p>
                    </w:txbxContent>
                  </v:textbox>
                </v:shape>
                <v:shape id="AutoShape 67" o:spid="_x0000_s1049" type="#_x0000_t10" style="position:absolute;left:11394;top:5171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NQMEA&#10;AADbAAAADwAAAGRycy9kb3ducmV2LnhtbESPQYvCMBSE7wv+h/AEb2vqHopWoxRBWDy5VfT6bJ5N&#10;sXkpTdT6782C4HGYmW+Yxaq3jbhT52vHCibjBARx6XTNlYLDfvM9BeEDssbGMSl4kofVcvC1wEy7&#10;B//RvQiViBD2GSowIbSZlL40ZNGPXUscvYvrLIYou0rqDh8Rbhv5kySptFhzXDDY0tpQeS1uVsH2&#10;1J53+V66qblVeZ4WM9weg1KjYZ/PQQTqwyf8bv9qBWkK/1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FzUDBAAAA2wAAAA8AAAAAAAAAAAAAAAAAmAIAAGRycy9kb3du&#10;cmV2LnhtbFBLBQYAAAAABAAEAPUAAACGAwAAAAA=&#10;" strokeweight="2pt">
                  <v:textbox>
                    <w:txbxContent>
                      <w:p w:rsidR="00C07733" w:rsidRPr="00C07733" w:rsidRDefault="00C07733" w:rsidP="00282DFB">
                        <w:pPr>
                          <w:jc w:val="center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C0773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Знання</w:t>
                        </w:r>
                      </w:p>
                    </w:txbxContent>
                  </v:textbox>
                </v:shape>
                <v:shape id="AutoShape 68" o:spid="_x0000_s1050" type="#_x0000_t10" style="position:absolute;left:9234;top:5171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o28EA&#10;AADbAAAADwAAAGRycy9kb3ducmV2LnhtbESPQYvCMBSE7wv+h/AEb2vqHqpWoxRhQTy5dVmvz+bZ&#10;FJuX0kSt/34jCB6HmfmGWa5724gbdb52rGAyTkAQl07XXCn4PXx/zkD4gKyxcUwKHuRhvRp8LDHT&#10;7s4/dCtCJSKEfYYKTAhtJqUvDVn0Y9cSR+/sOoshyq6SusN7hNtGfiVJKi3WHBcMtrQxVF6Kq1Ww&#10;O7anfX6QbmauVZ6nxRx3f0Gp0bDPFyAC9eEdfrW3WkE6he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JaNvBAAAA2wAAAA8AAAAAAAAAAAAAAAAAmAIAAGRycy9kb3du&#10;cmV2LnhtbFBLBQYAAAAABAAEAPUAAACGAwAAAAA=&#10;" strokeweight="2pt">
                  <v:textbox>
                    <w:txbxContent>
                      <w:p w:rsidR="00C07733" w:rsidRPr="00C07733" w:rsidRDefault="00C07733" w:rsidP="00282DFB">
                        <w:pPr>
                          <w:jc w:val="center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C0773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Організаційні ресурси</w:t>
                        </w:r>
                      </w:p>
                    </w:txbxContent>
                  </v:textbox>
                </v:shape>
                <v:shape id="AutoShape 69" o:spid="_x0000_s1051" type="#_x0000_t10" style="position:absolute;left:7074;top:5171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8qcAA&#10;AADbAAAADwAAAGRycy9kb3ducmV2LnhtbERPz2uDMBS+D/Y/hDfYbY3tQZxrFCkUSk+dju36Zl6N&#10;1LyIidb998thsOPH93tfrnYQC02+d6xgu0lAELdO99wp+GiOLxkIH5A1Do5JwQ95KIvHhz3m2t35&#10;nZY6dCKGsM9RgQlhzKX0rSGLfuNG4shd3WQxRDh1Uk94j+F2kLskSaXFnmODwZEOhtpbPVsF56/x&#10;+1I10mVm7qoqrV/x/BmUen5aqzcQgdbwL/5zn7SCNI6NX+IP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b8qcAAAADbAAAADwAAAAAAAAAAAAAAAACYAgAAZHJzL2Rvd25y&#10;ZXYueG1sUEsFBgAAAAAEAAQA9QAAAIUDAAAAAA==&#10;" strokeweight="2pt">
                  <v:textbox>
                    <w:txbxContent>
                      <w:p w:rsidR="00C07733" w:rsidRPr="00C07733" w:rsidRDefault="00C07733" w:rsidP="00C07733">
                        <w:pPr>
                          <w:ind w:right="-220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C0773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Нематеріальні активи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70" o:spid="_x0000_s1052" type="#_x0000_t88" style="position:absolute;left:7884;top:-36;width:1800;height:142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Pc8MA&#10;AADbAAAADwAAAGRycy9kb3ducmV2LnhtbESPW4vCMBSE3xf8D+EIvq2pFop2jbIIgr7s4gWfD83Z&#10;pmxzUprYy7/fLAg+DjPzDbPZDbYWHbW+cqxgMU9AEBdOV1wquF0P7ysQPiBrrB2TgpE87LaTtw3m&#10;2vV8pu4SShEh7HNUYEJocil9Yciin7uGOHo/rrUYomxLqVvsI9zWcpkkmbRYcVww2NDeUPF7eVgF&#10;3ePQ3M2xH8fv8JUtT6d9mqajUrPp8PkBItAQXuFn+6gVZGv4/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hPc8MAAADbAAAADwAAAAAAAAAAAAAAAACYAgAAZHJzL2Rv&#10;d25yZXYueG1sUEsFBgAAAAAEAAQA9QAAAIgDAAAAAA==&#10;" adj=",11193" strokeweight="2pt"/>
                <v:oval id="Oval 71" o:spid="_x0000_s1053" style="position:absolute;left:4374;top:8051;width:84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qRsIA&#10;AADbAAAADwAAAGRycy9kb3ducmV2LnhtbERPz2vCMBS+D/wfwhO8zVTRTWqjjMHYQC+zAz0+mtem&#10;2rzUJrPd/vrlMPD48f3OtoNtxI06XztWMJsmIIgLp2uuFHzlb48rED4ga2wck4If8rDdjB4yTLXr&#10;+ZNuh1CJGMI+RQUmhDaV0heGLPqpa4kjV7rOYoiwq6TusI/htpHzJHmSFmuODQZbejVUXA7fVsFx&#10;116W5tq/h4XMZydZnlf7/a9Sk/HwsgYRaAh38b/7Qyt4ju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6pGwgAAANsAAAAPAAAAAAAAAAAAAAAAAJgCAABkcnMvZG93&#10;bnJldi54bWxQSwUGAAAAAAQABAD1AAAAhwMAAAAA&#10;" fillcolor="#cfc" strokeweight="2pt">
                  <v:fill opacity="32896f"/>
                  <v:textbox>
                    <w:txbxContent>
                      <w:p w:rsidR="00C07733" w:rsidRPr="00C07733" w:rsidRDefault="00C07733" w:rsidP="00282DFB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C07733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Потенційні стратегічні ресурси компанії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C07733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07733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07733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07733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07733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07733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07733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07733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07733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07733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07733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07733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07733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 xml:space="preserve">Рис. 3.1. </w:t>
      </w:r>
      <w:r w:rsidRPr="00B267FF">
        <w:rPr>
          <w:rFonts w:eastAsiaTheme="minorHAnsi"/>
          <w:b/>
          <w:bCs/>
          <w:sz w:val="28"/>
          <w:szCs w:val="28"/>
          <w:lang w:eastAsia="en-US"/>
        </w:rPr>
        <w:t>Основні види ресурсів підприємства</w:t>
      </w:r>
    </w:p>
    <w:p w:rsidR="00C07733" w:rsidRDefault="00C07733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267FF" w:rsidRPr="00B00F9E" w:rsidRDefault="00B267FF" w:rsidP="00B267F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00F9E">
        <w:rPr>
          <w:rFonts w:eastAsiaTheme="minorHAnsi"/>
          <w:sz w:val="28"/>
          <w:szCs w:val="28"/>
          <w:lang w:eastAsia="en-US"/>
        </w:rPr>
        <w:t>мають вплив на збільшення ринкової вартості (менеджмент компанії;</w:t>
      </w:r>
      <w:r w:rsidR="00B00F9E" w:rsidRPr="00B00F9E">
        <w:rPr>
          <w:rFonts w:eastAsiaTheme="minorHAnsi"/>
          <w:sz w:val="28"/>
          <w:szCs w:val="28"/>
          <w:lang w:eastAsia="en-US"/>
        </w:rPr>
        <w:t xml:space="preserve"> </w:t>
      </w:r>
      <w:r w:rsidRPr="00B00F9E">
        <w:rPr>
          <w:rFonts w:eastAsiaTheme="minorHAnsi"/>
          <w:sz w:val="28"/>
          <w:szCs w:val="28"/>
          <w:lang w:eastAsia="en-US"/>
        </w:rPr>
        <w:t>формалізовані знання; бази даних; фінансові можливості; лояльність державних</w:t>
      </w:r>
      <w:r w:rsidR="00B00F9E" w:rsidRPr="00B00F9E">
        <w:rPr>
          <w:rFonts w:eastAsiaTheme="minorHAnsi"/>
          <w:sz w:val="28"/>
          <w:szCs w:val="28"/>
          <w:lang w:eastAsia="en-US"/>
        </w:rPr>
        <w:t xml:space="preserve"> </w:t>
      </w:r>
      <w:r w:rsidRPr="00B00F9E">
        <w:rPr>
          <w:rFonts w:eastAsiaTheme="minorHAnsi"/>
          <w:sz w:val="28"/>
          <w:szCs w:val="28"/>
          <w:lang w:eastAsia="en-US"/>
        </w:rPr>
        <w:t>органів тощо);</w:t>
      </w:r>
    </w:p>
    <w:p w:rsidR="00B267FF" w:rsidRPr="00B00F9E" w:rsidRDefault="00B267FF" w:rsidP="00B267F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00F9E">
        <w:rPr>
          <w:rFonts w:eastAsiaTheme="minorHAnsi"/>
          <w:sz w:val="28"/>
          <w:szCs w:val="28"/>
          <w:lang w:eastAsia="en-US"/>
        </w:rPr>
        <w:t>складно відтворюються, що пояснюється їх унікальністю (вигідне</w:t>
      </w:r>
      <w:r w:rsidR="00B00F9E" w:rsidRPr="00B00F9E">
        <w:rPr>
          <w:rFonts w:eastAsiaTheme="minorHAnsi"/>
          <w:sz w:val="28"/>
          <w:szCs w:val="28"/>
          <w:lang w:eastAsia="en-US"/>
        </w:rPr>
        <w:t xml:space="preserve"> </w:t>
      </w:r>
      <w:r w:rsidRPr="00B00F9E">
        <w:rPr>
          <w:rFonts w:eastAsiaTheme="minorHAnsi"/>
          <w:sz w:val="28"/>
          <w:szCs w:val="28"/>
          <w:lang w:eastAsia="en-US"/>
        </w:rPr>
        <w:t>розміщення об’єктів нерухомості, патентний захист), капіталоємністю та</w:t>
      </w:r>
      <w:r w:rsidR="00B00F9E" w:rsidRPr="00B00F9E">
        <w:rPr>
          <w:rFonts w:eastAsiaTheme="minorHAnsi"/>
          <w:sz w:val="28"/>
          <w:szCs w:val="28"/>
          <w:lang w:eastAsia="en-US"/>
        </w:rPr>
        <w:t xml:space="preserve"> </w:t>
      </w:r>
      <w:r w:rsidRPr="00B00F9E">
        <w:rPr>
          <w:rFonts w:eastAsiaTheme="minorHAnsi"/>
          <w:sz w:val="28"/>
          <w:szCs w:val="28"/>
          <w:lang w:eastAsia="en-US"/>
        </w:rPr>
        <w:t>високими витратами часу на створення (репутація компанії, лояльність</w:t>
      </w:r>
      <w:r w:rsidR="00B00F9E" w:rsidRPr="00B00F9E">
        <w:rPr>
          <w:rFonts w:eastAsiaTheme="minorHAnsi"/>
          <w:sz w:val="28"/>
          <w:szCs w:val="28"/>
          <w:lang w:eastAsia="en-US"/>
        </w:rPr>
        <w:t xml:space="preserve"> </w:t>
      </w:r>
      <w:r w:rsidRPr="00B00F9E">
        <w:rPr>
          <w:rFonts w:eastAsiaTheme="minorHAnsi"/>
          <w:sz w:val="28"/>
          <w:szCs w:val="28"/>
          <w:lang w:eastAsia="en-US"/>
        </w:rPr>
        <w:t>споживачів).</w:t>
      </w:r>
    </w:p>
    <w:p w:rsid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67FF">
        <w:rPr>
          <w:rFonts w:eastAsiaTheme="minorHAnsi"/>
          <w:b/>
          <w:bCs/>
          <w:i/>
          <w:iCs/>
          <w:sz w:val="28"/>
          <w:szCs w:val="28"/>
          <w:lang w:eastAsia="en-US"/>
        </w:rPr>
        <w:lastRenderedPageBreak/>
        <w:t>3.2. Роль інтелектуального капіталу у формуванні бізнес-моделі компанії</w:t>
      </w:r>
    </w:p>
    <w:p w:rsidR="00B00F9E" w:rsidRPr="00B267FF" w:rsidRDefault="00B00F9E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Сьогодні очевидним стає факт, що рушійною силою розвитку бізнесу є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знання, за допомогою яких розробляються, втілюються і розвиваються інновації.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Все більшу роль у процесі створення цінності відіграють не матеріальні, а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інформаційні та інтелектуальні ресурси. При цьому, якщо раніше така тенденція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була характерна лише для компаній, що працюють у високотехнологічних сферах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(комп’ютерні технології, електроніка, комунікації), то сьогодні вона поширюється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і на традиційні галузі (металургія, автомобілебудування, легка промисловість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тощо). У фінансовому вимірі підтвердженням цього є випереджаюче зростання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ринкової ціни багатьох підприємств над балансовою оцінкою їх активів, що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підтверджує високу роль “невидимих” ресурсів у процесі створення вартості.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В сучасній економіці поступово зникають сфери, де домінуючу роль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відіграє лише фізичний капітал, а підприємства отримують домінантне положення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на ринку лише за рахунок доступу до певних матеріальних ресурсів. Отже,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формування ефективної моделі бізнесу неможливе без створення, використання,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відтворення та розвитку неосяжних ресурсів. Сучасне бачення неосяжних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факторів виробництва доданої цінності втілюється у понятті “інтелектуальний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капітал”. Науковці, консультанти, менеджери та фахівці, які займаються оцінкою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вартості компаній у більшості єдині у своїй думці відносно характеристики і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визначення суті цього нового економічного явища. Деякі дослідники навіть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стверджують, що для визначення вартості та обліку інтелектуального капіталу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необхідна нова фінансова та управлінська концепція.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Одним із перших поняття “інтелектуальний капітал” у науковий оборот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запровадив Т.Стюарт. Він визначив його як сукупність знань усіх працівників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компанії, що забезпечують її конкурентоспроможність.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Інтелектуальний капітал підприємства складається із трьох елементів:</w:t>
      </w:r>
    </w:p>
    <w:p w:rsidR="00B267FF" w:rsidRPr="008B55DF" w:rsidRDefault="00B267FF" w:rsidP="008B55D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B55DF">
        <w:rPr>
          <w:rFonts w:eastAsiaTheme="minorHAnsi"/>
          <w:sz w:val="28"/>
          <w:szCs w:val="28"/>
          <w:lang w:eastAsia="en-US"/>
        </w:rPr>
        <w:t>людського капіталу;</w:t>
      </w:r>
    </w:p>
    <w:p w:rsidR="00B267FF" w:rsidRPr="008B55DF" w:rsidRDefault="00B267FF" w:rsidP="008B55D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B55DF">
        <w:rPr>
          <w:rFonts w:eastAsiaTheme="minorHAnsi"/>
          <w:sz w:val="28"/>
          <w:szCs w:val="28"/>
          <w:lang w:eastAsia="en-US"/>
        </w:rPr>
        <w:t>структурного капіталу;</w:t>
      </w:r>
    </w:p>
    <w:p w:rsidR="00B267FF" w:rsidRPr="008B55DF" w:rsidRDefault="00B267FF" w:rsidP="008B55D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B55DF">
        <w:rPr>
          <w:rFonts w:eastAsiaTheme="minorHAnsi"/>
          <w:sz w:val="28"/>
          <w:szCs w:val="28"/>
          <w:lang w:eastAsia="en-US"/>
        </w:rPr>
        <w:t>ринкового капіталу (споживчого капіталу, капіталу відносин).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Людський капітал </w:t>
      </w:r>
      <w:r w:rsidRPr="00B267FF">
        <w:rPr>
          <w:rFonts w:eastAsiaTheme="minorHAnsi"/>
          <w:sz w:val="28"/>
          <w:szCs w:val="28"/>
          <w:lang w:eastAsia="en-US"/>
        </w:rPr>
        <w:t>(human capital) втілений у працівниках компанії або їх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колективах як сукупність знань, кваліфікації та новаторства кожного з них.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Компанія, яка розглядає свій персонал як людський капітал, отримує нові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можливості формування власних конкурентних переваг. Підвищення цінності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людського капіталу досягається завдяки системному розвитку персоналу у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відповідності до корпоративних стандартів.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b/>
          <w:bCs/>
          <w:sz w:val="28"/>
          <w:szCs w:val="28"/>
          <w:lang w:eastAsia="en-US"/>
        </w:rPr>
        <w:t xml:space="preserve">Структурний капітал </w:t>
      </w:r>
      <w:r w:rsidRPr="00B267FF">
        <w:rPr>
          <w:rFonts w:eastAsiaTheme="minorHAnsi"/>
          <w:sz w:val="28"/>
          <w:szCs w:val="28"/>
          <w:lang w:eastAsia="en-US"/>
        </w:rPr>
        <w:t>характеризує здатність компанії отримувати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економічні вигоди від інтелектуальної власності (нематеріальних активів) та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формалізованих у вигляді технологій, процедур і систем знань компанії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(інформаційні процедури, управлінські технології, система прийняття рішень,</w:t>
      </w:r>
      <w:r w:rsidR="008B55DF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філософія і корпоративна культура компанії);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b/>
          <w:bCs/>
          <w:sz w:val="28"/>
          <w:szCs w:val="28"/>
          <w:lang w:eastAsia="en-US"/>
        </w:rPr>
        <w:t xml:space="preserve">Ринковий капітал </w:t>
      </w:r>
      <w:r w:rsidRPr="00B267FF">
        <w:rPr>
          <w:rFonts w:eastAsiaTheme="minorHAnsi"/>
          <w:sz w:val="28"/>
          <w:szCs w:val="28"/>
          <w:lang w:eastAsia="en-US"/>
        </w:rPr>
        <w:t>– це здатність підприємства отримувати економічну</w:t>
      </w:r>
      <w:r w:rsidR="00117492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вигоду від взаємовідносин із зовнішніми контрагентами та іншими зацікавленими</w:t>
      </w:r>
      <w:r w:rsidR="00117492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сторонами (лояльність і відданість клієнтів, канали збуту, партнерські угоди з</w:t>
      </w:r>
      <w:r w:rsidR="00117492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постачальниками, альянси та кооперація, ліцензійні і франчайзингові угоди, бренд</w:t>
      </w:r>
      <w:r w:rsidR="00117492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тощо).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Окрім визначення суті та структури будь-яке економічне явище чи процес</w:t>
      </w:r>
      <w:r w:rsidR="00117492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потребує оцінки, оскільки “те що піддається оцінці, піддається й управлінню”. В</w:t>
      </w:r>
      <w:r w:rsidR="00117492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сучасній економічній літературі нараховується більше 30 методик оцінки</w:t>
      </w:r>
      <w:r w:rsidR="00117492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інтелектуального капіталу та окремих його елементів. В загальному, до основних</w:t>
      </w:r>
      <w:r w:rsidR="00117492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ознак того, що компанія володіє інтелектуальним капіталом відносять:</w:t>
      </w:r>
    </w:p>
    <w:p w:rsidR="00B267FF" w:rsidRPr="00117492" w:rsidRDefault="00B267FF" w:rsidP="0011749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7492">
        <w:rPr>
          <w:rFonts w:eastAsiaTheme="minorHAnsi"/>
          <w:sz w:val="28"/>
          <w:szCs w:val="28"/>
          <w:lang w:eastAsia="en-US"/>
        </w:rPr>
        <w:t>ринкова капіталізація компанії перевищує її балансову вартість;</w:t>
      </w:r>
    </w:p>
    <w:p w:rsidR="00B267FF" w:rsidRPr="00117492" w:rsidRDefault="00B267FF" w:rsidP="0011749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17492">
        <w:rPr>
          <w:rFonts w:eastAsiaTheme="minorHAnsi"/>
          <w:sz w:val="28"/>
          <w:szCs w:val="28"/>
          <w:lang w:eastAsia="en-US"/>
        </w:rPr>
        <w:t>співвідношення нематеріальних і матеріальних активів</w:t>
      </w:r>
      <w:r w:rsidR="00117492" w:rsidRPr="00117492">
        <w:rPr>
          <w:rFonts w:eastAsiaTheme="minorHAnsi"/>
          <w:sz w:val="28"/>
          <w:szCs w:val="28"/>
          <w:lang w:eastAsia="en-US"/>
        </w:rPr>
        <w:t xml:space="preserve"> </w:t>
      </w:r>
      <w:r w:rsidRPr="00117492">
        <w:rPr>
          <w:rFonts w:eastAsiaTheme="minorHAnsi"/>
          <w:sz w:val="28"/>
          <w:szCs w:val="28"/>
          <w:lang w:eastAsia="en-US"/>
        </w:rPr>
        <w:t xml:space="preserve">знаходиться в діапазоні </w:t>
      </w:r>
      <w:r w:rsidRPr="00117492">
        <w:rPr>
          <w:rFonts w:eastAsiaTheme="minorHAnsi"/>
          <w:b/>
          <w:bCs/>
          <w:sz w:val="28"/>
          <w:szCs w:val="28"/>
          <w:lang w:eastAsia="en-US"/>
        </w:rPr>
        <w:t>5/1 – 16/1.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В якості показника інтелектуальності бізнес-моделі компанії може</w:t>
      </w:r>
      <w:r w:rsidR="00117492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 xml:space="preserve">використовуватись коефіцієнт </w:t>
      </w:r>
      <w:r w:rsidRPr="00B267FF">
        <w:rPr>
          <w:rFonts w:eastAsiaTheme="minorHAnsi"/>
          <w:b/>
          <w:bCs/>
          <w:sz w:val="28"/>
          <w:szCs w:val="28"/>
          <w:lang w:eastAsia="en-US"/>
        </w:rPr>
        <w:t>Тобіна:</w:t>
      </w:r>
    </w:p>
    <w:p w:rsidR="00B267FF" w:rsidRPr="00B267FF" w:rsidRDefault="00B267FF" w:rsidP="00117492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b/>
          <w:bCs/>
          <w:sz w:val="28"/>
          <w:szCs w:val="28"/>
          <w:lang w:eastAsia="en-US"/>
        </w:rPr>
        <w:t xml:space="preserve">Кт = MV/VAr, </w:t>
      </w:r>
      <w:r w:rsidR="00117492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</w:t>
      </w:r>
      <w:r w:rsidRPr="00B267FF">
        <w:rPr>
          <w:rFonts w:eastAsiaTheme="minorHAnsi"/>
          <w:sz w:val="28"/>
          <w:szCs w:val="28"/>
          <w:lang w:eastAsia="en-US"/>
        </w:rPr>
        <w:t>(3.1)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 xml:space="preserve">де </w:t>
      </w:r>
      <w:r w:rsidRPr="00B267FF">
        <w:rPr>
          <w:rFonts w:eastAsiaTheme="minorHAnsi"/>
          <w:b/>
          <w:bCs/>
          <w:sz w:val="28"/>
          <w:szCs w:val="28"/>
          <w:lang w:eastAsia="en-US"/>
        </w:rPr>
        <w:t xml:space="preserve">MV – </w:t>
      </w:r>
      <w:r w:rsidRPr="00B267FF">
        <w:rPr>
          <w:rFonts w:eastAsiaTheme="minorHAnsi"/>
          <w:sz w:val="28"/>
          <w:szCs w:val="28"/>
          <w:lang w:eastAsia="en-US"/>
        </w:rPr>
        <w:t>ринкова капіталізація компанії;</w:t>
      </w:r>
      <w:r w:rsidR="00117492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b/>
          <w:bCs/>
          <w:sz w:val="28"/>
          <w:szCs w:val="28"/>
          <w:lang w:eastAsia="en-US"/>
        </w:rPr>
        <w:t xml:space="preserve">VAr – </w:t>
      </w:r>
      <w:r w:rsidRPr="00B267FF">
        <w:rPr>
          <w:rFonts w:eastAsiaTheme="minorHAnsi"/>
          <w:sz w:val="28"/>
          <w:szCs w:val="28"/>
          <w:lang w:eastAsia="en-US"/>
        </w:rPr>
        <w:t>вартість заміщення активів компанії (сума балансової вартості</w:t>
      </w:r>
      <w:r w:rsidR="00117492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активів).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lastRenderedPageBreak/>
        <w:t>Сьогодні у багатьох транснаціональних компаній коефіцієнт Тобіна</w:t>
      </w:r>
      <w:r w:rsidR="005762BC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коливається від 5 до 10. Для підприємств із наукомістких галузей, інтернет-компаній, а також тих, що займаються розробкою програмного забезпечення</w:t>
      </w:r>
      <w:r w:rsidR="005762BC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коефіцієнт Тобіна може становити кілька сотень. Це означає, що матеріальні</w:t>
      </w:r>
      <w:r w:rsidR="005762BC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активи практично не задіяні у створенні вартості, а головним виробничим</w:t>
      </w:r>
      <w:r w:rsidR="005762BC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фактором є інтелектуальний капітал. Однак, використання цього показника є</w:t>
      </w:r>
      <w:r w:rsidR="005762BC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обґрунтованим і дозволяє отримати достовірні результати тільки за умови, що у</w:t>
      </w:r>
      <w:r w:rsidR="005762BC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процес створення вартості залучені всі активи компанії. В умовах вітчизняного</w:t>
      </w:r>
      <w:r w:rsidR="005762BC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бізнесу така умова не завжди виконується, оскільки на багатьох підприємствах є</w:t>
      </w:r>
      <w:r w:rsidR="005762BC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“баласт” активів, які не використовуються у господарському процесі, а тому не</w:t>
      </w:r>
      <w:r w:rsidR="005762BC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створюють доданої вартості.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Піонером у практичному втіленні процедури оцінювання інтелектуального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капіталу стала шведська компанія “Scandia AFS”. Прийняти рішення про це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компанію змусили певні ринкові умови. Так, на початку 1990-х років у Швеції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відбулось зниження цін на ринку нерухомості. А оскільки основним видом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діяльності компанії було надання послуг у сфері страхування та фінансів, то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вартість активів за балансом зменшуватись, оскільки серед матеріальних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цінностей за балансом найбільшу вартість становили земля та офіс. Керівництво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компанії розуміло, що зниження балансової вартості компанії, яке відображалась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у публічних звітах, могло негативно вплинути на рішення інвесторів. Водночас, у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розпорядженні “Scandia AFS” були такі цінні ресурси, як персонал, клієнти та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налагоджена система бізнес-процесів. Однак, ці “невидимі” фактори створення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цінності у страховому бізнесі не могли бути відображені у традиційній фінансовій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звітності, а тому не дозволяли донести інвесторам повну інформацію про вартість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компанії.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Модель бізнесу компанії “Scandia AFS” будувалась взаємовідносинах із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партнерами по фінансовому ринку, брокерами та клієнтами, які отримували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фінансові та страхові послуги вищого рівня цінності. Саме ці неосяжні ресурси і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створювали основу вартості компанії. Розуміючи це, у 1993 компанія представила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інвесторам спеціально розроблений додаток до річної фінансової звітності, в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lastRenderedPageBreak/>
        <w:t>якому вперше була зроблена спроба поряд із матеріальними активами здійснити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оцінку інтелектуального капіталу. Звіт про інтелектуальний капітал компанія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“Scandia AFS” пов’язує безпосередньо з процесом стратегічного планування, а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тому до складу елементів інтелектуальних ресурсів були включені ті, що, на</w:t>
      </w:r>
      <w:r w:rsidR="00B41884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думку менеджерів, мають найбільший вплив на досягнення стратегічних цілей.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У подальшому спеціально створений компанією ІТ-підрозділ розробив</w:t>
      </w:r>
      <w:r w:rsidR="005F52D7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 xml:space="preserve">систему оцінки інтелектуального капіталу </w:t>
      </w:r>
      <w:r w:rsidRPr="00B267FF">
        <w:rPr>
          <w:rFonts w:eastAsiaTheme="minorHAnsi"/>
          <w:i/>
          <w:iCs/>
          <w:sz w:val="28"/>
          <w:szCs w:val="28"/>
          <w:lang w:eastAsia="en-US"/>
        </w:rPr>
        <w:t xml:space="preserve">Dolphin Navigator, </w:t>
      </w:r>
      <w:r w:rsidRPr="00B267FF">
        <w:rPr>
          <w:rFonts w:eastAsiaTheme="minorHAnsi"/>
          <w:sz w:val="28"/>
          <w:szCs w:val="28"/>
          <w:lang w:eastAsia="en-US"/>
        </w:rPr>
        <w:t>що почала</w:t>
      </w:r>
      <w:r w:rsidR="005F52D7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використовуватись з 1998 року. Структура інтелектуального капіталу за системою</w:t>
      </w:r>
      <w:r w:rsidR="005F52D7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оцінки компанії “Scandia AFS” наведена на рис. 3.3.</w:t>
      </w:r>
    </w:p>
    <w:p w:rsidR="005F52D7" w:rsidRDefault="005F52D7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764D5D" wp14:editId="4F82CA74">
                <wp:simplePos x="0" y="0"/>
                <wp:positionH relativeFrom="column">
                  <wp:posOffset>929640</wp:posOffset>
                </wp:positionH>
                <wp:positionV relativeFrom="paragraph">
                  <wp:posOffset>46990</wp:posOffset>
                </wp:positionV>
                <wp:extent cx="4800600" cy="3350895"/>
                <wp:effectExtent l="0" t="0" r="19050" b="20955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350895"/>
                          <a:chOff x="3474" y="1134"/>
                          <a:chExt cx="7560" cy="5277"/>
                        </a:xfrm>
                      </wpg:grpSpPr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914" y="1134"/>
                            <a:ext cx="28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2D7" w:rsidRPr="00EF7B38" w:rsidRDefault="005F52D7" w:rsidP="00282D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Інтелектуальний капітал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/>
                        <wps:spPr bwMode="auto">
                          <a:xfrm flipH="1">
                            <a:off x="5274" y="1832"/>
                            <a:ext cx="720" cy="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/>
                        <wps:spPr bwMode="auto">
                          <a:xfrm>
                            <a:off x="6894" y="1911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74" y="2649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2D7" w:rsidRPr="00EF7B38" w:rsidRDefault="005F52D7" w:rsidP="00282D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Людський капітал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174" y="2631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2D7" w:rsidRPr="00EF7B38" w:rsidRDefault="005F52D7" w:rsidP="00282D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Структурний капітал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8"/>
                        <wps:cNvCnPr/>
                        <wps:spPr bwMode="auto">
                          <a:xfrm flipH="1">
                            <a:off x="5994" y="3531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7794" y="3531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194" y="4071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2D7" w:rsidRPr="00A140CB" w:rsidRDefault="005F52D7" w:rsidP="00282DFB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Капітал відносин із </w:t>
                              </w:r>
                              <w:r w:rsidRPr="00A140CB">
                                <w:rPr>
                                  <w:b/>
                                  <w:lang w:val="ru-RU"/>
                                </w:rPr>
                                <w:t>клієнтами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434" y="4071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2D7" w:rsidRPr="00EF7B38" w:rsidRDefault="005F52D7" w:rsidP="00282D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Організаційний капітал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2"/>
                        <wps:cNvCnPr/>
                        <wps:spPr bwMode="auto">
                          <a:xfrm flipH="1">
                            <a:off x="6894" y="4971"/>
                            <a:ext cx="14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/>
                        <wps:spPr bwMode="auto">
                          <a:xfrm>
                            <a:off x="9234" y="4971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914" y="5511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2D7" w:rsidRPr="00EF7B38" w:rsidRDefault="005F52D7" w:rsidP="00282D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Інноваційний капітал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514" y="5511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2D7" w:rsidRPr="00EF7B38" w:rsidRDefault="005F52D7" w:rsidP="00282D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F7B38">
                                <w:rPr>
                                  <w:b/>
                                </w:rPr>
                                <w:t>Про</w:t>
                              </w:r>
                              <w:r>
                                <w:rPr>
                                  <w:b/>
                                </w:rPr>
                                <w:t>цесний капітал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" o:spid="_x0000_s1054" style="position:absolute;left:0;text-align:left;margin-left:73.2pt;margin-top:3.7pt;width:378pt;height:263.85pt;z-index:251659264" coordorigin="3474,1134" coordsize="7560,5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">
                <v:rect id="Rectangle 73" o:spid="_x0000_s1055" style="position:absolute;left:4914;top:1134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5F52D7" w:rsidRPr="00EF7B38" w:rsidRDefault="005F52D7" w:rsidP="00282D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Інтелектуальний капітал</w:t>
                        </w:r>
                      </w:p>
                    </w:txbxContent>
                  </v:textbox>
                </v:rect>
                <v:line id="Line 74" o:spid="_x0000_s1056" style="position:absolute;flip:x;visibility:visible;mso-wrap-style:square" from="5274,1832" to="5994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<v:stroke endarrow="block"/>
                </v:line>
                <v:line id="Line 75" o:spid="_x0000_s1057" style="position:absolute;visibility:visible;mso-wrap-style:square" from="6894,1911" to="7614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rect id="Rectangle 76" o:spid="_x0000_s1058" style="position:absolute;left:3474;top:2649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5F52D7" w:rsidRPr="00EF7B38" w:rsidRDefault="005F52D7" w:rsidP="00282D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Людський капітал</w:t>
                        </w:r>
                      </w:p>
                    </w:txbxContent>
                  </v:textbox>
                </v:rect>
                <v:rect id="Rectangle 77" o:spid="_x0000_s1059" style="position:absolute;left:6174;top:2631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5F52D7" w:rsidRPr="00EF7B38" w:rsidRDefault="005F52D7" w:rsidP="00282D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Структурний капітал</w:t>
                        </w:r>
                      </w:p>
                    </w:txbxContent>
                  </v:textbox>
                </v:rect>
                <v:line id="Line 78" o:spid="_x0000_s1060" style="position:absolute;flip:x;visibility:visible;mso-wrap-style:square" from="5994,3531" to="6894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    <v:stroke endarrow="block"/>
                </v:line>
                <v:line id="Line 79" o:spid="_x0000_s1061" style="position:absolute;visibility:visible;mso-wrap-style:square" from="7794,3531" to="8694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rect id="Rectangle 80" o:spid="_x0000_s1062" style="position:absolute;left:4194;top:4071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5F52D7" w:rsidRPr="00A140CB" w:rsidRDefault="005F52D7" w:rsidP="00282DFB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 xml:space="preserve">Капітал відносин із </w:t>
                        </w:r>
                        <w:r w:rsidRPr="00A140CB">
                          <w:rPr>
                            <w:b/>
                            <w:lang w:val="ru-RU"/>
                          </w:rPr>
                          <w:t>клієнтами</w:t>
                        </w:r>
                      </w:p>
                    </w:txbxContent>
                  </v:textbox>
                </v:rect>
                <v:rect id="Rectangle 81" o:spid="_x0000_s1063" style="position:absolute;left:7434;top:4071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5F52D7" w:rsidRPr="00EF7B38" w:rsidRDefault="005F52D7" w:rsidP="00282D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Організаційний капітал</w:t>
                        </w:r>
                      </w:p>
                    </w:txbxContent>
                  </v:textbox>
                </v:rect>
                <v:line id="Line 82" o:spid="_x0000_s1064" style="position:absolute;flip:x;visibility:visible;mso-wrap-style:square" from="6894,4971" to="8334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line id="Line 83" o:spid="_x0000_s1065" style="position:absolute;visibility:visible;mso-wrap-style:square" from="9234,4971" to="10134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rect id="Rectangle 84" o:spid="_x0000_s1066" style="position:absolute;left:4914;top:5511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5F52D7" w:rsidRPr="00EF7B38" w:rsidRDefault="005F52D7" w:rsidP="00282D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Інноваційний капітал</w:t>
                        </w:r>
                      </w:p>
                    </w:txbxContent>
                  </v:textbox>
                </v:rect>
                <v:rect id="Rectangle 85" o:spid="_x0000_s1067" style="position:absolute;left:8514;top:5511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<v:textbox>
                    <w:txbxContent>
                      <w:p w:rsidR="005F52D7" w:rsidRPr="00EF7B38" w:rsidRDefault="005F52D7" w:rsidP="00282DFB">
                        <w:pPr>
                          <w:jc w:val="center"/>
                          <w:rPr>
                            <w:b/>
                          </w:rPr>
                        </w:pPr>
                        <w:r w:rsidRPr="00EF7B38">
                          <w:rPr>
                            <w:b/>
                          </w:rPr>
                          <w:t>Про</w:t>
                        </w:r>
                        <w:r>
                          <w:rPr>
                            <w:b/>
                          </w:rPr>
                          <w:t>цесний капітал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F52D7" w:rsidRDefault="005F52D7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F52D7" w:rsidRDefault="005F52D7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F52D7" w:rsidRDefault="005F52D7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F52D7" w:rsidRDefault="005F52D7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F52D7" w:rsidRDefault="005F52D7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F52D7" w:rsidRDefault="005F52D7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F52D7" w:rsidRDefault="005F52D7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F52D7" w:rsidRDefault="005F52D7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F52D7" w:rsidRDefault="005F52D7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F52D7" w:rsidRDefault="005F52D7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F52D7" w:rsidRDefault="005F52D7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F52D7" w:rsidRDefault="005F52D7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 xml:space="preserve">Рис. 3.3. </w:t>
      </w:r>
      <w:r w:rsidRPr="00B267FF">
        <w:rPr>
          <w:rFonts w:eastAsiaTheme="minorHAnsi"/>
          <w:b/>
          <w:bCs/>
          <w:sz w:val="28"/>
          <w:szCs w:val="28"/>
          <w:lang w:eastAsia="en-US"/>
        </w:rPr>
        <w:t>Структура інтелектуального капіталу за системою оцінки</w:t>
      </w:r>
    </w:p>
    <w:p w:rsidR="00B267FF" w:rsidRPr="00B267FF" w:rsidRDefault="00B267FF" w:rsidP="005F52D7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267FF">
        <w:rPr>
          <w:rFonts w:eastAsiaTheme="minorHAnsi"/>
          <w:b/>
          <w:bCs/>
          <w:sz w:val="28"/>
          <w:szCs w:val="28"/>
          <w:lang w:eastAsia="en-US"/>
        </w:rPr>
        <w:t>компанії “Scandia AFS”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Найбільш вагомими елементами інтелектуального капіталу для досягнення</w:t>
      </w:r>
      <w:r w:rsidR="005F52D7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стратегічних цілей бізнес-моделі компанії “Scandia AFS” є: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b/>
          <w:bCs/>
          <w:sz w:val="28"/>
          <w:szCs w:val="28"/>
          <w:lang w:eastAsia="en-US"/>
        </w:rPr>
        <w:t xml:space="preserve">Людський капітал – </w:t>
      </w:r>
      <w:r w:rsidRPr="00B267FF">
        <w:rPr>
          <w:rFonts w:eastAsiaTheme="minorHAnsi"/>
          <w:sz w:val="28"/>
          <w:szCs w:val="28"/>
          <w:lang w:eastAsia="en-US"/>
        </w:rPr>
        <w:t>сукупна величина інвестицій у навчання, кваліфікацію</w:t>
      </w:r>
      <w:r w:rsidR="005F52D7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і формування досвіду працівників. Оцінюється також компетентність працівника,</w:t>
      </w:r>
      <w:r w:rsidR="005F52D7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його комунікабельність і персональний внесок у діяльність компанії.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Структурний капітал – </w:t>
      </w:r>
      <w:r w:rsidRPr="00B267FF">
        <w:rPr>
          <w:rFonts w:eastAsiaTheme="minorHAnsi"/>
          <w:sz w:val="28"/>
          <w:szCs w:val="28"/>
          <w:lang w:eastAsia="en-US"/>
        </w:rPr>
        <w:t>бази даних, списки клієнтів, торгові марки,</w:t>
      </w:r>
      <w:r w:rsidR="005F52D7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корпоративна культура, організаційна структура тощо.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b/>
          <w:bCs/>
          <w:sz w:val="28"/>
          <w:szCs w:val="28"/>
          <w:lang w:eastAsia="en-US"/>
        </w:rPr>
        <w:t xml:space="preserve">Організаційний капітал – </w:t>
      </w:r>
      <w:r w:rsidRPr="00B267FF">
        <w:rPr>
          <w:rFonts w:eastAsiaTheme="minorHAnsi"/>
          <w:sz w:val="28"/>
          <w:szCs w:val="28"/>
          <w:lang w:eastAsia="en-US"/>
        </w:rPr>
        <w:t>сукупність організаційних компетенцій</w:t>
      </w:r>
      <w:r w:rsidR="005F52D7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компанії, що дозволяють реалізувати її здатність до інвестицій та інновацій.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b/>
          <w:bCs/>
          <w:sz w:val="28"/>
          <w:szCs w:val="28"/>
          <w:lang w:eastAsia="en-US"/>
        </w:rPr>
        <w:t xml:space="preserve">Інноваційний капітал – </w:t>
      </w:r>
      <w:r w:rsidRPr="00B267FF">
        <w:rPr>
          <w:rFonts w:eastAsiaTheme="minorHAnsi"/>
          <w:sz w:val="28"/>
          <w:szCs w:val="28"/>
          <w:lang w:eastAsia="en-US"/>
        </w:rPr>
        <w:t>інтелектуальна власність компанії, що захищена</w:t>
      </w:r>
      <w:r w:rsidR="005F52D7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юридично, комерційні таємниці тощо.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b/>
          <w:bCs/>
          <w:sz w:val="28"/>
          <w:szCs w:val="28"/>
          <w:lang w:eastAsia="en-US"/>
        </w:rPr>
        <w:t xml:space="preserve">Процесний капітал – </w:t>
      </w:r>
      <w:r w:rsidRPr="00B267FF">
        <w:rPr>
          <w:rFonts w:eastAsiaTheme="minorHAnsi"/>
          <w:sz w:val="28"/>
          <w:szCs w:val="28"/>
          <w:lang w:eastAsia="en-US"/>
        </w:rPr>
        <w:t>загальна вартість системи бізнес-процесів компанії.</w:t>
      </w:r>
      <w:r w:rsidR="005F52D7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 останні роки серед менеджерів не тільки зарубіжних, але й вітчизняних</w:t>
      </w:r>
      <w:r w:rsidR="005F52D7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підприємств поглиблюється розуміння необхідності ідентифікації та оцінки</w:t>
      </w:r>
      <w:r w:rsidR="005F52D7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елементів інтелектуального капіталу як важливого фактора створення унікальної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цінності. Це також обумовлює потребу формування бізнес-моделі компанії із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використанням системи управління інтелектуальним капіталом. Відомий західний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консультант Є. Брукінг визначає такі напрямки управління інтелектуальним</w:t>
      </w:r>
      <w:r w:rsidR="00406538">
        <w:rPr>
          <w:rFonts w:eastAsiaTheme="minorHAnsi"/>
          <w:sz w:val="28"/>
          <w:szCs w:val="28"/>
          <w:lang w:eastAsia="en-US"/>
        </w:rPr>
        <w:t xml:space="preserve">  </w:t>
      </w:r>
      <w:r w:rsidRPr="00B267FF">
        <w:rPr>
          <w:rFonts w:eastAsiaTheme="minorHAnsi"/>
          <w:sz w:val="28"/>
          <w:szCs w:val="28"/>
          <w:lang w:eastAsia="en-US"/>
        </w:rPr>
        <w:t>капіталом (ІК):</w:t>
      </w:r>
    </w:p>
    <w:p w:rsidR="00B267FF" w:rsidRPr="00406538" w:rsidRDefault="00B267FF" w:rsidP="00406538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06538">
        <w:rPr>
          <w:rFonts w:eastAsiaTheme="minorHAnsi"/>
          <w:sz w:val="28"/>
          <w:szCs w:val="28"/>
          <w:lang w:eastAsia="en-US"/>
        </w:rPr>
        <w:t>ідентифікація елементів ІК;</w:t>
      </w:r>
    </w:p>
    <w:p w:rsidR="00B267FF" w:rsidRPr="00406538" w:rsidRDefault="00B267FF" w:rsidP="00406538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06538">
        <w:rPr>
          <w:rFonts w:eastAsiaTheme="minorHAnsi"/>
          <w:sz w:val="28"/>
          <w:szCs w:val="28"/>
          <w:lang w:eastAsia="en-US"/>
        </w:rPr>
        <w:t>розробка політики розвитку ІК;</w:t>
      </w:r>
    </w:p>
    <w:p w:rsidR="00B267FF" w:rsidRPr="00406538" w:rsidRDefault="00B267FF" w:rsidP="00406538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06538">
        <w:rPr>
          <w:rFonts w:eastAsiaTheme="minorHAnsi"/>
          <w:sz w:val="28"/>
          <w:szCs w:val="28"/>
          <w:lang w:eastAsia="en-US"/>
        </w:rPr>
        <w:t>аудит ІК;</w:t>
      </w:r>
    </w:p>
    <w:p w:rsidR="00B267FF" w:rsidRPr="00406538" w:rsidRDefault="00B267FF" w:rsidP="00406538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06538">
        <w:rPr>
          <w:rFonts w:eastAsiaTheme="minorHAnsi"/>
          <w:sz w:val="28"/>
          <w:szCs w:val="28"/>
          <w:lang w:eastAsia="en-US"/>
        </w:rPr>
        <w:t>документальне оформлення ІК;</w:t>
      </w:r>
    </w:p>
    <w:p w:rsidR="00B267FF" w:rsidRPr="00406538" w:rsidRDefault="00B267FF" w:rsidP="00406538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06538">
        <w:rPr>
          <w:rFonts w:eastAsiaTheme="minorHAnsi"/>
          <w:sz w:val="28"/>
          <w:szCs w:val="28"/>
          <w:lang w:eastAsia="en-US"/>
        </w:rPr>
        <w:t>захист ІК;</w:t>
      </w:r>
    </w:p>
    <w:p w:rsidR="00B267FF" w:rsidRPr="00406538" w:rsidRDefault="00B267FF" w:rsidP="00406538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06538">
        <w:rPr>
          <w:rFonts w:eastAsiaTheme="minorHAnsi"/>
          <w:sz w:val="28"/>
          <w:szCs w:val="28"/>
          <w:lang w:eastAsia="en-US"/>
        </w:rPr>
        <w:t>поширення ІК;</w:t>
      </w:r>
    </w:p>
    <w:p w:rsidR="00B267FF" w:rsidRPr="00B267FF" w:rsidRDefault="00406538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267FF" w:rsidRPr="00B267FF">
        <w:rPr>
          <w:rFonts w:eastAsiaTheme="minorHAnsi"/>
          <w:sz w:val="28"/>
          <w:szCs w:val="28"/>
          <w:lang w:eastAsia="en-US"/>
        </w:rPr>
        <w:t>примноження та відтворення ІК.</w:t>
      </w:r>
    </w:p>
    <w:p w:rsidR="00406538" w:rsidRDefault="00406538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B267FF" w:rsidRDefault="00B267FF" w:rsidP="00406538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67FF">
        <w:rPr>
          <w:rFonts w:eastAsiaTheme="minorHAnsi"/>
          <w:b/>
          <w:bCs/>
          <w:i/>
          <w:iCs/>
          <w:sz w:val="28"/>
          <w:szCs w:val="28"/>
          <w:lang w:eastAsia="en-US"/>
        </w:rPr>
        <w:t>3.3. Визначення та види ресурсних ефектів</w:t>
      </w:r>
    </w:p>
    <w:p w:rsidR="00406538" w:rsidRPr="00B267FF" w:rsidRDefault="00406538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Кожна компанія формує та використовує різні комбінації ресурсів для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досягнення конкурентоспроможності на ринку. Умовою ефективного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використання стратегічних ресурсів підприємства, що становлять основу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 xml:space="preserve">конкурентної переваги, є безперервний пошук можливостей отримати </w:t>
      </w:r>
      <w:r w:rsidRPr="00B267FF">
        <w:rPr>
          <w:rFonts w:eastAsiaTheme="minorHAnsi"/>
          <w:i/>
          <w:iCs/>
          <w:sz w:val="28"/>
          <w:szCs w:val="28"/>
          <w:lang w:eastAsia="en-US"/>
        </w:rPr>
        <w:t>ресурсні</w:t>
      </w:r>
      <w:r w:rsidR="00406538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i/>
          <w:iCs/>
          <w:sz w:val="28"/>
          <w:szCs w:val="28"/>
          <w:lang w:eastAsia="en-US"/>
        </w:rPr>
        <w:t>ефекти. Ресурсний ефект – це результат оптимального використання</w:t>
      </w:r>
      <w:r w:rsidR="00406538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i/>
          <w:iCs/>
          <w:sz w:val="28"/>
          <w:szCs w:val="28"/>
          <w:lang w:eastAsia="en-US"/>
        </w:rPr>
        <w:t>потенціалу ресурсів компанії та їх комбінацій, що забезпечує генерування</w:t>
      </w:r>
      <w:r w:rsidR="00406538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i/>
          <w:iCs/>
          <w:sz w:val="28"/>
          <w:szCs w:val="28"/>
          <w:lang w:eastAsia="en-US"/>
        </w:rPr>
        <w:lastRenderedPageBreak/>
        <w:t>додаткових грошових потоків або формування нових стратегічних</w:t>
      </w:r>
      <w:r w:rsidR="00406538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i/>
          <w:iCs/>
          <w:sz w:val="28"/>
          <w:szCs w:val="28"/>
          <w:lang w:eastAsia="en-US"/>
        </w:rPr>
        <w:t>можливостей.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Повне використання потенціалу кожного ресурсу є важливим завданням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менеджменту компанії. Якщо керівництво невірно оцінило потенціал стратегічних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ресурсів, то розроблена стратегія та сформована для її реалізації бізнес-модель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компанії не отримає необхідної ресурсної підтримки. З іншого боку, незадіяний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ресурсний потенціал – це втрачені альтернативні можливості бізнесу щодо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генерування додаткових доходів і формування конкурентних переваг, адже як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говориться у старому японському прислів’ї: «Надто багато – все рівно, що надто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мало».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Залежно від того, яка категорія ресурсів використовується, визначають такі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види ресурсних ефектів: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 комплементарний (доповнюючий) ресурсний ефект – це результат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оптимального використання потенціалу одного і того ж осяжного (матеріального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чи фінансового ресурсу) у двох чи більше непов’язаних видах бізнесу компанії у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різний період часу;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 мультиплікативний ресурсний ефект – результат оптимального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використання потенціалу одного і того ж неосяжного ресурсу у двох чи більше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видах бізнесу компанії одночасно;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b/>
          <w:bCs/>
          <w:sz w:val="28"/>
          <w:szCs w:val="28"/>
          <w:lang w:eastAsia="en-US"/>
        </w:rPr>
        <w:t xml:space="preserve">Комплементарний (доповнюючий) ресурсний ефект </w:t>
      </w:r>
      <w:r w:rsidRPr="00B267FF">
        <w:rPr>
          <w:rFonts w:eastAsiaTheme="minorHAnsi"/>
          <w:sz w:val="28"/>
          <w:szCs w:val="28"/>
          <w:lang w:eastAsia="en-US"/>
        </w:rPr>
        <w:t>досягається від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використання осяжних ресурсів, які підприємство може придбати або залучити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ззовні для формування бізнес-моделі. Комплементарний ефект виникає, коли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максимальна потужність матеріального ресурсу (активу) перевищує потребу у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ньому на певному ринку (бізнесі) або коли цей ресурс (актив) використовується з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різною часовою періодичністю (сезонно) чи інтенсивністю або мають місце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флуктації потреб в обсягах цих ресурсів. Дія комплементарного ефекту є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обмеженою обсягами матеріальних ресурсів чи потужністю матеріальних активів.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Наприклад: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 гірськолижний курорт може ефективно функціонувати тільки в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зимову пору року. Для отримання комплементарного ефекту від використання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 xml:space="preserve">такого </w:t>
      </w:r>
      <w:r w:rsidRPr="00B267FF">
        <w:rPr>
          <w:rFonts w:eastAsiaTheme="minorHAnsi"/>
          <w:sz w:val="28"/>
          <w:szCs w:val="28"/>
          <w:lang w:eastAsia="en-US"/>
        </w:rPr>
        <w:lastRenderedPageBreak/>
        <w:t>матеріального активу курорту, як готельний комплекс, необхідно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організувати його функціонування влітку. Зокрема, генерувати додаткові грошові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потоки від використання готелю влітку можна, побудувавши там корти для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тенісу, поля для гольфу та іншу інфраструктуру для літнього відпочинку;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 навчальні аудиторії в університеті чи будь-якому іншому навчальному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закладі найбільше завантажені в основному у першій половині робочого дня.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Доповнюючим ресурсним ефектом від використання цих активів для навчального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закладу може бути дохід від їх оренди у неробочий час іншими суб’єктами для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проведення тренінгів, організації комерційних курсів вивчення іноземних мов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тощо.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Для отримання комплементарного ресурсного ефекту, як правило,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необхідно здійснити певні витрати для забезпечення можливості додаткового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використання матеріального активу. У наведених прикладах такими витратами є: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- інвестиції у створення інфраструктури для літнього відпочинку у готелі;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- вартість освітлення та інші організаційні витрати, пов’язані із організацією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оренди навчальних приміщень.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Дія комплементарного ефекту поширюється не тільки на матеріальні, але й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на фінансові ресурси. Дана ситуація має місце тоді, коли фінансові ресурси, що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генеруються від певного виду бізнесу компанії, не освоюються ним повністю.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Тоді ці тимчасово вільні кошти можна використати для фінансування інших видів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бізнесу, що дозволить згенерувати додатковий доход.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b/>
          <w:bCs/>
          <w:sz w:val="28"/>
          <w:szCs w:val="28"/>
          <w:lang w:eastAsia="en-US"/>
        </w:rPr>
        <w:t xml:space="preserve">Мультиплікативний ресурсний ефект </w:t>
      </w:r>
      <w:r w:rsidRPr="00B267FF">
        <w:rPr>
          <w:rFonts w:eastAsiaTheme="minorHAnsi"/>
          <w:sz w:val="28"/>
          <w:szCs w:val="28"/>
          <w:lang w:eastAsia="en-US"/>
        </w:rPr>
        <w:t>забезпечується в результаті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використання неосяжних ресурсів одночасно у декількох напрямках діяльності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компанії без додаткових витрат. Ці ресурси, як правило, акумулюються всередині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компанії, оскільки їх складно або неможливо залучити чи придбати ззовні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(наприклад, лояльність споживачів, досвід, корпоративні знання тощо). Дія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мультиплікативного ефекту є необмеженою, оскільки потужність неосяжних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ресурсів не може бути чітко визначена за часом чи виміряна за обсягом.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Наприклад: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lastRenderedPageBreak/>
        <w:t> компанія може використати такий неосяжний ресурс, як сформований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бренд своїх товарів чи послуг для виведення на ринок нових видів продукції.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Використання цього ресурсу може здійснюватись одночасно як для існуючого,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так і для нових видів діяльності. Тобто, компанія не потребує додаткових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інвестицій на формування нового бренду, а використовує потенціал вже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існуючого позитивного сприйняття її споживачами для розвитку нових видів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бізнесу та генерації додаткових грошових потоків. Так, концерн Rainford спочатку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виробляв телевізори, згодом під цією ж маркою почав випускати іншу побутову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техніку, а також використав цей неосяжний ресурс для диверсифікації діяльності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– виробництва продуктів харчування;</w:t>
      </w:r>
    </w:p>
    <w:p w:rsidR="00B267FF" w:rsidRPr="00B267FF" w:rsidRDefault="00B267FF" w:rsidP="00B26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67FF">
        <w:rPr>
          <w:rFonts w:eastAsiaTheme="minorHAnsi"/>
          <w:sz w:val="28"/>
          <w:szCs w:val="28"/>
          <w:lang w:eastAsia="en-US"/>
        </w:rPr>
        <w:t> людський капітал підприємства, що втілений у знаннях і досвіді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персоналу може бути джерелом отримання мультиплікативного ресурсного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ефекту, якщо фахівці використовуватимуть накопичений інтелектуальний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потенціал у розробках інноваційних видів продукції, створенні та освоєнні нових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технологій чи здійсненні нових видів діяльності.</w:t>
      </w:r>
    </w:p>
    <w:p w:rsidR="00CB0082" w:rsidRPr="00B267FF" w:rsidRDefault="00B267FF" w:rsidP="0040653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67FF">
        <w:rPr>
          <w:rFonts w:eastAsiaTheme="minorHAnsi"/>
          <w:sz w:val="28"/>
          <w:szCs w:val="28"/>
          <w:lang w:eastAsia="en-US"/>
        </w:rPr>
        <w:t>Хоча дія мультиплікативного ефекту є необмеженою, однак вона може мати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зворотний характер. Так, якщо нова продукція, що випущена під відомим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брендом компанії, виявиться неякісною, це може зменшити кількість її лояльних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покупців і негативно вплинути на імідж бізнесу загалом. Тому важливим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завданням менеджерів підприємства є глибока оцінка перспектив використання</w:t>
      </w:r>
      <w:r w:rsidR="00406538">
        <w:rPr>
          <w:rFonts w:eastAsiaTheme="minorHAnsi"/>
          <w:sz w:val="28"/>
          <w:szCs w:val="28"/>
          <w:lang w:eastAsia="en-US"/>
        </w:rPr>
        <w:t xml:space="preserve"> </w:t>
      </w:r>
      <w:r w:rsidRPr="00B267FF">
        <w:rPr>
          <w:rFonts w:eastAsiaTheme="minorHAnsi"/>
          <w:sz w:val="28"/>
          <w:szCs w:val="28"/>
          <w:lang w:eastAsia="en-US"/>
        </w:rPr>
        <w:t>неосяжних ресурсів для отримання мультиплікативного ефекту.</w:t>
      </w:r>
      <w:bookmarkStart w:id="0" w:name="_GoBack"/>
      <w:bookmarkEnd w:id="0"/>
    </w:p>
    <w:sectPr w:rsidR="00CB0082" w:rsidRPr="00B267FF" w:rsidSect="00B267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9.75pt;height:9pt" o:bullet="t">
        <v:imagedata r:id="rId1" o:title="BD21297_"/>
      </v:shape>
    </w:pict>
  </w:numPicBullet>
  <w:abstractNum w:abstractNumId="0">
    <w:nsid w:val="04711D92"/>
    <w:multiLevelType w:val="hybridMultilevel"/>
    <w:tmpl w:val="47C0F928"/>
    <w:lvl w:ilvl="0" w:tplc="DCA2E81E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BD1CE9"/>
    <w:multiLevelType w:val="hybridMultilevel"/>
    <w:tmpl w:val="7EB08EF2"/>
    <w:lvl w:ilvl="0" w:tplc="2C10B0E2">
      <w:start w:val="1"/>
      <w:numFmt w:val="bullet"/>
      <w:lvlText w:val=""/>
      <w:lvlPicBulletId w:val="0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45E11044"/>
    <w:multiLevelType w:val="hybridMultilevel"/>
    <w:tmpl w:val="48A41B78"/>
    <w:lvl w:ilvl="0" w:tplc="A4409A5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F7D3F62"/>
    <w:multiLevelType w:val="hybridMultilevel"/>
    <w:tmpl w:val="972E2F7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96E1BF9"/>
    <w:multiLevelType w:val="hybridMultilevel"/>
    <w:tmpl w:val="0194EBD0"/>
    <w:lvl w:ilvl="0" w:tplc="C4A0BB4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E7A2FC1"/>
    <w:multiLevelType w:val="hybridMultilevel"/>
    <w:tmpl w:val="804EC824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D3C6FC5"/>
    <w:multiLevelType w:val="hybridMultilevel"/>
    <w:tmpl w:val="5A3AF338"/>
    <w:lvl w:ilvl="0" w:tplc="A4409A5A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FF"/>
    <w:rsid w:val="000E4569"/>
    <w:rsid w:val="00117492"/>
    <w:rsid w:val="00244E71"/>
    <w:rsid w:val="00406538"/>
    <w:rsid w:val="005762BC"/>
    <w:rsid w:val="005F52D7"/>
    <w:rsid w:val="008B55DF"/>
    <w:rsid w:val="00953F70"/>
    <w:rsid w:val="00B00F9E"/>
    <w:rsid w:val="00B267FF"/>
    <w:rsid w:val="00B41884"/>
    <w:rsid w:val="00B66361"/>
    <w:rsid w:val="00BE4EBD"/>
    <w:rsid w:val="00C07733"/>
    <w:rsid w:val="00E93CA2"/>
    <w:rsid w:val="00FB27C4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267FF"/>
    <w:pPr>
      <w:keepNext/>
      <w:spacing w:line="360" w:lineRule="auto"/>
      <w:ind w:firstLine="545"/>
      <w:jc w:val="both"/>
      <w:outlineLvl w:val="0"/>
    </w:pPr>
    <w:rPr>
      <w:rFonts w:eastAsia="Arial Unicode MS" w:cs="Tahoma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7FF"/>
    <w:rPr>
      <w:rFonts w:ascii="Times New Roman" w:eastAsia="Arial Unicode MS" w:hAnsi="Times New Roman" w:cs="Tahoma"/>
      <w:b/>
      <w:bCs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B267FF"/>
    <w:pPr>
      <w:ind w:firstLine="540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B26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7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267FF"/>
    <w:pPr>
      <w:keepNext/>
      <w:spacing w:line="360" w:lineRule="auto"/>
      <w:ind w:firstLine="545"/>
      <w:jc w:val="both"/>
      <w:outlineLvl w:val="0"/>
    </w:pPr>
    <w:rPr>
      <w:rFonts w:eastAsia="Arial Unicode MS" w:cs="Tahoma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7FF"/>
    <w:rPr>
      <w:rFonts w:ascii="Times New Roman" w:eastAsia="Arial Unicode MS" w:hAnsi="Times New Roman" w:cs="Tahoma"/>
      <w:b/>
      <w:bCs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B267FF"/>
    <w:pPr>
      <w:ind w:firstLine="540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B26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dcterms:created xsi:type="dcterms:W3CDTF">2016-10-08T17:28:00Z</dcterms:created>
  <dcterms:modified xsi:type="dcterms:W3CDTF">2016-10-08T18:05:00Z</dcterms:modified>
</cp:coreProperties>
</file>