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7"/>
      </w:tblGrid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Державний університет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«Житомирська політехніка»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Кафедра </w:t>
            </w:r>
            <w:r w:rsidRPr="0020070F">
              <w:rPr>
                <w:rFonts w:ascii="Times New Roman" w:hAnsi="Times New Roman"/>
                <w:sz w:val="28"/>
                <w:szCs w:val="28"/>
              </w:rPr>
              <w:t>біомедично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ї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інженерії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телекомунікацій</w:t>
            </w:r>
            <w:proofErr w:type="spellEnd"/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Спеціальність: 163 «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інженерія»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Освітній рівень: «магістр»</w:t>
            </w:r>
          </w:p>
        </w:tc>
      </w:tr>
      <w:tr w:rsidR="0020070F" w:rsidRPr="009B1A0E" w:rsidTr="004E0B73">
        <w:tc>
          <w:tcPr>
            <w:tcW w:w="3969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«ЗАТВЕРДЖУЮ»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Проректор з НПР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_________ А.В. Морозов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 ________2019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 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Протокол №_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 від «_</w:t>
            </w:r>
            <w:r w:rsidRPr="0020070F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27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_»_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серпня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__201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Завідувач кафедри __________Т. М.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Нікітчук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 ___________2019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 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ТЕСТОВІ ЗАВДАННЯ 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/>
                <w:sz w:val="28"/>
                <w:szCs w:val="28"/>
              </w:rPr>
              <w:t>МЕТОДИ ЦИФРОВОЇ ОБРОБКИ БІОМЕДИЧНИХ СИГНАЛІВ</w:t>
            </w:r>
          </w:p>
        </w:tc>
      </w:tr>
    </w:tbl>
    <w:p w:rsidR="0020070F" w:rsidRPr="00FA4D47" w:rsidRDefault="0020070F" w:rsidP="0020070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5860"/>
        <w:gridCol w:w="3299"/>
      </w:tblGrid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Варіанти відповіді</w:t>
            </w:r>
          </w:p>
        </w:tc>
      </w:tr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Інформаційний процес – це …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сигналів, називаються …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одержання двовимірних медичних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зображень (2D-зображень) не використовують: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ультрасонографії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вiзуалiзацiї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кровi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судинному руслі?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Ультразвуком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Механічні коливання, що поширюються у пружному середовищі у вигляді поздовжніх хвиль із частотою понад 20 кГц,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Чутливий елемент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) виконаний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</w:t>
            </w:r>
            <w:r w:rsidRPr="009B1A0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являють собою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технологiя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рентгенiвського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випромiнювання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отримання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вiдеозображення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режимi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реального часу?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647825"/>
                  <wp:effectExtent l="0" t="0" r="0" b="9525"/>
                  <wp:docPr id="29" name="Рисунок 2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ris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148080"/>
                  <wp:effectExtent l="0" t="0" r="0" b="0"/>
                  <wp:docPr id="28" name="Рисунок 28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ris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71600" cy="1243965"/>
                  <wp:effectExtent l="0" t="0" r="0" b="0"/>
                  <wp:docPr id="27" name="Рисунок 27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ris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41525" cy="1530985"/>
                  <wp:effectExtent l="0" t="0" r="0" b="0"/>
                  <wp:docPr id="26" name="Рисунок 26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ris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79955" cy="1095375"/>
                  <wp:effectExtent l="0" t="0" r="0" b="9525"/>
                  <wp:docPr id="25" name="Рисунок 25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ris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1600" cy="1626870"/>
                  <wp:effectExtent l="0" t="0" r="0" b="0"/>
                  <wp:docPr id="24" name="Рисунок 24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ris5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4760" cy="1488440"/>
                  <wp:effectExtent l="0" t="2540" r="0" b="0"/>
                  <wp:docPr id="23" name="Рисунок 23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ris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25476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828800" cy="1180465"/>
                  <wp:effectExtent l="0" t="0" r="0" b="635"/>
                  <wp:docPr id="22" name="Рисунок 22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ris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Модуль 2. Фільтрація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нові значення яскравості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Згладжуючі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фільтри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Превіта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Собеля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Модуль 3. Перетворення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68650" cy="1595120"/>
                  <wp:effectExtent l="0" t="0" r="0" b="5080"/>
                  <wp:docPr id="21" name="Рисунок 2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423920" cy="1977390"/>
                  <wp:effectExtent l="0" t="0" r="5080" b="3810"/>
                  <wp:docPr id="20" name="Рисунок 2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02585" cy="1510030"/>
                  <wp:effectExtent l="0" t="0" r="0" b="0"/>
                  <wp:docPr id="19" name="Рисунок 1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30220" cy="2200910"/>
                  <wp:effectExtent l="0" t="0" r="0" b="8890"/>
                  <wp:docPr id="18" name="Рисунок 1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94355" cy="2105025"/>
                  <wp:effectExtent l="0" t="0" r="0" b="9525"/>
                  <wp:docPr id="17" name="Рисунок 1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381375" cy="1998980"/>
                  <wp:effectExtent l="0" t="0" r="9525" b="1270"/>
                  <wp:docPr id="16" name="Рисунок 1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98215" cy="1116330"/>
                  <wp:effectExtent l="0" t="0" r="6985" b="7620"/>
                  <wp:docPr id="15" name="Рисунок 1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пікселах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при якому значення яскравості всіх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змінюються за законом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11450" cy="1275715"/>
                  <wp:effectExtent l="0" t="0" r="0" b="635"/>
                  <wp:docPr id="14" name="Рисунок 1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5100" cy="1127125"/>
                  <wp:effectExtent l="0" t="0" r="0" b="0"/>
                  <wp:docPr id="13" name="Рисунок 1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62225" cy="1350645"/>
                  <wp:effectExtent l="0" t="0" r="9525" b="1905"/>
                  <wp:docPr id="12" name="Рисунок 12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гістограмне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афінне;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В. перетворення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Бесселя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зміна розрядності кольору;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максимальне значення яскравості з діапазону </w:t>
            </w:r>
            <w:proofErr w:type="gramStart"/>
            <w:r w:rsidRPr="009B1A0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9B1A0E">
              <w:rPr>
                <w:rFonts w:ascii="Times New Roman" w:hAnsi="Times New Roman"/>
                <w:sz w:val="28"/>
                <w:szCs w:val="28"/>
              </w:rPr>
              <w:t>івнів яскравості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4950" cy="1308100"/>
                  <wp:effectExtent l="0" t="0" r="6350" b="6350"/>
                  <wp:docPr id="11" name="Рисунок 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4950" cy="1308100"/>
                  <wp:effectExtent l="0" t="0" r="6350" b="6350"/>
                  <wp:docPr id="10" name="Рисунок 1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64155" cy="1308100"/>
                  <wp:effectExtent l="0" t="0" r="0" b="6350"/>
                  <wp:docPr id="9" name="Рисунок 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4155" cy="1308100"/>
                  <wp:effectExtent l="0" t="0" r="0" b="6350"/>
                  <wp:docPr id="8" name="Рисунок 8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Модуль 4. Сегментація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істотно змінюється?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Кенні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Canny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SUSAN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групу методів сегментації, 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порогової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перетвореннях?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нарощування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розбиття-злиття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≤1;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використовується для сегментації зображення за алгоритмом розумних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ножиць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із тисків в рідині залежить від швидкості її потоку?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По мірі руху крові по кровоносній системі людини від аорти до вени, середнє значення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повного тиску в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 рідини, що протікає по трубі за 1 с: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статичний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гідродинамічний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Зі збільшенням температури в’язкість рідини: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Об’ємна швидкість потоку крові в судині рівна: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Методом Стокса вимірюють: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Величина, що реєструється при ЕКГ є: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Типове значення періоду кривої ЕКГ лежить в межах: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Максимальний градієнт потенціалу електричного поля має місце: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анаболізм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Кров, для аналізу, краще брати: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Метод кількісного аналізу пружних властивостей згустків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 процесі їх коагуляції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Виділення із рідин дисперсної фази за рахунок коагуляції в об’ємі або на поверхні проби при накладанні електричних полів –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За допомогою якого рівняння визначається потенціал окремого електроду?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Поліхроматичний потік випромінювання – це: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фотоколориметрії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величина ослаблення інтенсивності світла залежить від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Модуль 5. Візуалізація об’єму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Резонансне поглинання електромагнітної енергії в речовинах обумовлене магнетизмом ядер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Використання статичних електричних полів дозволяє розділити іони за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Система органів і клітин, яка реагує на появу в організмі чужорідних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субстанцій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антигенів 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–  це 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Видиме злипання еритроцитів, які використовуються в якості пасивних носіїв для антигенів, обумовлене реакцією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Aг-Aт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називається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Імунологічна реакція, яка реалізує один з найважливіших захисних механізмів по захисту організму від інфекцій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двохвимірній хроматографії розділення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проводять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опроміненні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УФ-випромінюванням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певної довжини хвилі речовини, які мають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флуоресцуючі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проведенні препаративної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елюат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збирають по фракціям на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якості пристрою для вводу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, при високоефективній рідинній хроматографії, в наш час в основному використовують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Хроматографія  – це розподілення речовини на окремі компоненти в основі яких лежить … 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вид хроматографії найбільш простий та швидкий?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Флотація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Метод розділення заряджених частинок в електричному полі, яке відбувається через різницю в швидкості  руху частинок з різним співвідношенням заряд/маса має назву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Методи розділення речовин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які базуються на процесах розподілу цих компонентів між нерухомою та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рузомою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фазою, які рухаються одна відносно другої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Світіння речовин під дією енергії різних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хімічних процесів називається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рентгенівським випромінюванням і реєстрація спектру рентгенівського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Система органів та клітин, що реагує на появу в організмі чужорідних частинок називається?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Речовини, що несуть признаки генетичною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чужорідності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є причиною специфічних імунологічних реакцій називають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Явище, при якому корпускулярні частинки антигенів після реакції з антитілами склеюються і випадають у вигляді пластівців, називається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катаболізм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Для коректного вимірювання в’язкості крові необхідно дотримуватися наступних вимог: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Процес оснований на явищі міграції заряджених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мікро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частин в рідкій середі під дією зовнішнього електричного поля називається: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не важливо при відборі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якого методу лежать процеси, які протікають на поверхні електродів?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Яка мінімальна кількість електродів в електрохімічній комірці?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Після закінчення двохвимірної хроматографії, результати оцінюють за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високоефективній рідинній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вводять: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Колонна газова хроматографія дозволяє розділяти: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Сорбат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Хемосорбційна хроматографія проходить … 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Який метод вимірює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рівновагову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різницю тиску по обидві сторони мембрани?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Седиментація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розділення заряджених частинок в електричному полі, яке відбувається в середовищі з лінійним та стабільним градієнтом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рН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досягнення ділянки, що відповідає їх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точці, має назву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метаболічна система організму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з перерахованих методів може досягти найвищої точності вимірювання осмотичного тиску?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Коли отриманий показник відображає тільки факт наявності чи відсутності якогось елемента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досліджувальної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Чому метод двомірного електрофорезу отримав широке розповсюдження?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Модуль 6. Формат DICOM та напрямки застосування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Яка редакція (версія) формату </w:t>
            </w:r>
            <w:r w:rsidRPr="00FA4D47">
              <w:rPr>
                <w:rFonts w:ascii="Times New Roman" w:hAnsi="Times New Roman"/>
                <w:sz w:val="28"/>
                <w:szCs w:val="28"/>
                <w:lang w:val="en-US"/>
              </w:rPr>
              <w:t>DICOM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діє з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2018 р.?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заснований на реєстрації пониження температури замерзання досліджуваного водного розчину відносно температури замерзання дистильованої води?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Аналіз компонентного складу, що здійснюється по спектрам люмінесценції атомного пару відноситься до методу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Хемолюмінісценція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 якою формулою визначається швидкість радіоактивного розпаду?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Можливості вивчення складу і структури складних речовин по характерних рентгенівських спектрах виходять із закону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 ефективності розділення метод двохвимірної хроматографії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Основною перевагою методу колонної рідинної хроматографії, в порівнянні з газовою, є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Найпростішою моделлю градієнтного змішувача є: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Між рідинною та газовою хроматографією різниця в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агрегатні стани можуть бути в рухомої речовини(сорбції)?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Силікагель в більшій частині складається з …?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таке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амфоліт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Метод, який базується на визначенні зміни температури кипіння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Коли відбувається явище седиментації?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точка білку?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частинки антигенів після реакції з антитілами склеюються та викликають помутніння розчину?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корпускулярні частинки антигенів попередньо приєднуються до пасивного носія після реакції з антитілами склеюються і випадають у вигляді пластівців?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метаболізм?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Яким може бути вид аналізу, який застосовують в екологічних лабораторіях?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дозволяє оцінити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вискозометрія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Попередній електрофорез проводиться за такими умовами: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в основу якого покладено ефект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Рамана-Ландсберга-Мальдельштама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відноситься до методу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нефелометрії відносять: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метод, заснований на поєднанні електрофорезу в агаровому гелі з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імунодифузією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вiдносна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щiльнiсть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областi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тiла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яке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дослiджується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методом КТ?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0805" cy="1180465"/>
                  <wp:effectExtent l="0" t="0" r="0" b="635"/>
                  <wp:docPr id="7" name="Рисунок 7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ris5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47570" cy="1127125"/>
                  <wp:effectExtent l="0" t="0" r="5080" b="0"/>
                  <wp:docPr id="6" name="Рисунок 6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ris5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297305"/>
                  <wp:effectExtent l="0" t="0" r="0" b="0"/>
                  <wp:docPr id="5" name="Рисунок 5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ris5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137920"/>
                  <wp:effectExtent l="0" t="0" r="0" b="5080"/>
                  <wp:docPr id="4" name="Рисунок 4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ris5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488440"/>
                  <wp:effectExtent l="0" t="0" r="0" b="0"/>
                  <wp:docPr id="3" name="Рисунок 3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ris5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7305" cy="1297305"/>
                  <wp:effectExtent l="0" t="0" r="0" b="0"/>
                  <wp:docPr id="2" name="Рисунок 2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ris5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03095" cy="1382395"/>
                  <wp:effectExtent l="0" t="0" r="1905" b="8255"/>
                  <wp:docPr id="1" name="Рисунок 1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ris5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070F" w:rsidRPr="002D6AED" w:rsidRDefault="0020070F" w:rsidP="0020070F">
      <w:pPr>
        <w:rPr>
          <w:rFonts w:ascii="Times New Roman" w:hAnsi="Times New Roman"/>
        </w:rPr>
      </w:pPr>
    </w:p>
    <w:p w:rsidR="00CC0C9F" w:rsidRDefault="0020070F">
      <w:bookmarkStart w:id="0" w:name="_GoBack"/>
      <w:bookmarkEnd w:id="0"/>
    </w:p>
    <w:sectPr w:rsidR="00CC0C9F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66"/>
    <w:rsid w:val="0020070F"/>
    <w:rsid w:val="00490466"/>
    <w:rsid w:val="00954D6D"/>
    <w:rsid w:val="00C5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7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70F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">
    <w:name w:val="Абзац списка1"/>
    <w:basedOn w:val="a"/>
    <w:rsid w:val="0020070F"/>
    <w:pPr>
      <w:ind w:left="720"/>
    </w:pPr>
    <w:rPr>
      <w:rFonts w:eastAsia="Times New Roman"/>
      <w:lang w:val="ru-RU"/>
    </w:rPr>
  </w:style>
  <w:style w:type="paragraph" w:styleId="a5">
    <w:name w:val="Balloon Text"/>
    <w:basedOn w:val="a"/>
    <w:link w:val="a6"/>
    <w:rsid w:val="0020070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0070F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">
    <w:name w:val="Абзац списка2"/>
    <w:basedOn w:val="a"/>
    <w:rsid w:val="0020070F"/>
    <w:pPr>
      <w:ind w:left="720"/>
    </w:pPr>
    <w:rPr>
      <w:rFonts w:eastAsia="Times New Roman"/>
      <w:lang w:val="ru-RU"/>
    </w:rPr>
  </w:style>
  <w:style w:type="paragraph" w:customStyle="1" w:styleId="3">
    <w:name w:val="Абзац списка3"/>
    <w:basedOn w:val="a"/>
    <w:rsid w:val="0020070F"/>
    <w:pPr>
      <w:ind w:left="720"/>
    </w:pPr>
    <w:rPr>
      <w:rFonts w:eastAsia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7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70F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">
    <w:name w:val="Абзац списка1"/>
    <w:basedOn w:val="a"/>
    <w:rsid w:val="0020070F"/>
    <w:pPr>
      <w:ind w:left="720"/>
    </w:pPr>
    <w:rPr>
      <w:rFonts w:eastAsia="Times New Roman"/>
      <w:lang w:val="ru-RU"/>
    </w:rPr>
  </w:style>
  <w:style w:type="paragraph" w:styleId="a5">
    <w:name w:val="Balloon Text"/>
    <w:basedOn w:val="a"/>
    <w:link w:val="a6"/>
    <w:rsid w:val="0020070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0070F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">
    <w:name w:val="Абзац списка2"/>
    <w:basedOn w:val="a"/>
    <w:rsid w:val="0020070F"/>
    <w:pPr>
      <w:ind w:left="720"/>
    </w:pPr>
    <w:rPr>
      <w:rFonts w:eastAsia="Times New Roman"/>
      <w:lang w:val="ru-RU"/>
    </w:rPr>
  </w:style>
  <w:style w:type="paragraph" w:customStyle="1" w:styleId="3">
    <w:name w:val="Абзац списка3"/>
    <w:basedOn w:val="a"/>
    <w:rsid w:val="0020070F"/>
    <w:pPr>
      <w:ind w:left="720"/>
    </w:pPr>
    <w:rPr>
      <w:rFonts w:eastAsia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14382</Words>
  <Characters>8198</Characters>
  <Application>Microsoft Office Word</Application>
  <DocSecurity>0</DocSecurity>
  <Lines>68</Lines>
  <Paragraphs>45</Paragraphs>
  <ScaleCrop>false</ScaleCrop>
  <Company/>
  <LinksUpToDate>false</LinksUpToDate>
  <CharactersWithSpaces>22535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2019-11-12T12:00:00Z</dcterms:created>
  <dcterms:modified xsi:type="dcterms:W3CDTF">2019-11-12T12:01:00Z</dcterms:modified>
</cp:coreProperties>
</file>