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8A" w:rsidRPr="00F13827" w:rsidRDefault="00EC4D8A">
      <w:pPr>
        <w:rPr>
          <w:sz w:val="16"/>
          <w:szCs w:val="16"/>
        </w:rPr>
      </w:pPr>
      <w:bookmarkStart w:id="0" w:name="_GoBack"/>
      <w:bookmarkEnd w:id="0"/>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7"/>
        <w:gridCol w:w="9356"/>
      </w:tblGrid>
      <w:tr w:rsidR="00981CA0" w:rsidRPr="00F13827" w:rsidTr="00981CA0">
        <w:tc>
          <w:tcPr>
            <w:tcW w:w="10173" w:type="dxa"/>
            <w:gridSpan w:val="2"/>
            <w:shd w:val="clear" w:color="auto" w:fill="FFFFFF" w:themeFill="background1"/>
          </w:tcPr>
          <w:p w:rsidR="00981CA0" w:rsidRPr="00F13827" w:rsidRDefault="00981CA0" w:rsidP="00F13827">
            <w:pPr>
              <w:jc w:val="center"/>
              <w:rPr>
                <w:rFonts w:ascii="Times New Roman" w:hAnsi="Times New Roman" w:cs="Times New Roman"/>
                <w:b/>
                <w:sz w:val="28"/>
                <w:szCs w:val="28"/>
              </w:rPr>
            </w:pPr>
            <w:r w:rsidRPr="00F13827">
              <w:rPr>
                <w:rFonts w:ascii="Times New Roman" w:hAnsi="Times New Roman" w:cs="Times New Roman"/>
                <w:b/>
                <w:sz w:val="28"/>
                <w:szCs w:val="28"/>
              </w:rPr>
              <w:t>Інвестиційна нерухомість</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об’єкти   відносяться до інвестиційної нерухомості?</w:t>
            </w:r>
          </w:p>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Яка інформація відображається по кредиту  субрахунку 100 «Інвестиційна нерухомість»?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За визначенням МСБО 40, інвестиційна нерухомість використовується:</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На якому субрахунку відображається знос інвестиційної нерухомості?</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w:t>
            </w:r>
          </w:p>
        </w:tc>
        <w:tc>
          <w:tcPr>
            <w:tcW w:w="9356" w:type="dxa"/>
            <w:shd w:val="clear" w:color="auto" w:fill="FFFFFF" w:themeFill="background1"/>
          </w:tcPr>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Сума   збільшення  справедливої  вартості інвестиційної нерухомості на дату балансу відображається у  складі:</w:t>
            </w:r>
          </w:p>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w:t>
            </w:r>
          </w:p>
        </w:tc>
        <w:tc>
          <w:tcPr>
            <w:tcW w:w="9356" w:type="dxa"/>
            <w:shd w:val="clear" w:color="auto" w:fill="FFFFFF" w:themeFill="background1"/>
          </w:tcPr>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дооцінка об’єкту інвестиційної нерухомості:</w:t>
            </w:r>
          </w:p>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w:t>
            </w:r>
          </w:p>
        </w:tc>
        <w:tc>
          <w:tcPr>
            <w:tcW w:w="9356" w:type="dxa"/>
            <w:shd w:val="clear" w:color="auto" w:fill="FFFFFF" w:themeFill="background1"/>
          </w:tcPr>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підготовка об’єкта інвестиційної нерухомості до продажу:</w:t>
            </w:r>
          </w:p>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w:t>
            </w:r>
          </w:p>
        </w:tc>
        <w:tc>
          <w:tcPr>
            <w:tcW w:w="9356" w:type="dxa"/>
            <w:shd w:val="clear" w:color="auto" w:fill="FFFFFF" w:themeFill="background1"/>
          </w:tcPr>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уцінка об’єкту інвестиційної нерухомості:</w:t>
            </w:r>
          </w:p>
          <w:p w:rsidR="00981CA0" w:rsidRPr="00F13827" w:rsidRDefault="00981CA0" w:rsidP="00F1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Основний нормативний акт, яким регулюються питання обліку інвестиційної нерухомості :</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Який нормативний документ використовується  у міжнародній практиці для врегулювання питань щодо обліку  інвестиційної нерухомості:</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В яких нормативних актах розглядається питання інвестиційної нерухомості:</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12.</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shd w:val="clear" w:color="auto" w:fill="FFFF00"/>
              </w:rPr>
            </w:pPr>
            <w:r w:rsidRPr="00F13827">
              <w:rPr>
                <w:rFonts w:ascii="Times New Roman" w:eastAsia="Times New Roman" w:hAnsi="Times New Roman" w:cs="Times New Roman"/>
                <w:sz w:val="28"/>
                <w:szCs w:val="28"/>
              </w:rPr>
              <w:t>Яка інформація відображається по дебету  субрахунку 100 «Інвестиційна нерухомість»?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13.</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Якою проводкою відображаються операції з придбання інвестиційної нерухомості?</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14.</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витрати включаються до первісної вартості  придбаної інвестиційної нерухомості:</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15.</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В яких формах фінансової звітності  відображається інформація про інвестиційну нерухомість: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16.</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витрати не включає первісна вартість інвестиційної нерухомості?</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lastRenderedPageBreak/>
              <w:t>17.</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існують види поліпшень інвестиційної нерухомості?</w:t>
            </w:r>
          </w:p>
          <w:p w:rsidR="00981CA0" w:rsidRPr="00F13827" w:rsidRDefault="00981CA0" w:rsidP="00F13827">
            <w:pPr>
              <w:rPr>
                <w:rFonts w:ascii="Times New Roman" w:eastAsia="Times New Roman" w:hAnsi="Times New Roman" w:cs="Times New Roman"/>
                <w:sz w:val="28"/>
                <w:szCs w:val="28"/>
              </w:rPr>
            </w:pP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18.</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rPr>
            </w:pPr>
            <w:r w:rsidRPr="00F13827">
              <w:rPr>
                <w:rFonts w:ascii="Times New Roman" w:eastAsia="Times New Roman" w:hAnsi="Times New Roman" w:cs="Times New Roman"/>
                <w:spacing w:val="-1"/>
                <w:sz w:val="28"/>
                <w:szCs w:val="28"/>
              </w:rPr>
              <w:t>Як відображається в обліку наступна операція: «Переведено нерухомість до складу інвестиційної нерухомості».</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19.</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П(с)БО 32 не застосовується до питань: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Балансова вартість активу – це:</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21.</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З метою бухгалтерського обліку не вважається інвестиційною нерухомістю:</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22.</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 xml:space="preserve">Первісна вартість придбаної інвестиційної нерухомості складається з таких витрат: </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23.</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Придбана (створена) інвестиційна нерухомість зараховується на баланс підприємства за:</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24.</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У випадку, якщо залишкова вартість операційної нерухомості суттєво відрізняється від її справедливої вартості підлягає:</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25.</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Якщо інвестиційна нерухомість оцінюється за справедливою вартістю амортизація нараховується за таким методом:</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26.</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При відображенні ІН у фінансовій звітності на дату балансу П(С)БО 32 пропонує такі підходи до її оцінки:</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27.</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У якому випадку первісна вартість об’єкта інвестиційної нерухомості визначається сумою загальних витрат на її створення?</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28.</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Інвестиційну нерухомість утримують задля досягнення такої цілі:</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29.</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У якості основних критеріїв для ідентифікації об’єктів ІНР можна використовувати:</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30.</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Якщо підприємство обирає оцінку інвестиційної нерухомості за справедливою вартістю, то на кожну дату балансу сума збільшення або зменшення справедливої вартості ІН відображатиметься у складі:</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31.</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П(С)БО 32 не застосовується також до таких питань:</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32.</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Нерухомість, зайнята власником це:</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33.</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Коли підприємство надає допоміжні послуги клієнтам, що займають нерухомість, утримувану підприємством, то підприємство вважає таку власність інвестиційною нерухомістю у випадку:</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lastRenderedPageBreak/>
              <w:t>34.</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Переведення об’єкта нерухомості до категорії інвестиційної нерухомості або, навпаки, виведення зі складу такої здійснюється лише у разі зміни способу його експлуатації, зумовленої певними подіями. До таких подій відносять:</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35.</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Вибуття об’єкта інвестиційної нерухомості, згідно з п. 30 П(С)БО 32, відбувається шляхом:</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36.</w:t>
            </w:r>
          </w:p>
        </w:tc>
        <w:tc>
          <w:tcPr>
            <w:tcW w:w="9356" w:type="dxa"/>
            <w:shd w:val="clear" w:color="auto" w:fill="FFFFFF" w:themeFill="background1"/>
          </w:tcPr>
          <w:p w:rsidR="00981CA0" w:rsidRPr="00F13827" w:rsidRDefault="00981CA0" w:rsidP="00F13827">
            <w:pPr>
              <w:contextualSpacing/>
              <w:rPr>
                <w:rFonts w:ascii="Times New Roman" w:hAnsi="Times New Roman" w:cs="Times New Roman"/>
                <w:sz w:val="28"/>
                <w:szCs w:val="28"/>
              </w:rPr>
            </w:pPr>
            <w:r w:rsidRPr="00F13827">
              <w:rPr>
                <w:rFonts w:ascii="Times New Roman" w:hAnsi="Times New Roman" w:cs="Times New Roman"/>
                <w:sz w:val="28"/>
                <w:szCs w:val="28"/>
              </w:rPr>
              <w:t>До інвестиційної нерухомості не належить:</w:t>
            </w:r>
          </w:p>
          <w:p w:rsidR="00981CA0" w:rsidRPr="00F13827" w:rsidRDefault="00981CA0" w:rsidP="00F13827">
            <w:pPr>
              <w:contextualSpacing/>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37.</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За якою вартістю можна оцінювати інвестиційну нерухомість?</w:t>
            </w:r>
          </w:p>
          <w:p w:rsidR="00981CA0" w:rsidRPr="00F13827" w:rsidRDefault="00981CA0" w:rsidP="00F13827">
            <w:pPr>
              <w:pStyle w:val="22"/>
              <w:ind w:left="0"/>
              <w:rPr>
                <w:rFonts w:ascii="Times New Roman" w:hAnsi="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38.</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Операції пов’язані з експлуатацією об’єктів нерухомості це:</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39.</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 xml:space="preserve">Операції пов’язані з надходженням об’єктів нерухомості це </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До видів поліпшень ОЗ входять: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41.</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Нерухомість, яка використовується для виробництва в адміністративних цілях в процесі звичайної діяльності</w:t>
            </w:r>
          </w:p>
          <w:p w:rsidR="00981CA0" w:rsidRPr="00F13827" w:rsidRDefault="00981CA0" w:rsidP="00F13827">
            <w:pPr>
              <w:pStyle w:val="22"/>
              <w:ind w:left="0"/>
              <w:rPr>
                <w:rFonts w:ascii="Times New Roman" w:hAnsi="Times New Roman"/>
                <w:sz w:val="28"/>
                <w:szCs w:val="28"/>
                <w:lang w:val="uk-UA"/>
              </w:rPr>
            </w:pPr>
          </w:p>
        </w:tc>
      </w:tr>
      <w:tr w:rsidR="00981CA0" w:rsidRPr="00F13827" w:rsidTr="00981CA0">
        <w:tc>
          <w:tcPr>
            <w:tcW w:w="10173" w:type="dxa"/>
            <w:gridSpan w:val="2"/>
            <w:shd w:val="clear" w:color="auto" w:fill="FFFFFF" w:themeFill="background1"/>
          </w:tcPr>
          <w:p w:rsidR="00981CA0" w:rsidRPr="00F13827" w:rsidRDefault="00981CA0" w:rsidP="00F13827">
            <w:pPr>
              <w:jc w:val="center"/>
              <w:rPr>
                <w:rFonts w:ascii="Times New Roman" w:hAnsi="Times New Roman" w:cs="Times New Roman"/>
                <w:b/>
                <w:sz w:val="28"/>
                <w:szCs w:val="28"/>
              </w:rPr>
            </w:pPr>
            <w:r w:rsidRPr="00F13827">
              <w:rPr>
                <w:rFonts w:ascii="Times New Roman" w:hAnsi="Times New Roman" w:cs="Times New Roman"/>
                <w:b/>
                <w:sz w:val="28"/>
                <w:szCs w:val="28"/>
              </w:rPr>
              <w:t>Облік кваліфікаційних витрат і фінансових витрат</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42.</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Яким П(С)БО регулюється облік кваліфікаційних активів та фінансових витрат:</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43.</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Включення фінансових витрат до собівартості кваліфікаційного активу це:</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44.</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 xml:space="preserve">За наявності яких умов починається капіталізація фінансових витрат: </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45.</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Витрати на придбання, будівництво, створення, виготовлення, виробництво, вирощування і доведення кваліфікаційного активу до стану, у якому він придатний для використання із запланованою метою або продажу – це</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46.</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Які фінансові витрати на капітальні інвестицій не капіталізуються:</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47.</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Капіталізація фінансових витрат не призупиняється на період коли:</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48.</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Якщо облікова політика платника податку передбачає капіталізацію фінансових витрат, пов’язаних із придбанням, створенням, ремонтом основних засобів, то виплата процентів за борговими зобов’язаннями, які фактично здійснені на дату придбання, створення таких основних фондів:</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49.</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Відсотки за кредитом, що підлягають капіталізації розраховуються за формулою:</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 xml:space="preserve">Фінансові витрати підлягають капіталізації у випадку: </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lastRenderedPageBreak/>
              <w:t>51.</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Капіталізація витрат на позики починається, коли:</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52.</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Варіанти використання залучених коштів для капіталізації фінансових витрат:</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53.</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МСБО 23 було впроваджено в 2005 році, згідно з яким витрати на позики</w:t>
            </w:r>
          </w:p>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 це витрати на сплату відсотків або інші витрати, пов’язані із запозиченням</w:t>
            </w:r>
          </w:p>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коштів. Такі витрати включають: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54.</w:t>
            </w:r>
          </w:p>
        </w:tc>
        <w:tc>
          <w:tcPr>
            <w:tcW w:w="9356" w:type="dxa"/>
            <w:shd w:val="clear" w:color="auto" w:fill="FFFFFF" w:themeFill="background1"/>
          </w:tcPr>
          <w:p w:rsidR="00981CA0" w:rsidRPr="00F13827" w:rsidRDefault="00981CA0" w:rsidP="00F13827">
            <w:pPr>
              <w:pStyle w:val="rvps2"/>
              <w:shd w:val="clear" w:color="auto" w:fill="FFFFFF"/>
              <w:spacing w:before="0" w:beforeAutospacing="0" w:after="0" w:afterAutospacing="0"/>
              <w:textAlignment w:val="baseline"/>
              <w:rPr>
                <w:sz w:val="28"/>
                <w:szCs w:val="28"/>
              </w:rPr>
            </w:pPr>
            <w:proofErr w:type="spellStart"/>
            <w:r w:rsidRPr="00F13827">
              <w:rPr>
                <w:sz w:val="28"/>
                <w:szCs w:val="28"/>
              </w:rPr>
              <w:t>Витрати</w:t>
            </w:r>
            <w:proofErr w:type="spellEnd"/>
            <w:r w:rsidRPr="00F13827">
              <w:rPr>
                <w:sz w:val="28"/>
                <w:szCs w:val="28"/>
              </w:rPr>
              <w:t xml:space="preserve"> на </w:t>
            </w:r>
            <w:proofErr w:type="spellStart"/>
            <w:r w:rsidRPr="00F13827">
              <w:rPr>
                <w:sz w:val="28"/>
                <w:szCs w:val="28"/>
              </w:rPr>
              <w:t>позики</w:t>
            </w:r>
            <w:proofErr w:type="spellEnd"/>
            <w:r w:rsidRPr="00F13827">
              <w:rPr>
                <w:sz w:val="28"/>
                <w:szCs w:val="28"/>
              </w:rPr>
              <w:t xml:space="preserve"> </w:t>
            </w:r>
            <w:proofErr w:type="spellStart"/>
            <w:r w:rsidRPr="00F13827">
              <w:rPr>
                <w:sz w:val="28"/>
                <w:szCs w:val="28"/>
              </w:rPr>
              <w:t>можуть</w:t>
            </w:r>
            <w:proofErr w:type="spellEnd"/>
            <w:r w:rsidRPr="00F13827">
              <w:rPr>
                <w:sz w:val="28"/>
                <w:szCs w:val="28"/>
              </w:rPr>
              <w:t xml:space="preserve"> </w:t>
            </w:r>
            <w:proofErr w:type="spellStart"/>
            <w:r w:rsidRPr="00F13827">
              <w:rPr>
                <w:sz w:val="28"/>
                <w:szCs w:val="28"/>
              </w:rPr>
              <w:t>включати</w:t>
            </w:r>
            <w:proofErr w:type="spellEnd"/>
            <w:r w:rsidRPr="00F13827">
              <w:rPr>
                <w:sz w:val="28"/>
                <w:szCs w:val="28"/>
              </w:rPr>
              <w:t>:</w:t>
            </w:r>
          </w:p>
          <w:p w:rsidR="00981CA0" w:rsidRPr="00F13827" w:rsidRDefault="00981CA0" w:rsidP="00F13827">
            <w:pPr>
              <w:pStyle w:val="HTML"/>
              <w:shd w:val="clear" w:color="auto" w:fill="FFFFFF"/>
              <w:textAlignment w:val="baseline"/>
              <w:rPr>
                <w:rFonts w:ascii="Times New Roman" w:hAnsi="Times New Roman" w:cs="Times New Roman"/>
                <w:sz w:val="28"/>
                <w:szCs w:val="28"/>
              </w:rPr>
            </w:pPr>
            <w:bookmarkStart w:id="1" w:name="n16"/>
            <w:bookmarkEnd w:id="1"/>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55.</w:t>
            </w:r>
          </w:p>
        </w:tc>
        <w:tc>
          <w:tcPr>
            <w:tcW w:w="9356" w:type="dxa"/>
            <w:shd w:val="clear" w:color="auto" w:fill="FFFFFF" w:themeFill="background1"/>
          </w:tcPr>
          <w:p w:rsidR="00981CA0" w:rsidRPr="00F13827" w:rsidRDefault="00981CA0" w:rsidP="00F13827">
            <w:pPr>
              <w:pStyle w:val="rvps2"/>
              <w:shd w:val="clear" w:color="auto" w:fill="FFFFFF"/>
              <w:spacing w:before="0" w:beforeAutospacing="0" w:after="0" w:afterAutospacing="0"/>
              <w:textAlignment w:val="baseline"/>
              <w:rPr>
                <w:sz w:val="28"/>
                <w:szCs w:val="28"/>
                <w:lang w:val="uk-UA"/>
              </w:rPr>
            </w:pPr>
            <w:r w:rsidRPr="00F13827">
              <w:rPr>
                <w:sz w:val="28"/>
                <w:szCs w:val="28"/>
                <w:lang w:val="uk-UA"/>
              </w:rPr>
              <w:t>Можуть бути кваліфікованими активами:</w:t>
            </w:r>
          </w:p>
          <w:p w:rsidR="00981CA0" w:rsidRPr="00F13827" w:rsidRDefault="00981CA0" w:rsidP="00F13827">
            <w:pPr>
              <w:pStyle w:val="rvps2"/>
              <w:shd w:val="clear" w:color="auto" w:fill="FFFFFF"/>
              <w:spacing w:before="0" w:beforeAutospacing="0" w:after="0" w:afterAutospacing="0"/>
              <w:textAlignment w:val="baseline"/>
              <w:rPr>
                <w:sz w:val="28"/>
                <w:szCs w:val="28"/>
                <w:lang w:val="uk-UA"/>
              </w:rPr>
            </w:pPr>
            <w:bookmarkStart w:id="2" w:name="n22"/>
            <w:bookmarkEnd w:id="2"/>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56.</w:t>
            </w:r>
          </w:p>
        </w:tc>
        <w:tc>
          <w:tcPr>
            <w:tcW w:w="9356" w:type="dxa"/>
            <w:shd w:val="clear" w:color="auto" w:fill="FFFFFF" w:themeFill="background1"/>
          </w:tcPr>
          <w:p w:rsidR="00981CA0" w:rsidRPr="00F13827" w:rsidRDefault="00981CA0" w:rsidP="00F13827">
            <w:pPr>
              <w:pStyle w:val="rvps2"/>
              <w:shd w:val="clear" w:color="auto" w:fill="FFFFFF"/>
              <w:spacing w:before="0" w:beforeAutospacing="0" w:after="0" w:afterAutospacing="0"/>
              <w:textAlignment w:val="baseline"/>
              <w:rPr>
                <w:sz w:val="28"/>
                <w:szCs w:val="28"/>
                <w:lang w:val="uk-UA"/>
              </w:rPr>
            </w:pPr>
            <w:r w:rsidRPr="00F13827">
              <w:rPr>
                <w:rStyle w:val="rvts44"/>
                <w:bCs/>
                <w:sz w:val="28"/>
                <w:szCs w:val="28"/>
                <w:bdr w:val="none" w:sz="0" w:space="0" w:color="auto" w:frame="1"/>
                <w:lang w:val="uk-UA"/>
              </w:rPr>
              <w:t>Датою початку капіталізації є дата, коли суб'єкт господарювання вперше виконує всі умови, наведені нижче, а саме:</w:t>
            </w:r>
          </w:p>
          <w:p w:rsidR="00981CA0" w:rsidRPr="00F13827" w:rsidRDefault="00981CA0" w:rsidP="00F13827">
            <w:pPr>
              <w:pStyle w:val="rvps2"/>
              <w:shd w:val="clear" w:color="auto" w:fill="FFFFFF"/>
              <w:spacing w:before="0" w:beforeAutospacing="0" w:after="0" w:afterAutospacing="0"/>
              <w:textAlignment w:val="baseline"/>
              <w:rPr>
                <w:sz w:val="28"/>
                <w:szCs w:val="28"/>
                <w:lang w:val="uk-UA"/>
              </w:rPr>
            </w:pPr>
            <w:bookmarkStart w:id="3" w:name="n42"/>
            <w:bookmarkEnd w:id="3"/>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57.</w:t>
            </w:r>
          </w:p>
        </w:tc>
        <w:tc>
          <w:tcPr>
            <w:tcW w:w="9356" w:type="dxa"/>
            <w:shd w:val="clear" w:color="auto" w:fill="FFFFFF" w:themeFill="background1"/>
          </w:tcPr>
          <w:p w:rsidR="00981CA0" w:rsidRPr="00F13827" w:rsidRDefault="00981CA0" w:rsidP="00F13827">
            <w:pPr>
              <w:pStyle w:val="HTML"/>
              <w:shd w:val="clear" w:color="auto" w:fill="FFFFFF"/>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Сума фінансових витрат, що підлягає у звітному періоді включенню до собівартості кваліфікаційного активу, не може перевищувати загальної суми фінансових витрат</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58.</w:t>
            </w:r>
          </w:p>
        </w:tc>
        <w:tc>
          <w:tcPr>
            <w:tcW w:w="9356" w:type="dxa"/>
            <w:shd w:val="clear" w:color="auto" w:fill="FFFFFF" w:themeFill="background1"/>
          </w:tcPr>
          <w:p w:rsidR="00981CA0" w:rsidRPr="00F13827" w:rsidRDefault="00981CA0" w:rsidP="00F13827">
            <w:pPr>
              <w:pStyle w:val="HTML"/>
              <w:shd w:val="clear" w:color="auto" w:fill="FFFFFF"/>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 xml:space="preserve">Капіталізація фінансових витрат починається за наявності таких умов: </w:t>
            </w:r>
          </w:p>
          <w:p w:rsidR="00981CA0" w:rsidRPr="00F13827" w:rsidRDefault="00981CA0" w:rsidP="00F13827">
            <w:pPr>
              <w:rPr>
                <w:rFonts w:ascii="Times New Roman" w:hAnsi="Times New Roman" w:cs="Times New Roman"/>
                <w:sz w:val="28"/>
                <w:szCs w:val="28"/>
              </w:rPr>
            </w:pPr>
            <w:bookmarkStart w:id="4" w:name="o46"/>
            <w:bookmarkEnd w:id="4"/>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59.</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Якщо собівартість кваліфікаційного активу перевищує суму очікуваного відшкодування такого активу в частині незавершених капітальних інвестицій або чистої вартості реалізації в частині запасів, то вона може бути</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bCs/>
                <w:sz w:val="28"/>
                <w:szCs w:val="28"/>
              </w:rPr>
              <w:t>У</w:t>
            </w:r>
            <w:r w:rsidRPr="00F13827">
              <w:rPr>
                <w:rFonts w:ascii="Times New Roman" w:hAnsi="Times New Roman" w:cs="Times New Roman"/>
                <w:sz w:val="28"/>
                <w:szCs w:val="28"/>
              </w:rPr>
              <w:t xml:space="preserve"> примітках до фінансової звітності  відповідно фінансових витрат наводиться така інформація:</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61.</w:t>
            </w:r>
          </w:p>
        </w:tc>
        <w:tc>
          <w:tcPr>
            <w:tcW w:w="9356" w:type="dxa"/>
            <w:shd w:val="clear" w:color="auto" w:fill="FFFFFF" w:themeFill="background1"/>
          </w:tcPr>
          <w:p w:rsidR="00981CA0" w:rsidRPr="00F13827" w:rsidRDefault="00981CA0" w:rsidP="00F13827">
            <w:pPr>
              <w:pStyle w:val="HTML"/>
              <w:shd w:val="clear" w:color="auto" w:fill="FFFFFF"/>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 xml:space="preserve">Капіталізація  фінансових витрат  не  призупиняється на період: </w:t>
            </w:r>
          </w:p>
          <w:p w:rsidR="00981CA0" w:rsidRPr="00F13827" w:rsidRDefault="00981CA0" w:rsidP="00F13827">
            <w:pPr>
              <w:rPr>
                <w:rFonts w:ascii="Times New Roman" w:hAnsi="Times New Roman" w:cs="Times New Roman"/>
                <w:sz w:val="28"/>
                <w:szCs w:val="28"/>
              </w:rPr>
            </w:pPr>
            <w:bookmarkStart w:id="5" w:name="o52"/>
            <w:bookmarkEnd w:id="5"/>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62.</w:t>
            </w:r>
          </w:p>
        </w:tc>
        <w:tc>
          <w:tcPr>
            <w:tcW w:w="9356" w:type="dxa"/>
            <w:shd w:val="clear" w:color="auto" w:fill="FFFFFF" w:themeFill="background1"/>
          </w:tcPr>
          <w:p w:rsidR="00981CA0" w:rsidRPr="00F13827" w:rsidRDefault="00981CA0" w:rsidP="00F13827">
            <w:pPr>
              <w:rPr>
                <w:rFonts w:ascii="Times New Roman" w:eastAsia="Times New Roman" w:hAnsi="Times New Roman" w:cs="Times New Roman"/>
                <w:sz w:val="28"/>
                <w:szCs w:val="28"/>
                <w:lang w:eastAsia="ru-RU"/>
              </w:rPr>
            </w:pPr>
            <w:r w:rsidRPr="00F13827">
              <w:rPr>
                <w:rFonts w:ascii="Times New Roman" w:eastAsia="Times New Roman" w:hAnsi="Times New Roman" w:cs="Times New Roman"/>
                <w:sz w:val="28"/>
                <w:szCs w:val="28"/>
                <w:lang w:eastAsia="ru-RU"/>
              </w:rPr>
              <w:t>Капіталізація фінансових витрат призупиняється на період:</w:t>
            </w:r>
          </w:p>
          <w:p w:rsidR="00981CA0" w:rsidRPr="00F13827" w:rsidRDefault="00981CA0" w:rsidP="00F13827">
            <w:pPr>
              <w:tabs>
                <w:tab w:val="left" w:pos="3953"/>
              </w:tabs>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63.</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Що не є обов’язковим до розкриття у примітках до фінансової звітності про фінансові витрати:</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64.</w:t>
            </w:r>
          </w:p>
        </w:tc>
        <w:tc>
          <w:tcPr>
            <w:tcW w:w="9356" w:type="dxa"/>
            <w:shd w:val="clear" w:color="auto" w:fill="FFFFFF" w:themeFill="background1"/>
          </w:tcPr>
          <w:p w:rsidR="00981CA0"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Які бувають в бухгалтерському обліку запозичення за джерелами отримання?</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65.</w:t>
            </w:r>
          </w:p>
        </w:tc>
        <w:tc>
          <w:tcPr>
            <w:tcW w:w="9356" w:type="dxa"/>
            <w:shd w:val="clear" w:color="auto" w:fill="FFFFFF" w:themeFill="background1"/>
          </w:tcPr>
          <w:p w:rsidR="00981CA0" w:rsidRDefault="00981CA0" w:rsidP="00F13827">
            <w:pPr>
              <w:pStyle w:val="ac"/>
              <w:spacing w:before="0" w:beforeAutospacing="0" w:after="0" w:afterAutospacing="0"/>
              <w:rPr>
                <w:sz w:val="28"/>
                <w:szCs w:val="28"/>
                <w:lang w:val="uk-UA"/>
              </w:rPr>
            </w:pPr>
            <w:r w:rsidRPr="00F13827">
              <w:rPr>
                <w:rFonts w:eastAsiaTheme="minorHAnsi"/>
                <w:sz w:val="28"/>
                <w:szCs w:val="28"/>
                <w:lang w:val="uk-UA" w:eastAsia="en-US"/>
              </w:rPr>
              <w:t>Метод, за яким фінансові витрати відображаються як витрати в тому звітному періоді, в якому вони були здійснені підприємством, незалежно від цільового призначення і фактичного використання отриманої позики, це</w:t>
            </w:r>
            <w:r w:rsidRPr="00F13827">
              <w:rPr>
                <w:sz w:val="28"/>
                <w:szCs w:val="28"/>
                <w:lang w:val="uk-UA"/>
              </w:rPr>
              <w:t>:</w:t>
            </w:r>
          </w:p>
          <w:p w:rsidR="00981CA0" w:rsidRPr="00F13827" w:rsidRDefault="00981CA0" w:rsidP="00F13827">
            <w:pPr>
              <w:pStyle w:val="ac"/>
              <w:spacing w:before="0" w:beforeAutospacing="0" w:after="0" w:afterAutospacing="0"/>
              <w:rPr>
                <w:sz w:val="28"/>
                <w:szCs w:val="28"/>
                <w:lang w:val="uk-UA"/>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66.</w:t>
            </w:r>
          </w:p>
        </w:tc>
        <w:tc>
          <w:tcPr>
            <w:tcW w:w="9356" w:type="dxa"/>
            <w:shd w:val="clear" w:color="auto" w:fill="FFFFFF" w:themeFill="background1"/>
          </w:tcPr>
          <w:p w:rsidR="00981CA0" w:rsidRPr="00981CA0" w:rsidRDefault="00981CA0" w:rsidP="00981CA0">
            <w:pPr>
              <w:pStyle w:val="ac"/>
              <w:spacing w:before="0" w:beforeAutospacing="0" w:after="0" w:afterAutospacing="0"/>
              <w:rPr>
                <w:rFonts w:eastAsiaTheme="minorHAnsi"/>
                <w:sz w:val="28"/>
                <w:szCs w:val="28"/>
                <w:lang w:val="uk-UA" w:eastAsia="en-US"/>
              </w:rPr>
            </w:pPr>
            <w:r w:rsidRPr="00F13827">
              <w:rPr>
                <w:rFonts w:eastAsiaTheme="minorHAnsi"/>
                <w:sz w:val="28"/>
                <w:szCs w:val="28"/>
                <w:lang w:val="uk-UA" w:eastAsia="en-US"/>
              </w:rPr>
              <w:t>Метод, за яким фінансові витрати  можуть капіталізуватися, тобто включатися до собівартості кваліфікаційного активу, це:</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lastRenderedPageBreak/>
              <w:t>67.</w:t>
            </w:r>
          </w:p>
        </w:tc>
        <w:tc>
          <w:tcPr>
            <w:tcW w:w="9356" w:type="dxa"/>
            <w:shd w:val="clear" w:color="auto" w:fill="FFFFFF" w:themeFill="background1"/>
          </w:tcPr>
          <w:p w:rsidR="00981CA0" w:rsidRPr="00F13827" w:rsidRDefault="00981CA0" w:rsidP="00F13827">
            <w:pPr>
              <w:pStyle w:val="ac"/>
              <w:spacing w:before="0" w:beforeAutospacing="0" w:after="0" w:afterAutospacing="0"/>
              <w:rPr>
                <w:rFonts w:eastAsiaTheme="minorHAnsi"/>
                <w:sz w:val="28"/>
                <w:szCs w:val="28"/>
                <w:lang w:val="uk-UA" w:eastAsia="en-US"/>
              </w:rPr>
            </w:pPr>
            <w:r w:rsidRPr="00F13827">
              <w:rPr>
                <w:sz w:val="28"/>
                <w:szCs w:val="28"/>
                <w:lang w:val="uk-UA"/>
              </w:rPr>
              <w:t>Період часу  для підготовки активу до використання за призначенням чи реалізації рекомендується вважати суттєвим для віднесення активу до кваліфікаційного</w:t>
            </w:r>
            <w:r w:rsidRPr="00F13827">
              <w:rPr>
                <w:rFonts w:eastAsiaTheme="minorHAnsi"/>
                <w:sz w:val="28"/>
                <w:szCs w:val="28"/>
                <w:lang w:val="uk-UA" w:eastAsia="en-US"/>
              </w:rPr>
              <w:t>:</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68.</w:t>
            </w:r>
          </w:p>
        </w:tc>
        <w:tc>
          <w:tcPr>
            <w:tcW w:w="9356" w:type="dxa"/>
            <w:shd w:val="clear" w:color="auto" w:fill="FFFFFF" w:themeFill="background1"/>
          </w:tcPr>
          <w:p w:rsidR="00981CA0" w:rsidRPr="00F13827" w:rsidRDefault="00981CA0" w:rsidP="00F13827">
            <w:pPr>
              <w:pStyle w:val="ac"/>
              <w:spacing w:before="0" w:beforeAutospacing="0" w:after="0" w:afterAutospacing="0"/>
              <w:rPr>
                <w:rFonts w:eastAsiaTheme="minorHAnsi"/>
                <w:sz w:val="28"/>
                <w:szCs w:val="28"/>
                <w:lang w:val="uk-UA" w:eastAsia="en-US"/>
              </w:rPr>
            </w:pPr>
            <w:r w:rsidRPr="00F13827">
              <w:rPr>
                <w:rFonts w:eastAsiaTheme="minorHAnsi"/>
                <w:sz w:val="28"/>
                <w:szCs w:val="28"/>
                <w:lang w:val="uk-UA" w:eastAsia="en-US"/>
              </w:rPr>
              <w:t>Якщо запозичення безпосередньо не пов’язані зі створенням кваліфікаційного активу, то сума фінансових витрат, що підлягає капіталізації:</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69.</w:t>
            </w:r>
          </w:p>
        </w:tc>
        <w:tc>
          <w:tcPr>
            <w:tcW w:w="9356" w:type="dxa"/>
            <w:shd w:val="clear" w:color="auto" w:fill="FFFFFF" w:themeFill="background1"/>
          </w:tcPr>
          <w:p w:rsidR="00981CA0" w:rsidRPr="00F13827" w:rsidRDefault="00981CA0" w:rsidP="00F13827">
            <w:pPr>
              <w:pStyle w:val="ac"/>
              <w:spacing w:before="0" w:beforeAutospacing="0" w:after="0" w:afterAutospacing="0"/>
              <w:rPr>
                <w:rFonts w:eastAsiaTheme="minorHAnsi"/>
                <w:sz w:val="28"/>
                <w:szCs w:val="28"/>
                <w:lang w:val="uk-UA" w:eastAsia="en-US"/>
              </w:rPr>
            </w:pPr>
            <w:r w:rsidRPr="00F13827">
              <w:rPr>
                <w:rFonts w:eastAsiaTheme="minorHAnsi"/>
                <w:sz w:val="28"/>
                <w:szCs w:val="28"/>
                <w:lang w:val="uk-UA" w:eastAsia="en-US"/>
              </w:rPr>
              <w:t>Який субрахунок має рахунок 95 «Фінансові витрати»?</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Прикладом кваліфікаційного активу 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71.</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Фінансові витрати – це:</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72.</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За якими ознаками в бухгалтерському обліку класифікуються запозичення?</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73.</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Витрати на позики можуть включати:</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74.</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При дотриманні яких умов допускається капіталізація витрат на позики?</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75.</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Скільки способів визначення суми фінансових витрат рекомендує П(С)БО 31?</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76.</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Позики, векселі, облігації, а також інші види короткострокових і довгострокових зобов’язань, на які нараховуються відсотки називаються:</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77.</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Що не є прикладом кваліфікаційних активів?</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10173" w:type="dxa"/>
            <w:gridSpan w:val="2"/>
            <w:shd w:val="clear" w:color="auto" w:fill="FFFFFF" w:themeFill="background1"/>
          </w:tcPr>
          <w:p w:rsidR="00981CA0" w:rsidRPr="00F13827" w:rsidRDefault="00981CA0" w:rsidP="00F13827">
            <w:pPr>
              <w:jc w:val="center"/>
              <w:rPr>
                <w:rFonts w:ascii="Times New Roman" w:hAnsi="Times New Roman" w:cs="Times New Roman"/>
                <w:b/>
                <w:sz w:val="28"/>
                <w:szCs w:val="28"/>
              </w:rPr>
            </w:pPr>
            <w:r w:rsidRPr="00F13827">
              <w:rPr>
                <w:rFonts w:ascii="Times New Roman" w:hAnsi="Times New Roman" w:cs="Times New Roman"/>
                <w:b/>
                <w:sz w:val="28"/>
                <w:szCs w:val="28"/>
              </w:rPr>
              <w:t>Облік земель та капітальних витрат на їх поліпшення</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78.</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Матеріально-економічний компонент природних ресурсів, який використовується суб’єктами господарювання як засіб виробництва чи з метою розташування різних об’єктів, має необмежений термін використання і являється необоротним активом – це:</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79.</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val="ru-RU"/>
              </w:rPr>
            </w:pPr>
            <w:r w:rsidRPr="00F13827">
              <w:rPr>
                <w:rFonts w:ascii="Times New Roman" w:hAnsi="Times New Roman" w:cs="Times New Roman"/>
                <w:sz w:val="28"/>
                <w:szCs w:val="28"/>
                <w:lang w:eastAsia="ru-RU"/>
              </w:rPr>
              <w:t>Відповідно до Земельного кодексу України землі за цільовим призначенням класифікуються на:</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Об’єктами земельних відносин в Україні 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81.</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Право землекористування включає: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82.</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rPr>
              <w:t>Право оренди земельної ділянки полягає у:</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83.</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Існують такі форми права власності на землю:</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84.</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rPr>
              <w:t>Видами прав сервітуту 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lastRenderedPageBreak/>
              <w:t>85.</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Права на землю підтверджуються:</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86.</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proofErr w:type="spellStart"/>
            <w:r w:rsidRPr="00F13827">
              <w:rPr>
                <w:rFonts w:ascii="Times New Roman" w:hAnsi="Times New Roman" w:cs="Times New Roman"/>
                <w:sz w:val="28"/>
                <w:szCs w:val="28"/>
              </w:rPr>
              <w:t>Суперфіцій</w:t>
            </w:r>
            <w:proofErr w:type="spellEnd"/>
            <w:r w:rsidRPr="00F13827">
              <w:rPr>
                <w:rFonts w:ascii="Times New Roman" w:hAnsi="Times New Roman" w:cs="Times New Roman"/>
                <w:sz w:val="28"/>
                <w:szCs w:val="28"/>
              </w:rPr>
              <w:t xml:space="preserve"> – це:</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87.</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Постійне користування земельною ділянкою передбачає:</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88.</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Короткострокова оренда земельної ділянки – це оренда строком:</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89.</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Емфітевзис – це:</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Право земельного сервітуту передбачає: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91.</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Завданнями бухгалтерського обліку земельних ділянок є:</w:t>
            </w: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92.</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rPr>
              <w:t>Якщо надається у користування земельна ділянка державної власності</w:t>
            </w:r>
            <w:r w:rsidRPr="00F13827">
              <w:rPr>
                <w:rFonts w:ascii="Times New Roman" w:hAnsi="Times New Roman" w:cs="Times New Roman"/>
                <w:sz w:val="28"/>
                <w:szCs w:val="28"/>
                <w:lang w:eastAsia="ru-RU"/>
              </w:rPr>
              <w:t xml:space="preserve">, то </w:t>
            </w:r>
            <w:r w:rsidRPr="00F13827">
              <w:rPr>
                <w:rFonts w:ascii="Times New Roman" w:hAnsi="Times New Roman" w:cs="Times New Roman"/>
                <w:sz w:val="28"/>
                <w:szCs w:val="28"/>
              </w:rPr>
              <w:t xml:space="preserve">емфітевзис та </w:t>
            </w:r>
            <w:proofErr w:type="spellStart"/>
            <w:r w:rsidRPr="00F13827">
              <w:rPr>
                <w:rFonts w:ascii="Times New Roman" w:hAnsi="Times New Roman" w:cs="Times New Roman"/>
                <w:sz w:val="28"/>
                <w:szCs w:val="28"/>
              </w:rPr>
              <w:t>суперфіцій</w:t>
            </w:r>
            <w:proofErr w:type="spellEnd"/>
            <w:r w:rsidRPr="00F13827">
              <w:rPr>
                <w:rFonts w:ascii="Times New Roman" w:hAnsi="Times New Roman" w:cs="Times New Roman"/>
                <w:sz w:val="28"/>
                <w:szCs w:val="28"/>
              </w:rPr>
              <w:t xml:space="preserve"> встановлюються строком:</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93.</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Податок у вигляді плати за землю сплачують: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94.</w:t>
            </w:r>
          </w:p>
        </w:tc>
        <w:tc>
          <w:tcPr>
            <w:tcW w:w="9356" w:type="dxa"/>
            <w:shd w:val="clear" w:color="auto" w:fill="FFFFFF" w:themeFill="background1"/>
          </w:tcPr>
          <w:p w:rsidR="00981CA0" w:rsidRPr="00F13827" w:rsidRDefault="00981CA0" w:rsidP="00F13827">
            <w:pPr>
              <w:tabs>
                <w:tab w:val="left" w:pos="1005"/>
              </w:tabs>
              <w:rPr>
                <w:rFonts w:ascii="Times New Roman" w:hAnsi="Times New Roman" w:cs="Times New Roman"/>
                <w:sz w:val="28"/>
                <w:szCs w:val="28"/>
              </w:rPr>
            </w:pPr>
            <w:r w:rsidRPr="00F13827">
              <w:rPr>
                <w:rFonts w:ascii="Times New Roman" w:hAnsi="Times New Roman" w:cs="Times New Roman"/>
                <w:sz w:val="28"/>
                <w:szCs w:val="28"/>
              </w:rPr>
              <w:t>Земельні паї обліковуються на рахунку:</w:t>
            </w:r>
          </w:p>
          <w:p w:rsidR="00981CA0" w:rsidRPr="00F13827" w:rsidRDefault="00981CA0" w:rsidP="00F13827">
            <w:pPr>
              <w:pStyle w:val="Default"/>
              <w:jc w:val="left"/>
              <w:rPr>
                <w:color w:val="auto"/>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95.</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Експертну оцінку землі використовують для:</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96.</w:t>
            </w:r>
          </w:p>
        </w:tc>
        <w:tc>
          <w:tcPr>
            <w:tcW w:w="9356" w:type="dxa"/>
            <w:shd w:val="clear" w:color="auto" w:fill="FFFFFF" w:themeFill="background1"/>
          </w:tcPr>
          <w:p w:rsidR="00981CA0" w:rsidRPr="00F13827" w:rsidRDefault="00981CA0" w:rsidP="00F13827">
            <w:pPr>
              <w:pStyle w:val="Default"/>
              <w:jc w:val="left"/>
              <w:rPr>
                <w:color w:val="auto"/>
                <w:sz w:val="28"/>
                <w:szCs w:val="28"/>
                <w:lang w:eastAsia="uk-UA"/>
              </w:rPr>
            </w:pPr>
            <w:r w:rsidRPr="00F13827">
              <w:rPr>
                <w:color w:val="auto"/>
                <w:sz w:val="28"/>
                <w:szCs w:val="28"/>
              </w:rPr>
              <w:t xml:space="preserve">До </w:t>
            </w:r>
            <w:r w:rsidRPr="00F13827">
              <w:rPr>
                <w:color w:val="auto"/>
                <w:sz w:val="28"/>
                <w:szCs w:val="28"/>
                <w:lang w:eastAsia="uk-UA"/>
              </w:rPr>
              <w:t>об’єктів оподаткування податком у вигляді плати за землю відносяться:</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97.</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Земельні ресурси можуть використовуватись як:</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98.</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Серед факторів, які впливають на її правове регулювання виділяють:</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99.</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lang w:eastAsia="ru-RU"/>
              </w:rPr>
            </w:pPr>
            <w:r w:rsidRPr="00F13827">
              <w:rPr>
                <w:rFonts w:ascii="Times New Roman" w:hAnsi="Times New Roman" w:cs="Times New Roman"/>
                <w:sz w:val="28"/>
                <w:szCs w:val="28"/>
                <w:lang w:eastAsia="ru-RU"/>
              </w:rPr>
              <w:t>До нормативних актів земельного законодавства відносяться:</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100.</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lang w:eastAsia="ru-RU"/>
              </w:rPr>
            </w:pPr>
            <w:r w:rsidRPr="00F13827">
              <w:rPr>
                <w:rFonts w:ascii="Times New Roman" w:hAnsi="Times New Roman" w:cs="Times New Roman"/>
                <w:sz w:val="28"/>
                <w:szCs w:val="28"/>
                <w:lang w:eastAsia="ru-RU"/>
              </w:rPr>
              <w:t>Який нормативний акт класифікує землі за їх цільовим призначенням:</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101.</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Суспільні відносини щодо володіння, користування і розпорядження землею:</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102.</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lang w:eastAsia="ru-RU"/>
              </w:rPr>
            </w:pPr>
            <w:r w:rsidRPr="00F13827">
              <w:rPr>
                <w:rFonts w:ascii="Times New Roman" w:hAnsi="Times New Roman" w:cs="Times New Roman"/>
                <w:sz w:val="28"/>
                <w:szCs w:val="28"/>
                <w:lang w:eastAsia="ru-RU"/>
              </w:rPr>
              <w:t>Які права на землю має її власник:</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103.</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Об’єднання земель кількох осіб, з визначенням відповідної частки кожного з них це:</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104.</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Право землекористування включає в себе:</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105.</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Обмежене платне чи безоплатне використання чужих земельних ділянок власником чи землекористувачем окремої земельної ділянки це:</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lastRenderedPageBreak/>
              <w:t>106.</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Право користування чужою земельною ділянкою для сільськогосподарських потреб це:</w:t>
            </w:r>
          </w:p>
          <w:p w:rsidR="00981CA0" w:rsidRPr="00F13827" w:rsidRDefault="00981CA0" w:rsidP="00F13827">
            <w:pPr>
              <w:pStyle w:val="a5"/>
              <w:tabs>
                <w:tab w:val="left" w:pos="4515"/>
              </w:tabs>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107.</w:t>
            </w:r>
          </w:p>
        </w:tc>
        <w:tc>
          <w:tcPr>
            <w:tcW w:w="9356" w:type="dxa"/>
            <w:shd w:val="clear" w:color="auto" w:fill="FFFFFF" w:themeFill="background1"/>
          </w:tcPr>
          <w:p w:rsidR="00981CA0" w:rsidRPr="00F13827" w:rsidRDefault="00981CA0" w:rsidP="00F13827">
            <w:pPr>
              <w:pStyle w:val="a5"/>
              <w:tabs>
                <w:tab w:val="left" w:pos="4515"/>
              </w:tabs>
              <w:ind w:left="0"/>
              <w:rPr>
                <w:rFonts w:ascii="Times New Roman" w:hAnsi="Times New Roman" w:cs="Times New Roman"/>
                <w:sz w:val="28"/>
                <w:szCs w:val="28"/>
              </w:rPr>
            </w:pPr>
            <w:r w:rsidRPr="00F13827">
              <w:rPr>
                <w:rFonts w:ascii="Times New Roman" w:hAnsi="Times New Roman" w:cs="Times New Roman"/>
                <w:sz w:val="28"/>
                <w:szCs w:val="28"/>
              </w:rPr>
              <w:t>Право користування чужою земельною ділянкою для забудови це:</w:t>
            </w:r>
          </w:p>
          <w:p w:rsidR="00981CA0" w:rsidRPr="00F13827" w:rsidRDefault="00981CA0" w:rsidP="00F13827">
            <w:pPr>
              <w:pStyle w:val="a5"/>
              <w:tabs>
                <w:tab w:val="left" w:pos="4515"/>
              </w:tabs>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108.</w:t>
            </w:r>
          </w:p>
        </w:tc>
        <w:tc>
          <w:tcPr>
            <w:tcW w:w="9356" w:type="dxa"/>
            <w:shd w:val="clear" w:color="auto" w:fill="FFFFFF" w:themeFill="background1"/>
          </w:tcPr>
          <w:p w:rsidR="00981CA0" w:rsidRPr="00F13827" w:rsidRDefault="00981CA0" w:rsidP="00F13827">
            <w:pPr>
              <w:pStyle w:val="a5"/>
              <w:tabs>
                <w:tab w:val="left" w:pos="4515"/>
              </w:tabs>
              <w:ind w:left="0"/>
              <w:rPr>
                <w:rFonts w:ascii="Times New Roman" w:hAnsi="Times New Roman" w:cs="Times New Roman"/>
                <w:sz w:val="28"/>
                <w:szCs w:val="28"/>
              </w:rPr>
            </w:pPr>
            <w:r w:rsidRPr="00F13827">
              <w:rPr>
                <w:rFonts w:ascii="Times New Roman" w:hAnsi="Times New Roman" w:cs="Times New Roman"/>
                <w:sz w:val="28"/>
                <w:szCs w:val="28"/>
              </w:rPr>
              <w:t>Ставки земельного податку визначаються залежно від:</w:t>
            </w:r>
          </w:p>
          <w:p w:rsidR="00981CA0" w:rsidRPr="00F13827" w:rsidRDefault="00981CA0" w:rsidP="00F13827">
            <w:pPr>
              <w:pStyle w:val="a5"/>
              <w:tabs>
                <w:tab w:val="left" w:pos="4515"/>
              </w:tabs>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109.</w:t>
            </w:r>
          </w:p>
        </w:tc>
        <w:tc>
          <w:tcPr>
            <w:tcW w:w="9356" w:type="dxa"/>
            <w:shd w:val="clear" w:color="auto" w:fill="FFFFFF" w:themeFill="background1"/>
          </w:tcPr>
          <w:p w:rsidR="00981CA0" w:rsidRPr="00F13827" w:rsidRDefault="00981CA0" w:rsidP="00981CA0">
            <w:pPr>
              <w:pStyle w:val="a5"/>
              <w:tabs>
                <w:tab w:val="left" w:pos="4515"/>
              </w:tabs>
              <w:ind w:left="0"/>
              <w:rPr>
                <w:rFonts w:ascii="Times New Roman" w:hAnsi="Times New Roman" w:cs="Times New Roman"/>
                <w:sz w:val="28"/>
                <w:szCs w:val="28"/>
              </w:rPr>
            </w:pPr>
            <w:r w:rsidRPr="00F13827">
              <w:rPr>
                <w:rFonts w:ascii="Times New Roman" w:hAnsi="Times New Roman" w:cs="Times New Roman"/>
                <w:sz w:val="28"/>
                <w:szCs w:val="28"/>
              </w:rPr>
              <w:t>Скільки виділяють видів грошової оцінки:</w:t>
            </w:r>
          </w:p>
          <w:p w:rsidR="00981CA0" w:rsidRPr="00F13827" w:rsidRDefault="00981CA0" w:rsidP="00F13827">
            <w:pPr>
              <w:pStyle w:val="a5"/>
              <w:tabs>
                <w:tab w:val="left" w:pos="4515"/>
              </w:tabs>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110.</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rPr>
            </w:pPr>
            <w:r w:rsidRPr="00F13827">
              <w:rPr>
                <w:rFonts w:ascii="Times New Roman" w:hAnsi="Times New Roman" w:cs="Times New Roman"/>
                <w:sz w:val="28"/>
                <w:szCs w:val="28"/>
              </w:rPr>
              <w:t>Виберіть земельні ділянки, які не підлягають оподаткуванню:</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111.</w:t>
            </w:r>
          </w:p>
        </w:tc>
        <w:tc>
          <w:tcPr>
            <w:tcW w:w="9356" w:type="dxa"/>
            <w:shd w:val="clear" w:color="auto" w:fill="FFFFFF" w:themeFill="background1"/>
          </w:tcPr>
          <w:p w:rsidR="00981CA0" w:rsidRPr="00F13827" w:rsidRDefault="00981CA0" w:rsidP="00F13827">
            <w:pPr>
              <w:pStyle w:val="a5"/>
              <w:ind w:left="0"/>
              <w:rPr>
                <w:rFonts w:ascii="Times New Roman" w:hAnsi="Times New Roman" w:cs="Times New Roman"/>
                <w:sz w:val="28"/>
                <w:szCs w:val="28"/>
                <w:lang w:val="ru-RU" w:eastAsia="ru-RU"/>
              </w:rPr>
            </w:pPr>
            <w:r w:rsidRPr="00F13827">
              <w:rPr>
                <w:rFonts w:ascii="Times New Roman" w:hAnsi="Times New Roman" w:cs="Times New Roman"/>
                <w:sz w:val="28"/>
                <w:szCs w:val="28"/>
                <w:lang w:val="ru-RU" w:eastAsia="ru-RU"/>
              </w:rPr>
              <w:t>Нормативно-</w:t>
            </w:r>
            <w:proofErr w:type="spellStart"/>
            <w:r w:rsidRPr="00F13827">
              <w:rPr>
                <w:rFonts w:ascii="Times New Roman" w:hAnsi="Times New Roman" w:cs="Times New Roman"/>
                <w:sz w:val="28"/>
                <w:szCs w:val="28"/>
                <w:lang w:val="ru-RU" w:eastAsia="ru-RU"/>
              </w:rPr>
              <w:t>грошова</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оцінка</w:t>
            </w:r>
            <w:proofErr w:type="spellEnd"/>
            <w:r w:rsidRPr="00F13827">
              <w:rPr>
                <w:rFonts w:ascii="Times New Roman" w:hAnsi="Times New Roman" w:cs="Times New Roman"/>
                <w:sz w:val="28"/>
                <w:szCs w:val="28"/>
                <w:lang w:val="ru-RU" w:eastAsia="ru-RU"/>
              </w:rPr>
              <w:t xml:space="preserve"> земель </w:t>
            </w:r>
            <w:proofErr w:type="spellStart"/>
            <w:r w:rsidRPr="00F13827">
              <w:rPr>
                <w:rFonts w:ascii="Times New Roman" w:hAnsi="Times New Roman" w:cs="Times New Roman"/>
                <w:sz w:val="28"/>
                <w:szCs w:val="28"/>
                <w:lang w:val="ru-RU" w:eastAsia="ru-RU"/>
              </w:rPr>
              <w:t>використовується</w:t>
            </w:r>
            <w:proofErr w:type="spellEnd"/>
            <w:r w:rsidRPr="00F13827">
              <w:rPr>
                <w:rFonts w:ascii="Times New Roman" w:hAnsi="Times New Roman" w:cs="Times New Roman"/>
                <w:sz w:val="28"/>
                <w:szCs w:val="28"/>
                <w:lang w:val="ru-RU" w:eastAsia="ru-RU"/>
              </w:rPr>
              <w:t xml:space="preserve"> для:</w:t>
            </w:r>
          </w:p>
          <w:p w:rsidR="00981CA0" w:rsidRPr="00F13827" w:rsidRDefault="00981CA0" w:rsidP="00F13827">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112.</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Експертна оцінка землі використовується для:</w:t>
            </w:r>
          </w:p>
          <w:p w:rsidR="00981CA0" w:rsidRPr="00F13827" w:rsidRDefault="00981CA0" w:rsidP="00F13827">
            <w:pPr>
              <w:pStyle w:val="a5"/>
              <w:ind w:left="0"/>
              <w:rPr>
                <w:rFonts w:ascii="Times New Roman" w:hAnsi="Times New Roman" w:cs="Times New Roman"/>
                <w:sz w:val="28"/>
                <w:szCs w:val="28"/>
                <w:lang w:val="ru-RU"/>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113.</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bCs/>
                <w:sz w:val="28"/>
                <w:szCs w:val="28"/>
              </w:rPr>
              <w:t>Договір оренди земельної ділянки 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114.</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bCs/>
                <w:sz w:val="28"/>
                <w:szCs w:val="28"/>
              </w:rPr>
              <w:t>Вкажіть строк для набуття права на земельну ділянку за давністю користування (</w:t>
            </w:r>
            <w:proofErr w:type="spellStart"/>
            <w:r w:rsidRPr="00F13827">
              <w:rPr>
                <w:rFonts w:ascii="Times New Roman" w:hAnsi="Times New Roman" w:cs="Times New Roman"/>
                <w:bCs/>
                <w:sz w:val="28"/>
                <w:szCs w:val="28"/>
              </w:rPr>
              <w:t>набувальна</w:t>
            </w:r>
            <w:proofErr w:type="spellEnd"/>
            <w:r w:rsidRPr="00F13827">
              <w:rPr>
                <w:rFonts w:ascii="Times New Roman" w:hAnsi="Times New Roman" w:cs="Times New Roman"/>
                <w:bCs/>
                <w:sz w:val="28"/>
                <w:szCs w:val="28"/>
              </w:rPr>
              <w:t xml:space="preserve"> давність):</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115.</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bCs/>
                <w:sz w:val="28"/>
                <w:szCs w:val="28"/>
              </w:rPr>
              <w:t>Вкажіть момент виникнення права власності на земельну ділянку:</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116.</w:t>
            </w:r>
          </w:p>
        </w:tc>
        <w:tc>
          <w:tcPr>
            <w:tcW w:w="9356" w:type="dxa"/>
            <w:shd w:val="clear" w:color="auto" w:fill="FFFFFF" w:themeFill="background1"/>
          </w:tcPr>
          <w:p w:rsidR="00981CA0" w:rsidRPr="00F13827" w:rsidRDefault="00981CA0" w:rsidP="00F13827">
            <w:pPr>
              <w:rPr>
                <w:rFonts w:ascii="Times New Roman" w:hAnsi="Times New Roman" w:cs="Times New Roman"/>
                <w:bCs/>
                <w:sz w:val="28"/>
                <w:szCs w:val="28"/>
              </w:rPr>
            </w:pPr>
            <w:r w:rsidRPr="00F13827">
              <w:rPr>
                <w:rFonts w:ascii="Times New Roman" w:hAnsi="Times New Roman" w:cs="Times New Roman"/>
                <w:bCs/>
                <w:sz w:val="28"/>
                <w:szCs w:val="28"/>
              </w:rPr>
              <w:t xml:space="preserve">Право користування земельною ділянкою державної або комунальної власності </w:t>
            </w:r>
          </w:p>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bCs/>
                <w:sz w:val="28"/>
                <w:szCs w:val="28"/>
              </w:rPr>
              <w:t>може бути:</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117.</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bCs/>
                <w:sz w:val="28"/>
                <w:szCs w:val="28"/>
              </w:rPr>
              <w:t>Формою договору оренди земельної ділянки 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118.</w:t>
            </w:r>
          </w:p>
        </w:tc>
        <w:tc>
          <w:tcPr>
            <w:tcW w:w="9356" w:type="dxa"/>
            <w:shd w:val="clear" w:color="auto" w:fill="FFFFFF" w:themeFill="background1"/>
          </w:tcPr>
          <w:p w:rsidR="00981CA0" w:rsidRPr="00F13827" w:rsidRDefault="00981CA0" w:rsidP="00F13827">
            <w:pPr>
              <w:pStyle w:val="1"/>
              <w:ind w:left="0"/>
              <w:rPr>
                <w:rFonts w:ascii="Times New Roman" w:hAnsi="Times New Roman"/>
                <w:sz w:val="28"/>
                <w:szCs w:val="28"/>
              </w:rPr>
            </w:pPr>
            <w:r w:rsidRPr="00F13827">
              <w:rPr>
                <w:rFonts w:ascii="Times New Roman" w:hAnsi="Times New Roman"/>
                <w:sz w:val="28"/>
                <w:szCs w:val="28"/>
              </w:rPr>
              <w:t>Об’єктами земельних відносин 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119.</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Суб’єктами земельних відносин в Україні є:</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120.</w:t>
            </w:r>
          </w:p>
        </w:tc>
        <w:tc>
          <w:tcPr>
            <w:tcW w:w="9356" w:type="dxa"/>
            <w:shd w:val="clear" w:color="auto" w:fill="FFFFFF" w:themeFill="background1"/>
          </w:tcPr>
          <w:p w:rsidR="00981CA0" w:rsidRPr="00F13827" w:rsidRDefault="00981CA0" w:rsidP="00F13827">
            <w:pPr>
              <w:rPr>
                <w:rFonts w:ascii="Times New Roman" w:hAnsi="Times New Roman" w:cs="Times New Roman"/>
                <w:sz w:val="28"/>
                <w:szCs w:val="28"/>
              </w:rPr>
            </w:pPr>
            <w:r w:rsidRPr="00F13827">
              <w:rPr>
                <w:rFonts w:ascii="Times New Roman" w:hAnsi="Times New Roman" w:cs="Times New Roman"/>
                <w:sz w:val="28"/>
                <w:szCs w:val="28"/>
              </w:rPr>
              <w:t>Під земельними ресурсами необхідно розуміти:</w:t>
            </w:r>
          </w:p>
          <w:p w:rsidR="00981CA0" w:rsidRPr="00F13827" w:rsidRDefault="00981CA0" w:rsidP="00F13827">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121.</w:t>
            </w:r>
          </w:p>
        </w:tc>
        <w:tc>
          <w:tcPr>
            <w:tcW w:w="9356" w:type="dxa"/>
            <w:shd w:val="clear" w:color="auto" w:fill="FFFFFF" w:themeFill="background1"/>
          </w:tcPr>
          <w:p w:rsidR="00981CA0"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Яким нормативним документом не регулюються земельні відносини?</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Які землі, згідно Земельний кодекс України, не підлягають класифікації за цільовим призначенням:</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На якому рахунку бухгалтерського обліку обліковуються «Права користування майном»:</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Яку назву має рахунок бухгалтерського обліку 01:</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До інвестиційної нерухомості відносяться:</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126.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Які існують види грошової оцінки землі:</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 xml:space="preserve">Інформаційною базою для експертної грошової оцінки земельних ділянок слугують: </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128.</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 xml:space="preserve">До  </w:t>
            </w:r>
            <w:r w:rsidRPr="00F13827">
              <w:rPr>
                <w:rFonts w:ascii="Times New Roman" w:hAnsi="Times New Roman" w:cs="Times New Roman"/>
                <w:sz w:val="28"/>
                <w:szCs w:val="28"/>
                <w:lang w:eastAsia="ru-RU"/>
              </w:rPr>
              <w:t>завдань бухгалтерського обліку земельних ділянок відносяться</w:t>
            </w:r>
            <w:r w:rsidRPr="00F13827">
              <w:rPr>
                <w:rFonts w:ascii="Times New Roman" w:hAnsi="Times New Roman" w:cs="Times New Roman"/>
                <w:sz w:val="28"/>
                <w:szCs w:val="28"/>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129.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Скільки існує видів грошової оцінки землі:</w:t>
            </w:r>
          </w:p>
          <w:p w:rsidR="00981CA0" w:rsidRPr="00F13827" w:rsidRDefault="00981CA0" w:rsidP="00981CA0">
            <w:pPr>
              <w:rPr>
                <w:rFonts w:ascii="Times New Roman" w:hAnsi="Times New Roman" w:cs="Times New Roman"/>
                <w:sz w:val="28"/>
                <w:szCs w:val="28"/>
              </w:rPr>
            </w:pPr>
          </w:p>
        </w:tc>
      </w:tr>
      <w:tr w:rsidR="00981CA0" w:rsidRPr="00F13827" w:rsidTr="00981CA0">
        <w:tc>
          <w:tcPr>
            <w:tcW w:w="10173" w:type="dxa"/>
            <w:gridSpan w:val="2"/>
            <w:shd w:val="clear" w:color="auto" w:fill="FFFFFF" w:themeFill="background1"/>
          </w:tcPr>
          <w:p w:rsidR="00981CA0" w:rsidRPr="00F13827" w:rsidRDefault="00981CA0" w:rsidP="00981CA0">
            <w:pPr>
              <w:jc w:val="center"/>
              <w:rPr>
                <w:rFonts w:ascii="Times New Roman" w:hAnsi="Times New Roman" w:cs="Times New Roman"/>
                <w:sz w:val="28"/>
                <w:szCs w:val="28"/>
              </w:rPr>
            </w:pPr>
            <w:r w:rsidRPr="00F13827">
              <w:rPr>
                <w:rFonts w:ascii="Times New Roman" w:hAnsi="Times New Roman" w:cs="Times New Roman"/>
                <w:b/>
                <w:sz w:val="28"/>
                <w:szCs w:val="28"/>
                <w:lang w:eastAsia="ru-RU"/>
              </w:rPr>
              <w:t>Фінансові інвестиції</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Фінансові інструменти в бухгалтерському обліку поділяються на:</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Об’єктами інвестування є:</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Основні шляхи надходження фінансових інвестицій:</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lang w:eastAsia="ru-RU"/>
              </w:rPr>
              <w:t xml:space="preserve">Для відображення в обліку операцій із </w:t>
            </w:r>
            <w:r w:rsidRPr="00F13827">
              <w:rPr>
                <w:rFonts w:ascii="Times New Roman" w:hAnsi="Times New Roman" w:cs="Times New Roman"/>
                <w:sz w:val="28"/>
                <w:szCs w:val="28"/>
              </w:rPr>
              <w:t>фінансовими інвестиціями використовують: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 xml:space="preserve">Вид цінного паперу, який надає право </w:t>
            </w:r>
            <w:r w:rsidRPr="00F13827">
              <w:rPr>
                <w:rFonts w:ascii="Times New Roman" w:hAnsi="Times New Roman" w:cs="Times New Roman"/>
                <w:sz w:val="28"/>
                <w:szCs w:val="28"/>
              </w:rPr>
              <w:t>участі в управлінні підприємством</w:t>
            </w:r>
            <w:r w:rsidRPr="00F13827">
              <w:rPr>
                <w:rFonts w:ascii="Times New Roman" w:hAnsi="Times New Roman" w:cs="Times New Roman"/>
                <w:sz w:val="28"/>
                <w:szCs w:val="28"/>
                <w:lang w:eastAsia="ru-RU"/>
              </w:rPr>
              <w:t xml:space="preserve"> та право на отримання дивідендів</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Облігація − це вид цінного паперу, який:</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Style w:val="a4"/>
                <w:rFonts w:ascii="Times New Roman" w:hAnsi="Times New Roman" w:cs="Times New Roman"/>
                <w:b w:val="0"/>
                <w:color w:val="auto"/>
                <w:sz w:val="28"/>
                <w:szCs w:val="28"/>
              </w:rPr>
              <w:t xml:space="preserve">Відсоткові облігації </w:t>
            </w:r>
            <w:r w:rsidRPr="00F13827">
              <w:rPr>
                <w:rFonts w:ascii="Times New Roman" w:hAnsi="Times New Roman" w:cs="Times New Roman"/>
                <w:sz w:val="28"/>
                <w:szCs w:val="28"/>
                <w:lang w:eastAsia="ru-RU"/>
              </w:rPr>
              <w:t>−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lang w:eastAsia="ru-RU"/>
              </w:rPr>
              <w:t>Дисконтні облігації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138.</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Емітент може розміщувати:</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139.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Похідний фінансовий інструмент – це фінансовий інструмент:</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Дериватив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До деривативів не належить: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 xml:space="preserve">Дисконт – це: </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Ставка відсотка за фінансовими інвестиціями, що визначається діленням суми річного відсотка та дисконту (або різниці річного відсотка та премії) на середню величину собівартості інвестиції (або зобов’язання) та вартості її погашення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Фінансовий актив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145.</w:t>
            </w:r>
          </w:p>
        </w:tc>
        <w:tc>
          <w:tcPr>
            <w:tcW w:w="9356" w:type="dxa"/>
            <w:shd w:val="clear" w:color="auto" w:fill="FFFFFF" w:themeFill="background1"/>
          </w:tcPr>
          <w:p w:rsidR="00981CA0" w:rsidRPr="00F13827" w:rsidRDefault="00981CA0" w:rsidP="00981CA0">
            <w:pPr>
              <w:pStyle w:val="2"/>
              <w:tabs>
                <w:tab w:val="left" w:pos="4350"/>
              </w:tabs>
              <w:spacing w:after="0" w:line="240" w:lineRule="auto"/>
              <w:ind w:left="0"/>
              <w:rPr>
                <w:rFonts w:ascii="Times New Roman" w:hAnsi="Times New Roman"/>
                <w:snapToGrid w:val="0"/>
                <w:sz w:val="28"/>
                <w:szCs w:val="28"/>
              </w:rPr>
            </w:pPr>
            <w:r w:rsidRPr="00F13827">
              <w:rPr>
                <w:rFonts w:ascii="Times New Roman" w:hAnsi="Times New Roman"/>
                <w:snapToGrid w:val="0"/>
                <w:sz w:val="28"/>
                <w:szCs w:val="28"/>
              </w:rPr>
              <w:t>Основні</w:t>
            </w:r>
            <w:r w:rsidRPr="00F13827">
              <w:rPr>
                <w:rFonts w:ascii="Times New Roman" w:hAnsi="Times New Roman"/>
                <w:b/>
                <w:snapToGrid w:val="0"/>
                <w:sz w:val="28"/>
                <w:szCs w:val="28"/>
              </w:rPr>
              <w:t xml:space="preserve"> </w:t>
            </w:r>
            <w:r>
              <w:rPr>
                <w:rFonts w:ascii="Times New Roman" w:hAnsi="Times New Roman"/>
                <w:snapToGrid w:val="0"/>
                <w:sz w:val="28"/>
                <w:szCs w:val="28"/>
              </w:rPr>
              <w:t xml:space="preserve">види опціонів: </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Отримано відсотки за облігаціями</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Відображено дисконт за проданими облігаціями</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148.</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Нараховано амортизацію дисконту за облігаціями</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149.</w:t>
            </w:r>
          </w:p>
        </w:tc>
        <w:tc>
          <w:tcPr>
            <w:tcW w:w="9356" w:type="dxa"/>
            <w:shd w:val="clear" w:color="auto" w:fill="FFFFFF" w:themeFill="background1"/>
          </w:tcPr>
          <w:p w:rsidR="00981CA0"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 xml:space="preserve">Яка проводка відповідає операції: </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Нараховано амортизацію премії за облігаціями</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p w:rsidR="00981CA0" w:rsidRPr="00F13827" w:rsidRDefault="00981CA0" w:rsidP="00981CA0">
            <w:pPr>
              <w:rPr>
                <w:rFonts w:ascii="Times New Roman" w:hAnsi="Times New Roman" w:cs="Times New Roman"/>
                <w:sz w:val="28"/>
                <w:szCs w:val="28"/>
                <w:lang w:eastAsia="ru-RU"/>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Продано випущені облігації</w:t>
            </w:r>
            <w:r w:rsidRPr="00F13827">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Відповідно до якого підходу фінансові інвестиції – це вкладення вільних фінансових ресурсів в різні види цінних паперів?</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152.</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Відповідно до якого підходу фінансові інвестиції – це активи, які утримуються підприємством з метою збільшення прибутку, зростання вартості капіталу тощо?</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153.</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Якого з підходів до визначення поняття «фінансові інвестиції» не існує?</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154.</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Право на управління товариством та на отримання прибутку це?</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155.</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Вкладення ресурсів з метою отримання прибутку це?</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156.</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 xml:space="preserve">Що з переліченого нижче може виступати об’єктом інвестування? </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157.</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У якому випадку надходження фінансових інвестицій  їх собівартість визначається за справедливою вартістю?</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158.</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Який рахунок призначений для обліку довгострокових фінансових інвестицій?</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159.</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Який документ регламентує державну реєстрацію облігаційних випусків підприємств?</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160.</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Облігації, що розміщуються за ціною нижчою, ніж їх номінальна вартість:</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161.</w:t>
            </w:r>
          </w:p>
        </w:tc>
        <w:tc>
          <w:tcPr>
            <w:tcW w:w="9356" w:type="dxa"/>
            <w:shd w:val="clear" w:color="auto" w:fill="FFFFFF" w:themeFill="background1"/>
          </w:tcPr>
          <w:p w:rsidR="00981CA0"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Які з наведених нижче лімітів слід враховувати головному бухгалтеру підприємства-емітента при випуску облігацій?</w:t>
            </w:r>
          </w:p>
          <w:p w:rsidR="00981CA0" w:rsidRDefault="00981CA0" w:rsidP="00981CA0">
            <w:pPr>
              <w:pStyle w:val="a5"/>
              <w:ind w:left="0"/>
              <w:rPr>
                <w:rFonts w:ascii="Times New Roman" w:hAnsi="Times New Roman" w:cs="Times New Roman"/>
                <w:sz w:val="28"/>
                <w:szCs w:val="28"/>
              </w:rPr>
            </w:pP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162.</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Яке П(С)БО призначене для регулювання бухгалтерського обліку фінансових інвестицій?</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163.</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Коли в бухгалтерському обліку відображають суму дисконту від продажу облігацій?</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164.</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Процес віднесення суми  дисконту до доходу поступово, частинами, протягом періоду їх обігу називається:</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165.</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Сума амортизації премії призводить до:</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166.</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У якому випадку теперішня вартість облігаційних зобов’язань дорівнює номінальній?</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Метод середньозваженої собівартості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168.</w:t>
            </w:r>
          </w:p>
        </w:tc>
        <w:tc>
          <w:tcPr>
            <w:tcW w:w="9356" w:type="dxa"/>
            <w:shd w:val="clear" w:color="auto" w:fill="FFFFFF" w:themeFill="background1"/>
          </w:tcPr>
          <w:p w:rsidR="00981CA0" w:rsidRPr="00F13827" w:rsidRDefault="00981CA0" w:rsidP="00981CA0">
            <w:pPr>
              <w:widowControl w:val="0"/>
              <w:outlineLvl w:val="3"/>
              <w:rPr>
                <w:rFonts w:ascii="Times New Roman" w:hAnsi="Times New Roman" w:cs="Times New Roman"/>
                <w:sz w:val="28"/>
                <w:szCs w:val="28"/>
              </w:rPr>
            </w:pPr>
            <w:r w:rsidRPr="00F13827">
              <w:rPr>
                <w:rFonts w:ascii="Times New Roman" w:hAnsi="Times New Roman" w:cs="Times New Roman"/>
                <w:sz w:val="28"/>
                <w:szCs w:val="28"/>
              </w:rPr>
              <w:t>Додатки до наказу про облікову політику підприємства в частині обліку операцій з фінансовими інвестиціями є:</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169.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До об’єктів фінансових інвестицій відносять:</w:t>
            </w:r>
          </w:p>
          <w:p w:rsidR="00981CA0" w:rsidRPr="00F13827" w:rsidRDefault="00981CA0" w:rsidP="00981CA0">
            <w:pPr>
              <w:rPr>
                <w:rFonts w:ascii="Times New Roman" w:hAnsi="Times New Roman" w:cs="Times New Roman"/>
                <w:sz w:val="28"/>
                <w:szCs w:val="28"/>
              </w:rPr>
            </w:pPr>
          </w:p>
        </w:tc>
      </w:tr>
      <w:tr w:rsidR="00981CA0" w:rsidRPr="00F13827" w:rsidTr="00981CA0">
        <w:trPr>
          <w:trHeight w:val="979"/>
        </w:trPr>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Класифікація інвестицій за формою власності поділяються на:</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Які нормативні документи регулюють БО цінних паперів?</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Облігація - це</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Строки існування цінного паперу</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Способи поширення цінного паперу</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Спосіб виплати доходу цінного паперу</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Вид забезпечення цінного паперу</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Порядок володіння цінного паперу</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178.</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Валютний номінал цінного паперу</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179.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До визначення фінансових інвестицій використовують наступні підходи:</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Класифікація інвестицій за напрямами поділяється на:</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lang w:eastAsia="ru-RU"/>
              </w:rPr>
              <w:t>Фінансові інструменти в бухгалтерському обліку поділяються на:</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Реальні інвестиції - це:</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183.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Фінансові інвестиції — це активна форма ефективного використання вільного капіталу підприємства, яка має особливості у тому, що:</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Цінні папери:</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proofErr w:type="spellStart"/>
            <w:r w:rsidRPr="00F13827">
              <w:rPr>
                <w:rFonts w:ascii="Times New Roman" w:hAnsi="Times New Roman" w:cs="Times New Roman"/>
                <w:sz w:val="28"/>
                <w:szCs w:val="28"/>
                <w:lang w:val="ru-RU" w:eastAsia="ru-RU"/>
              </w:rPr>
              <w:t>Яким</w:t>
            </w:r>
            <w:proofErr w:type="spellEnd"/>
            <w:r w:rsidRPr="00F13827">
              <w:rPr>
                <w:rFonts w:ascii="Times New Roman" w:hAnsi="Times New Roman" w:cs="Times New Roman"/>
                <w:sz w:val="28"/>
                <w:szCs w:val="28"/>
                <w:lang w:val="ru-RU" w:eastAsia="ru-RU"/>
              </w:rPr>
              <w:t xml:space="preserve"> МСБО </w:t>
            </w:r>
            <w:proofErr w:type="spellStart"/>
            <w:r w:rsidRPr="00F13827">
              <w:rPr>
                <w:rFonts w:ascii="Times New Roman" w:hAnsi="Times New Roman" w:cs="Times New Roman"/>
                <w:sz w:val="28"/>
                <w:szCs w:val="28"/>
                <w:lang w:val="ru-RU" w:eastAsia="ru-RU"/>
              </w:rPr>
              <w:t>регулюється</w:t>
            </w:r>
            <w:proofErr w:type="spellEnd"/>
            <w:r w:rsidRPr="00F13827">
              <w:rPr>
                <w:rFonts w:ascii="Times New Roman" w:hAnsi="Times New Roman" w:cs="Times New Roman"/>
                <w:sz w:val="28"/>
                <w:szCs w:val="28"/>
                <w:lang w:val="ru-RU" w:eastAsia="ru-RU"/>
              </w:rPr>
              <w:t xml:space="preserve"> порядок </w:t>
            </w:r>
            <w:proofErr w:type="spellStart"/>
            <w:r w:rsidRPr="00F13827">
              <w:rPr>
                <w:rFonts w:ascii="Times New Roman" w:hAnsi="Times New Roman" w:cs="Times New Roman"/>
                <w:sz w:val="28"/>
                <w:szCs w:val="28"/>
                <w:lang w:val="ru-RU" w:eastAsia="ru-RU"/>
              </w:rPr>
              <w:t>здійснення</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інвестицій</w:t>
            </w:r>
            <w:proofErr w:type="spellEnd"/>
            <w:r w:rsidRPr="00F13827">
              <w:rPr>
                <w:rFonts w:ascii="Times New Roman" w:hAnsi="Times New Roman" w:cs="Times New Roman"/>
                <w:sz w:val="28"/>
                <w:szCs w:val="28"/>
                <w:lang w:val="ru-RU" w:eastAsia="ru-RU"/>
              </w:rPr>
              <w:t xml:space="preserve"> в </w:t>
            </w:r>
            <w:proofErr w:type="spellStart"/>
            <w:r w:rsidRPr="00F13827">
              <w:rPr>
                <w:rFonts w:ascii="Times New Roman" w:hAnsi="Times New Roman" w:cs="Times New Roman"/>
                <w:sz w:val="28"/>
                <w:szCs w:val="28"/>
                <w:lang w:val="ru-RU" w:eastAsia="ru-RU"/>
              </w:rPr>
              <w:t>асоційовані</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компанії</w:t>
            </w:r>
            <w:proofErr w:type="spellEnd"/>
            <w:r w:rsidRPr="00F13827">
              <w:rPr>
                <w:rFonts w:ascii="Times New Roman" w:hAnsi="Times New Roman" w:cs="Times New Roman"/>
                <w:sz w:val="28"/>
                <w:szCs w:val="28"/>
                <w:lang w:val="ru-RU" w:eastAsia="ru-RU"/>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val="ru-RU" w:eastAsia="ru-RU"/>
              </w:rPr>
            </w:pPr>
            <w:r w:rsidRPr="00F13827">
              <w:rPr>
                <w:rFonts w:ascii="Times New Roman" w:hAnsi="Times New Roman" w:cs="Times New Roman"/>
                <w:sz w:val="28"/>
                <w:szCs w:val="28"/>
                <w:lang w:val="ru-RU" w:eastAsia="ru-RU"/>
              </w:rPr>
              <w:t xml:space="preserve">Шляхи </w:t>
            </w:r>
            <w:proofErr w:type="spellStart"/>
            <w:r w:rsidRPr="00F13827">
              <w:rPr>
                <w:rFonts w:ascii="Times New Roman" w:hAnsi="Times New Roman" w:cs="Times New Roman"/>
                <w:sz w:val="28"/>
                <w:szCs w:val="28"/>
                <w:lang w:val="ru-RU" w:eastAsia="ru-RU"/>
              </w:rPr>
              <w:t>надходження</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фінансових</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інвестицій</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включають</w:t>
            </w:r>
            <w:proofErr w:type="spellEnd"/>
            <w:r w:rsidRPr="00F13827">
              <w:rPr>
                <w:rFonts w:ascii="Times New Roman" w:hAnsi="Times New Roman" w:cs="Times New Roman"/>
                <w:sz w:val="28"/>
                <w:szCs w:val="28"/>
                <w:lang w:val="ru-RU" w:eastAsia="ru-RU"/>
              </w:rPr>
              <w:t>:</w:t>
            </w:r>
          </w:p>
          <w:p w:rsidR="00981CA0" w:rsidRPr="00F13827" w:rsidRDefault="00981CA0" w:rsidP="00981CA0">
            <w:pPr>
              <w:rPr>
                <w:rFonts w:ascii="Times New Roman" w:hAnsi="Times New Roman" w:cs="Times New Roman"/>
                <w:sz w:val="28"/>
                <w:szCs w:val="28"/>
                <w:lang w:val="ru-RU" w:eastAsia="ru-RU"/>
              </w:rPr>
            </w:pPr>
          </w:p>
        </w:tc>
      </w:tr>
      <w:tr w:rsidR="00981CA0" w:rsidRPr="00F13827" w:rsidTr="00981CA0">
        <w:tc>
          <w:tcPr>
            <w:tcW w:w="10173" w:type="dxa"/>
            <w:gridSpan w:val="2"/>
            <w:shd w:val="clear" w:color="auto" w:fill="FFFFFF" w:themeFill="background1"/>
          </w:tcPr>
          <w:p w:rsidR="00981CA0" w:rsidRPr="00F13827" w:rsidRDefault="00981CA0" w:rsidP="00981CA0">
            <w:pPr>
              <w:jc w:val="center"/>
              <w:rPr>
                <w:rFonts w:ascii="Times New Roman" w:hAnsi="Times New Roman" w:cs="Times New Roman"/>
                <w:sz w:val="28"/>
                <w:szCs w:val="28"/>
              </w:rPr>
            </w:pPr>
            <w:r w:rsidRPr="00F13827">
              <w:rPr>
                <w:rFonts w:ascii="Times New Roman" w:hAnsi="Times New Roman" w:cs="Times New Roman"/>
                <w:b/>
                <w:sz w:val="28"/>
                <w:szCs w:val="28"/>
                <w:lang w:eastAsia="ru-RU"/>
              </w:rPr>
              <w:t>Корпоративні права</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Частка прибутку, яку повинен отримати акціонер залежно від свого внеску до статутного капіталу підприємства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188.</w:t>
            </w:r>
          </w:p>
        </w:tc>
        <w:tc>
          <w:tcPr>
            <w:tcW w:w="9356" w:type="dxa"/>
            <w:shd w:val="clear" w:color="auto" w:fill="FFFFFF" w:themeFill="background1"/>
          </w:tcPr>
          <w:p w:rsidR="00981CA0" w:rsidRPr="00F13827" w:rsidRDefault="00981CA0" w:rsidP="00981CA0">
            <w:pPr>
              <w:rPr>
                <w:rStyle w:val="9pt"/>
                <w:rFonts w:cs="Times New Roman"/>
                <w:sz w:val="28"/>
                <w:szCs w:val="28"/>
              </w:rPr>
            </w:pPr>
            <w:r w:rsidRPr="00F13827">
              <w:rPr>
                <w:rStyle w:val="9pt"/>
                <w:rFonts w:cs="Times New Roman"/>
                <w:sz w:val="28"/>
                <w:szCs w:val="28"/>
              </w:rPr>
              <w:t>У законодавстві України право розподіляти прибуток віднесено до виключної компетенції:</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189.</w:t>
            </w:r>
          </w:p>
        </w:tc>
        <w:tc>
          <w:tcPr>
            <w:tcW w:w="9356" w:type="dxa"/>
            <w:shd w:val="clear" w:color="auto" w:fill="FFFFFF" w:themeFill="background1"/>
          </w:tcPr>
          <w:p w:rsidR="00981CA0" w:rsidRPr="00F13827" w:rsidRDefault="00981CA0" w:rsidP="00981CA0">
            <w:pPr>
              <w:pStyle w:val="a6"/>
              <w:spacing w:after="0"/>
              <w:rPr>
                <w:rStyle w:val="9pt"/>
                <w:sz w:val="28"/>
                <w:szCs w:val="28"/>
              </w:rPr>
            </w:pPr>
            <w:r w:rsidRPr="00F13827">
              <w:rPr>
                <w:rStyle w:val="9pt"/>
                <w:sz w:val="28"/>
                <w:szCs w:val="28"/>
              </w:rPr>
              <w:t>Виплата дивідендів за простими акціями здійснюється у строк, що:</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190.</w:t>
            </w:r>
          </w:p>
        </w:tc>
        <w:tc>
          <w:tcPr>
            <w:tcW w:w="9356" w:type="dxa"/>
            <w:shd w:val="clear" w:color="auto" w:fill="FFFFFF" w:themeFill="background1"/>
          </w:tcPr>
          <w:p w:rsidR="00981CA0" w:rsidRPr="00F13827" w:rsidRDefault="00981CA0" w:rsidP="00981CA0">
            <w:pPr>
              <w:pStyle w:val="a6"/>
              <w:spacing w:after="0"/>
              <w:rPr>
                <w:rStyle w:val="9pt"/>
                <w:sz w:val="28"/>
                <w:szCs w:val="28"/>
              </w:rPr>
            </w:pPr>
            <w:r w:rsidRPr="00F13827">
              <w:rPr>
                <w:rStyle w:val="9pt"/>
                <w:sz w:val="28"/>
                <w:szCs w:val="28"/>
              </w:rPr>
              <w:t>Виплата дивідендів за привілейованими акціями здійснюється у строк, що:</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191.</w:t>
            </w:r>
          </w:p>
        </w:tc>
        <w:tc>
          <w:tcPr>
            <w:tcW w:w="9356" w:type="dxa"/>
            <w:shd w:val="clear" w:color="auto" w:fill="FFFFFF" w:themeFill="background1"/>
          </w:tcPr>
          <w:p w:rsidR="00981CA0" w:rsidRPr="00F13827" w:rsidRDefault="00981CA0" w:rsidP="00981CA0">
            <w:pPr>
              <w:rPr>
                <w:rStyle w:val="9pt"/>
                <w:rFonts w:cs="Times New Roman"/>
                <w:sz w:val="28"/>
                <w:szCs w:val="28"/>
              </w:rPr>
            </w:pPr>
            <w:r w:rsidRPr="00F13827">
              <w:rPr>
                <w:rStyle w:val="9pt"/>
                <w:rFonts w:cs="Times New Roman"/>
                <w:sz w:val="28"/>
                <w:szCs w:val="28"/>
              </w:rPr>
              <w:t>У разі відсутності або недостатності чистого прибутку звітного року або нерозподіленого прибутку минулих років виплата дивідендів за привілейованими акціями здійснюється за рахунок:</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192.</w:t>
            </w:r>
          </w:p>
        </w:tc>
        <w:tc>
          <w:tcPr>
            <w:tcW w:w="9356" w:type="dxa"/>
            <w:shd w:val="clear" w:color="auto" w:fill="FFFFFF" w:themeFill="background1"/>
          </w:tcPr>
          <w:p w:rsidR="00981CA0" w:rsidRPr="00F13827" w:rsidRDefault="00981CA0" w:rsidP="00981CA0">
            <w:pPr>
              <w:rPr>
                <w:rStyle w:val="9pt"/>
                <w:rFonts w:cs="Times New Roman"/>
                <w:sz w:val="28"/>
                <w:szCs w:val="28"/>
              </w:rPr>
            </w:pPr>
            <w:r w:rsidRPr="00F13827">
              <w:rPr>
                <w:rStyle w:val="9pt"/>
                <w:rFonts w:cs="Times New Roman"/>
                <w:sz w:val="28"/>
                <w:szCs w:val="28"/>
              </w:rPr>
              <w:t>Дивіденди, нараховані власникам простих та привілейованих акцій за рахунок прибутку обліковують на:</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193.</w:t>
            </w:r>
          </w:p>
        </w:tc>
        <w:tc>
          <w:tcPr>
            <w:tcW w:w="9356" w:type="dxa"/>
            <w:shd w:val="clear" w:color="auto" w:fill="FFFFFF" w:themeFill="background1"/>
          </w:tcPr>
          <w:p w:rsidR="00981CA0" w:rsidRPr="00F13827" w:rsidRDefault="00981CA0" w:rsidP="00981CA0">
            <w:pPr>
              <w:rPr>
                <w:rStyle w:val="9pt"/>
                <w:rFonts w:cs="Times New Roman"/>
                <w:sz w:val="28"/>
                <w:szCs w:val="28"/>
              </w:rPr>
            </w:pPr>
            <w:r w:rsidRPr="00F13827">
              <w:rPr>
                <w:rFonts w:ascii="Times New Roman" w:hAnsi="Times New Roman" w:cs="Times New Roman"/>
                <w:sz w:val="28"/>
                <w:szCs w:val="28"/>
                <w:lang w:eastAsia="ru-RU"/>
              </w:rPr>
              <w:t>Базою для нарахування авансового внеску у разі виплати дивідендів у формі, відмінній від грошової є</w:t>
            </w:r>
            <w:r w:rsidRPr="00F13827">
              <w:rPr>
                <w:rStyle w:val="9pt"/>
                <w:rFonts w:cs="Times New Roman"/>
                <w:sz w:val="28"/>
                <w:szCs w:val="28"/>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lang w:eastAsia="ru-RU"/>
              </w:rPr>
              <w:t>Ставка оподаткування дивідендів, нарахованих на користь фізичних осіб за акціями або іншими корпоративними правами, що мають статус привілейованих або інший статус, який передбачає виплату фіксованого розміру дивідендів чи суми, що є більшою за суму виплат, розраховану на будь-яку іншу акцію:</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Ставка оподаткування дивідендів, нарахованих фізичним особам емітентом корпоративних прав – резидентом, який є юридичною особою:</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196.</w:t>
            </w:r>
          </w:p>
        </w:tc>
        <w:tc>
          <w:tcPr>
            <w:tcW w:w="9356" w:type="dxa"/>
            <w:shd w:val="clear" w:color="auto" w:fill="FFFFFF" w:themeFill="background1"/>
          </w:tcPr>
          <w:p w:rsidR="00981CA0" w:rsidRPr="00F13827" w:rsidRDefault="00981CA0" w:rsidP="00981CA0">
            <w:pPr>
              <w:pStyle w:val="a6"/>
              <w:spacing w:after="0"/>
              <w:rPr>
                <w:rFonts w:ascii="Times New Roman" w:hAnsi="Times New Roman"/>
                <w:b/>
                <w:sz w:val="28"/>
                <w:szCs w:val="28"/>
              </w:rPr>
            </w:pPr>
            <w:r w:rsidRPr="00F13827">
              <w:rPr>
                <w:rStyle w:val="9pt1"/>
                <w:b w:val="0"/>
                <w:bCs/>
                <w:sz w:val="28"/>
                <w:szCs w:val="28"/>
              </w:rPr>
              <w:t xml:space="preserve">Авансовий внесок не справляється </w:t>
            </w:r>
            <w:r w:rsidRPr="00F13827">
              <w:rPr>
                <w:rStyle w:val="9pt"/>
                <w:sz w:val="28"/>
                <w:szCs w:val="28"/>
              </w:rPr>
              <w:t>у</w:t>
            </w:r>
            <w:r w:rsidRPr="00F13827">
              <w:rPr>
                <w:rStyle w:val="9pt"/>
                <w:b/>
                <w:sz w:val="28"/>
                <w:szCs w:val="28"/>
              </w:rPr>
              <w:t xml:space="preserve"> </w:t>
            </w:r>
            <w:r w:rsidRPr="00F13827">
              <w:rPr>
                <w:rStyle w:val="9pt1"/>
                <w:b w:val="0"/>
                <w:bCs/>
                <w:sz w:val="28"/>
                <w:szCs w:val="28"/>
              </w:rPr>
              <w:t>разі виплати дивідендів:</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Не сплачують авансовий внесок із дивідендів:</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198.</w:t>
            </w:r>
          </w:p>
        </w:tc>
        <w:tc>
          <w:tcPr>
            <w:tcW w:w="9356" w:type="dxa"/>
            <w:shd w:val="clear" w:color="auto" w:fill="FFFFFF" w:themeFill="background1"/>
          </w:tcPr>
          <w:p w:rsidR="00981CA0" w:rsidRPr="00F13827" w:rsidRDefault="00981CA0" w:rsidP="00981CA0">
            <w:pPr>
              <w:pStyle w:val="31"/>
              <w:shd w:val="clear" w:color="auto" w:fill="auto"/>
              <w:spacing w:line="240" w:lineRule="auto"/>
              <w:jc w:val="left"/>
              <w:rPr>
                <w:rFonts w:ascii="Times New Roman" w:hAnsi="Times New Roman" w:cs="Times New Roman"/>
                <w:sz w:val="28"/>
                <w:szCs w:val="28"/>
              </w:rPr>
            </w:pPr>
            <w:r w:rsidRPr="00F13827">
              <w:rPr>
                <w:rStyle w:val="21"/>
                <w:rFonts w:ascii="Times New Roman" w:hAnsi="Times New Roman" w:cs="Times New Roman"/>
                <w:b w:val="0"/>
                <w:color w:val="auto"/>
                <w:sz w:val="28"/>
                <w:szCs w:val="28"/>
              </w:rPr>
              <w:t>Не обкладаються ПДФО</w:t>
            </w:r>
            <w:r w:rsidRPr="00F13827">
              <w:rPr>
                <w:rStyle w:val="21"/>
                <w:rFonts w:ascii="Times New Roman" w:hAnsi="Times New Roman" w:cs="Times New Roman"/>
                <w:color w:val="auto"/>
                <w:sz w:val="28"/>
                <w:szCs w:val="28"/>
              </w:rPr>
              <w:t xml:space="preserve"> </w:t>
            </w:r>
            <w:r w:rsidRPr="00F13827">
              <w:rPr>
                <w:rFonts w:ascii="Times New Roman" w:hAnsi="Times New Roman" w:cs="Times New Roman"/>
                <w:sz w:val="28"/>
                <w:szCs w:val="28"/>
              </w:rPr>
              <w:t>дивіденди, які нараховують у вигляді акцій, емітованих юридичною особою, котра нараховує дивіденди, якщо</w:t>
            </w:r>
            <w:r w:rsidRPr="00F13827">
              <w:rPr>
                <w:rStyle w:val="a9"/>
                <w:rFonts w:ascii="Times New Roman" w:hAnsi="Times New Roman" w:cs="Times New Roman"/>
                <w:i w:val="0"/>
                <w:color w:val="auto"/>
                <w:sz w:val="28"/>
                <w:szCs w:val="28"/>
              </w:rPr>
              <w:t>:</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199.</w:t>
            </w:r>
          </w:p>
        </w:tc>
        <w:tc>
          <w:tcPr>
            <w:tcW w:w="9356" w:type="dxa"/>
            <w:shd w:val="clear" w:color="auto" w:fill="FFFFFF" w:themeFill="background1"/>
          </w:tcPr>
          <w:p w:rsidR="00981CA0"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Сума вкладів засновників господарського товариства, яка визначає мінімальний розмір майна господарського товариства та гарантує інтереси його кредиторів, це:</w:t>
            </w:r>
          </w:p>
          <w:p w:rsidR="00981CA0" w:rsidRPr="00F13827" w:rsidRDefault="00981CA0" w:rsidP="00981CA0">
            <w:pPr>
              <w:rPr>
                <w:rFonts w:ascii="Times New Roman" w:hAnsi="Times New Roman" w:cs="Times New Roman"/>
                <w:sz w:val="28"/>
                <w:szCs w:val="28"/>
                <w:lang w:eastAsia="ru-RU"/>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rPr>
              <w:t xml:space="preserve">Мінімальний розмір </w:t>
            </w:r>
            <w:r w:rsidRPr="00F13827">
              <w:rPr>
                <w:rFonts w:ascii="Times New Roman" w:hAnsi="Times New Roman" w:cs="Times New Roman"/>
                <w:sz w:val="28"/>
                <w:szCs w:val="28"/>
                <w:lang w:eastAsia="ru-RU"/>
              </w:rPr>
              <w:t>статутного капіталу акціонерного товариства становить: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rPr>
              <w:t xml:space="preserve">Мінімальний розмір </w:t>
            </w:r>
            <w:r w:rsidRPr="00F13827">
              <w:rPr>
                <w:rFonts w:ascii="Times New Roman" w:hAnsi="Times New Roman" w:cs="Times New Roman"/>
                <w:sz w:val="28"/>
                <w:szCs w:val="28"/>
                <w:lang w:eastAsia="ru-RU"/>
              </w:rPr>
              <w:t>статутного капіталу товариства</w:t>
            </w:r>
            <w:r w:rsidRPr="00F13827">
              <w:rPr>
                <w:rFonts w:ascii="Times New Roman" w:eastAsia="Times New Roman" w:hAnsi="Times New Roman" w:cs="Times New Roman"/>
                <w:kern w:val="24"/>
                <w:sz w:val="28"/>
                <w:szCs w:val="28"/>
                <w:lang w:eastAsia="ru-RU"/>
              </w:rPr>
              <w:t xml:space="preserve"> з додатковою відповідальністю</w:t>
            </w:r>
            <w:r w:rsidRPr="00F13827">
              <w:rPr>
                <w:rFonts w:ascii="Times New Roman" w:hAnsi="Times New Roman" w:cs="Times New Roman"/>
                <w:sz w:val="28"/>
                <w:szCs w:val="28"/>
                <w:lang w:eastAsia="ru-RU"/>
              </w:rPr>
              <w:t xml:space="preserve"> становить: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Термін сплати оголошеного статутного капіталу господарського товариства засновниками становить: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Підстава для формування статутного капіталу господарського товариства:</w:t>
            </w:r>
          </w:p>
          <w:p w:rsidR="00981CA0" w:rsidRPr="00F13827" w:rsidRDefault="00981CA0" w:rsidP="00981CA0">
            <w:pPr>
              <w:rPr>
                <w:rFonts w:ascii="Times New Roman" w:hAnsi="Times New Roman" w:cs="Times New Roman"/>
                <w:sz w:val="28"/>
                <w:szCs w:val="28"/>
                <w:lang w:val="ru-RU"/>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Вкладами засновників та учасників до статутного капіталу господарського товариства можуть бути:</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lang w:eastAsia="ru-RU"/>
              </w:rPr>
            </w:pPr>
            <w:r w:rsidRPr="00F13827">
              <w:rPr>
                <w:rFonts w:ascii="Times New Roman" w:hAnsi="Times New Roman" w:cs="Times New Roman"/>
                <w:sz w:val="28"/>
                <w:szCs w:val="28"/>
              </w:rPr>
              <w:t>Акціонерне товариство має право збільшити розмір статутного капіталу, якщо</w:t>
            </w:r>
            <w:r w:rsidRPr="00F13827">
              <w:rPr>
                <w:rFonts w:ascii="Times New Roman" w:hAnsi="Times New Roman" w:cs="Times New Roman"/>
                <w:sz w:val="28"/>
                <w:szCs w:val="28"/>
                <w:lang w:eastAsia="ru-RU"/>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 xml:space="preserve">Акціонерне товариство може </w:t>
            </w:r>
            <w:r w:rsidRPr="00F13827">
              <w:rPr>
                <w:rFonts w:ascii="Times New Roman" w:hAnsi="Times New Roman" w:cs="Times New Roman"/>
                <w:bCs/>
                <w:sz w:val="28"/>
                <w:szCs w:val="28"/>
              </w:rPr>
              <w:t>збільшити розмір статутного капіталу</w:t>
            </w:r>
            <w:r w:rsidRPr="00F13827">
              <w:rPr>
                <w:rFonts w:ascii="Times New Roman" w:hAnsi="Times New Roman" w:cs="Times New Roman"/>
                <w:sz w:val="28"/>
                <w:szCs w:val="28"/>
              </w:rPr>
              <w:t xml:space="preserve"> шляхом</w:t>
            </w:r>
            <w:r w:rsidRPr="00F13827">
              <w:rPr>
                <w:rFonts w:ascii="Times New Roman" w:hAnsi="Times New Roman" w:cs="Times New Roman"/>
                <w:sz w:val="28"/>
                <w:szCs w:val="28"/>
                <w:lang w:eastAsia="ru-RU"/>
              </w:rPr>
              <w:t>:</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iCs/>
                <w:sz w:val="28"/>
                <w:szCs w:val="28"/>
              </w:rPr>
              <w:t>Власний капітал підприємства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208.</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iCs/>
                <w:sz w:val="28"/>
                <w:szCs w:val="28"/>
              </w:rPr>
              <w:t>Додатковий капітал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209.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iCs/>
                <w:sz w:val="28"/>
                <w:szCs w:val="28"/>
              </w:rPr>
              <w:t>Санаційний прибуток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iCs/>
                <w:sz w:val="28"/>
                <w:szCs w:val="28"/>
              </w:rPr>
              <w:t>Конверсія акцій - це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iCs/>
                <w:sz w:val="28"/>
                <w:szCs w:val="28"/>
              </w:rPr>
              <w:t>Преференції, які надаються власникам привілейованих акцій, можуть полягати у такому:</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212.</w:t>
            </w:r>
          </w:p>
        </w:tc>
        <w:tc>
          <w:tcPr>
            <w:tcW w:w="9356" w:type="dxa"/>
            <w:shd w:val="clear" w:color="auto" w:fill="FFFFFF" w:themeFill="background1"/>
          </w:tcPr>
          <w:p w:rsidR="00981CA0" w:rsidRPr="00F13827" w:rsidRDefault="00981CA0" w:rsidP="00981CA0">
            <w:pPr>
              <w:rPr>
                <w:rFonts w:ascii="Times New Roman" w:hAnsi="Times New Roman" w:cs="Times New Roman"/>
                <w:bCs/>
                <w:sz w:val="28"/>
                <w:szCs w:val="28"/>
              </w:rPr>
            </w:pPr>
            <w:r w:rsidRPr="00F13827">
              <w:rPr>
                <w:rFonts w:ascii="Times New Roman" w:hAnsi="Times New Roman" w:cs="Times New Roman"/>
                <w:bCs/>
                <w:sz w:val="28"/>
                <w:szCs w:val="28"/>
              </w:rPr>
              <w:t>До майна, яке не може бути вкладом до СК, належать: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213.</w:t>
            </w:r>
          </w:p>
        </w:tc>
        <w:tc>
          <w:tcPr>
            <w:tcW w:w="9356" w:type="dxa"/>
            <w:shd w:val="clear" w:color="auto" w:fill="FFFFFF" w:themeFill="background1"/>
          </w:tcPr>
          <w:p w:rsidR="00981CA0" w:rsidRPr="00F13827" w:rsidRDefault="00981CA0" w:rsidP="00981CA0">
            <w:pPr>
              <w:rPr>
                <w:rFonts w:ascii="Times New Roman" w:hAnsi="Times New Roman" w:cs="Times New Roman"/>
                <w:bCs/>
                <w:sz w:val="28"/>
                <w:szCs w:val="28"/>
              </w:rPr>
            </w:pPr>
            <w:r w:rsidRPr="00F13827">
              <w:rPr>
                <w:rFonts w:ascii="Times New Roman" w:hAnsi="Times New Roman" w:cs="Times New Roman"/>
                <w:bCs/>
                <w:sz w:val="28"/>
                <w:szCs w:val="28"/>
              </w:rPr>
              <w:t>Рішення вищого органу господарського товариства приймається з таких питань: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214.</w:t>
            </w:r>
          </w:p>
        </w:tc>
        <w:tc>
          <w:tcPr>
            <w:tcW w:w="9356" w:type="dxa"/>
            <w:shd w:val="clear" w:color="auto" w:fill="FFFFFF" w:themeFill="background1"/>
          </w:tcPr>
          <w:p w:rsidR="00981CA0" w:rsidRPr="00F13827" w:rsidRDefault="00981CA0" w:rsidP="00981CA0">
            <w:pPr>
              <w:rPr>
                <w:rFonts w:ascii="Times New Roman" w:hAnsi="Times New Roman" w:cs="Times New Roman"/>
                <w:bCs/>
                <w:iCs/>
                <w:sz w:val="28"/>
                <w:szCs w:val="28"/>
              </w:rPr>
            </w:pPr>
            <w:r w:rsidRPr="00F13827">
              <w:rPr>
                <w:rFonts w:ascii="Times New Roman" w:hAnsi="Times New Roman" w:cs="Times New Roman"/>
                <w:bCs/>
                <w:sz w:val="28"/>
                <w:szCs w:val="28"/>
              </w:rPr>
              <w:t>Рішення вищого органу господарського товариства повинно бути оформлене</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215.</w:t>
            </w:r>
          </w:p>
        </w:tc>
        <w:tc>
          <w:tcPr>
            <w:tcW w:w="9356" w:type="dxa"/>
            <w:shd w:val="clear" w:color="auto" w:fill="FFFFFF" w:themeFill="background1"/>
          </w:tcPr>
          <w:p w:rsidR="00981CA0" w:rsidRPr="00981CA0" w:rsidRDefault="00981CA0" w:rsidP="00981CA0">
            <w:pPr>
              <w:rPr>
                <w:rFonts w:ascii="Times New Roman" w:hAnsi="Times New Roman" w:cs="Times New Roman"/>
                <w:bCs/>
                <w:sz w:val="28"/>
                <w:szCs w:val="28"/>
              </w:rPr>
            </w:pPr>
            <w:r w:rsidRPr="00F13827">
              <w:rPr>
                <w:rFonts w:ascii="Times New Roman" w:hAnsi="Times New Roman" w:cs="Times New Roman"/>
                <w:bCs/>
                <w:sz w:val="28"/>
                <w:szCs w:val="28"/>
              </w:rPr>
              <w:t>Проведення оцінки майна, що вноситься до статутного капіталу, є обов’язковим:</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216.</w:t>
            </w:r>
          </w:p>
        </w:tc>
        <w:tc>
          <w:tcPr>
            <w:tcW w:w="9356" w:type="dxa"/>
            <w:shd w:val="clear" w:color="auto" w:fill="FFFFFF" w:themeFill="background1"/>
          </w:tcPr>
          <w:p w:rsidR="00981CA0" w:rsidRPr="00F13827" w:rsidRDefault="00981CA0" w:rsidP="00981CA0">
            <w:pPr>
              <w:rPr>
                <w:rFonts w:ascii="Times New Roman" w:hAnsi="Times New Roman" w:cs="Times New Roman"/>
                <w:bCs/>
                <w:sz w:val="28"/>
                <w:szCs w:val="28"/>
              </w:rPr>
            </w:pPr>
            <w:r w:rsidRPr="00F13827">
              <w:rPr>
                <w:rFonts w:ascii="Times New Roman" w:hAnsi="Times New Roman" w:cs="Times New Roman"/>
                <w:bCs/>
                <w:sz w:val="28"/>
                <w:szCs w:val="28"/>
              </w:rPr>
              <w:t xml:space="preserve">Неоплачений капітал формується </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217.</w:t>
            </w:r>
          </w:p>
        </w:tc>
        <w:tc>
          <w:tcPr>
            <w:tcW w:w="9356" w:type="dxa"/>
            <w:shd w:val="clear" w:color="auto" w:fill="FFFFFF" w:themeFill="background1"/>
          </w:tcPr>
          <w:p w:rsidR="00981CA0" w:rsidRPr="00F13827" w:rsidRDefault="00981CA0" w:rsidP="00981CA0">
            <w:pPr>
              <w:rPr>
                <w:rFonts w:ascii="Times New Roman" w:hAnsi="Times New Roman" w:cs="Times New Roman"/>
                <w:bCs/>
                <w:sz w:val="28"/>
                <w:szCs w:val="28"/>
              </w:rPr>
            </w:pPr>
            <w:r w:rsidRPr="00F13827">
              <w:rPr>
                <w:rFonts w:ascii="Times New Roman" w:hAnsi="Times New Roman" w:cs="Times New Roman"/>
                <w:bCs/>
                <w:sz w:val="28"/>
                <w:szCs w:val="28"/>
              </w:rPr>
              <w:t>Неоплачений капітал  відображається проводкою</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218.</w:t>
            </w:r>
          </w:p>
        </w:tc>
        <w:tc>
          <w:tcPr>
            <w:tcW w:w="9356" w:type="dxa"/>
            <w:shd w:val="clear" w:color="auto" w:fill="FFFFFF" w:themeFill="background1"/>
          </w:tcPr>
          <w:p w:rsidR="00981CA0" w:rsidRPr="00F13827" w:rsidRDefault="00981CA0" w:rsidP="00981CA0">
            <w:pPr>
              <w:rPr>
                <w:rFonts w:ascii="Times New Roman" w:hAnsi="Times New Roman" w:cs="Times New Roman"/>
                <w:bCs/>
                <w:sz w:val="28"/>
                <w:szCs w:val="28"/>
              </w:rPr>
            </w:pPr>
            <w:r w:rsidRPr="00F13827">
              <w:rPr>
                <w:rFonts w:ascii="Times New Roman" w:hAnsi="Times New Roman" w:cs="Times New Roman"/>
                <w:bCs/>
                <w:sz w:val="28"/>
                <w:szCs w:val="28"/>
              </w:rPr>
              <w:t>Внесена частина внеску учасником через банк відображається</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219.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Інвестиційний прибуток при продажу корпоративних прав фізичною особою це:</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Яке право не можна віднести до корпоративного права:</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Корпоративні права можуть надавати наступні права:</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До похідного способу набуття корпоративних прав відноситься:</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Що не може бути шляхом зміни власника корпоративних прав:</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Придбані корпоративні права обліковуються за наступним методом:</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Фінансові інвестиції, які передбачають купівлю цінних паперів, деривативів та інших фінансових активів за кошти на фондовому ринку або біржовому товарному ринку це:</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Якщо дивіденди нараховані на користь фізичних осіб за привілейованими акціями, то вони оподатковуються за ставкою:</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Сума, що перевищує частку у статутному капіталі підприємства та була сплачена при придбанні такої частки, відноситься до інвестиційних витрат за дебетом рахунку:</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228.</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право розподіляти прибуток підприємства віднесено до виключної компетенції:</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229.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 xml:space="preserve">Згідно з законодавством України виплачувати дивіденди виключно коштами </w:t>
            </w:r>
            <w:proofErr w:type="spellStart"/>
            <w:r w:rsidRPr="00F13827">
              <w:rPr>
                <w:rFonts w:ascii="Times New Roman" w:hAnsi="Times New Roman" w:cs="Times New Roman"/>
                <w:sz w:val="28"/>
                <w:szCs w:val="28"/>
              </w:rPr>
              <w:t>зобовязані</w:t>
            </w:r>
            <w:proofErr w:type="spellEnd"/>
            <w:r w:rsidRPr="00F13827">
              <w:rPr>
                <w:rFonts w:ascii="Times New Roman" w:hAnsi="Times New Roman" w:cs="Times New Roman"/>
                <w:sz w:val="28"/>
                <w:szCs w:val="28"/>
              </w:rPr>
              <w:t>:</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У разі відсутності чистого прибутку звітного року та нерозподіленого прибутку минулих періодів виплата дивідендів за привілейованими акціями здійснюється за рахунок:</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Авансові внески з податку на прибуток не справляються у разі виплати дивідендів:</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Дивіденди, які виплачуються фізичним особам є об’єктом оподаткування:</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233.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виплата дивідендів за простими акціями здійснюється у строк, що не перевищує:</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Якщо дивіденди нараховані фізичній особі резидентом, який є юридичною особою, то вони оподатковуються за ставкою:</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235.</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Якщо засновники господарського товариства самі оцінюють майно або майнові права та визначають критерії оцінки своїх внесків до статутного капіталу – це доцільно оформляти:</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236.</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Господарські операції, що передбачають внесення коштів або майна в обмін на корпоративні права, емітовані юридичною особою при їх розміщенні такою особою є:</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237.</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Метод, згідно з яким балансова вартість інвестицій відповідно збільшується або зменшується на суму збільшення або зменшення часки інвестора у власному капіталі об’єкта інвестування називається:</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238.</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Позитивна різниця між доходом, отриманим платником податку від продажу окремого інвестиційного активу, та його вартістю, що визначається із суми витрат на придбання такого активу – це:</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239.</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Юридична особа, яка від свого імені розміщує емісійні цінні папери та бере на себе зобов’язання за ними перед їх власниками – це:</w:t>
            </w:r>
          </w:p>
          <w:p w:rsidR="00981CA0" w:rsidRPr="00F13827" w:rsidRDefault="00981CA0" w:rsidP="00981CA0">
            <w:pPr>
              <w:pStyle w:val="a5"/>
              <w:ind w:left="0"/>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240.</w:t>
            </w:r>
          </w:p>
        </w:tc>
        <w:tc>
          <w:tcPr>
            <w:tcW w:w="9356" w:type="dxa"/>
            <w:shd w:val="clear" w:color="auto" w:fill="FFFFFF" w:themeFill="background1"/>
          </w:tcPr>
          <w:p w:rsidR="00981CA0" w:rsidRPr="00F13827" w:rsidRDefault="00981CA0" w:rsidP="00981CA0">
            <w:pPr>
              <w:pStyle w:val="a5"/>
              <w:ind w:left="0"/>
              <w:rPr>
                <w:rFonts w:ascii="Times New Roman" w:hAnsi="Times New Roman" w:cs="Times New Roman"/>
                <w:sz w:val="28"/>
                <w:szCs w:val="28"/>
              </w:rPr>
            </w:pPr>
            <w:r w:rsidRPr="00F13827">
              <w:rPr>
                <w:rFonts w:ascii="Times New Roman" w:hAnsi="Times New Roman" w:cs="Times New Roman"/>
                <w:sz w:val="28"/>
                <w:szCs w:val="28"/>
              </w:rPr>
              <w:t xml:space="preserve">Згідно Податкового кодексу сукупність часток юридичних осіб, що не є платниками єдиного податку, в статутному капіталі </w:t>
            </w:r>
            <w:proofErr w:type="spellStart"/>
            <w:r w:rsidRPr="00F13827">
              <w:rPr>
                <w:rFonts w:ascii="Times New Roman" w:hAnsi="Times New Roman" w:cs="Times New Roman"/>
                <w:sz w:val="28"/>
                <w:szCs w:val="28"/>
              </w:rPr>
              <w:t>єдинника</w:t>
            </w:r>
            <w:proofErr w:type="spellEnd"/>
            <w:r w:rsidRPr="00F13827">
              <w:rPr>
                <w:rFonts w:ascii="Times New Roman" w:hAnsi="Times New Roman" w:cs="Times New Roman"/>
                <w:sz w:val="28"/>
                <w:szCs w:val="28"/>
              </w:rPr>
              <w:t xml:space="preserve"> повинна становити менше:</w:t>
            </w: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241.</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До загального місячного (річного) оподатковуваного доходу платника податку не включаються доходи у вигляді дивідендів, які одночасно відповідають наведеним нижче умовам:</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242.</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Первісною вартістю основних засобів, що включені до статутного капіталу підприємства, визнається їх вартість:</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243.</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До складу загального місячного (річного) оподатковуваного доходу платника податку не включається інвестиційний прибуток від проведення платником податку операцій з:</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244.</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АТ може збільшити розмір статутного капіталу шляхом:</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245.</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Право на продаж (придбання) відповідного активу за встановленою ціною у майбутньому має:</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246.</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Користування – це:</w:t>
            </w:r>
          </w:p>
          <w:p w:rsidR="00981CA0" w:rsidRDefault="00981CA0" w:rsidP="00981CA0">
            <w:pPr>
              <w:rPr>
                <w:rFonts w:ascii="Times New Roman" w:hAnsi="Times New Roman" w:cs="Times New Roman"/>
                <w:sz w:val="28"/>
                <w:szCs w:val="28"/>
              </w:rPr>
            </w:pP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lastRenderedPageBreak/>
              <w:t>247.</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Право власності на товар чи право на придбання акцій чи облігацій у майбутньому має:</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248.</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Право на безкоштовне отримання частки державного майна під час приватизації має:</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249.</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Володіння передбачає:</w:t>
            </w:r>
          </w:p>
          <w:p w:rsidR="00981CA0" w:rsidRPr="00F13827" w:rsidRDefault="00981CA0" w:rsidP="00981CA0">
            <w:pPr>
              <w:rPr>
                <w:rFonts w:ascii="Times New Roman" w:hAnsi="Times New Roman" w:cs="Times New Roman"/>
                <w:sz w:val="28"/>
                <w:szCs w:val="28"/>
              </w:rPr>
            </w:pPr>
          </w:p>
        </w:tc>
      </w:tr>
      <w:tr w:rsidR="00981CA0" w:rsidRPr="00F13827" w:rsidTr="00981CA0">
        <w:tc>
          <w:tcPr>
            <w:tcW w:w="817"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250.</w:t>
            </w:r>
          </w:p>
        </w:tc>
        <w:tc>
          <w:tcPr>
            <w:tcW w:w="9356" w:type="dxa"/>
            <w:shd w:val="clear" w:color="auto" w:fill="FFFFFF" w:themeFill="background1"/>
          </w:tcPr>
          <w:p w:rsidR="00981CA0" w:rsidRPr="00F13827" w:rsidRDefault="00981CA0" w:rsidP="00981CA0">
            <w:pPr>
              <w:rPr>
                <w:rFonts w:ascii="Times New Roman" w:hAnsi="Times New Roman" w:cs="Times New Roman"/>
                <w:sz w:val="28"/>
                <w:szCs w:val="28"/>
              </w:rPr>
            </w:pPr>
            <w:r w:rsidRPr="00F13827">
              <w:rPr>
                <w:rFonts w:ascii="Times New Roman" w:hAnsi="Times New Roman" w:cs="Times New Roman"/>
                <w:sz w:val="28"/>
                <w:szCs w:val="28"/>
              </w:rPr>
              <w:t>Акція надає право на:</w:t>
            </w:r>
          </w:p>
          <w:p w:rsidR="00981CA0" w:rsidRPr="00F13827" w:rsidRDefault="00981CA0" w:rsidP="00981CA0">
            <w:pPr>
              <w:rPr>
                <w:rFonts w:ascii="Times New Roman" w:hAnsi="Times New Roman" w:cs="Times New Roman"/>
                <w:sz w:val="28"/>
                <w:szCs w:val="28"/>
              </w:rPr>
            </w:pPr>
          </w:p>
        </w:tc>
      </w:tr>
    </w:tbl>
    <w:p w:rsidR="00050426" w:rsidRDefault="00050426"/>
    <w:sectPr w:rsidR="00050426" w:rsidSect="007008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510"/>
    <w:multiLevelType w:val="hybridMultilevel"/>
    <w:tmpl w:val="7BCA5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E73D92"/>
    <w:multiLevelType w:val="hybridMultilevel"/>
    <w:tmpl w:val="8AC638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743C2C"/>
    <w:multiLevelType w:val="hybridMultilevel"/>
    <w:tmpl w:val="51046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531E1F"/>
    <w:multiLevelType w:val="hybridMultilevel"/>
    <w:tmpl w:val="59E8860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B93252"/>
    <w:multiLevelType w:val="hybridMultilevel"/>
    <w:tmpl w:val="CE5407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EE6454"/>
    <w:multiLevelType w:val="hybridMultilevel"/>
    <w:tmpl w:val="723855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962272"/>
    <w:multiLevelType w:val="hybridMultilevel"/>
    <w:tmpl w:val="3C9815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BF41D8"/>
    <w:multiLevelType w:val="hybridMultilevel"/>
    <w:tmpl w:val="39109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07130"/>
    <w:multiLevelType w:val="hybridMultilevel"/>
    <w:tmpl w:val="CE96DC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A20A74"/>
    <w:multiLevelType w:val="hybridMultilevel"/>
    <w:tmpl w:val="6944D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766B9D"/>
    <w:multiLevelType w:val="hybridMultilevel"/>
    <w:tmpl w:val="04A819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6D6E37"/>
    <w:multiLevelType w:val="hybridMultilevel"/>
    <w:tmpl w:val="4AA646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FB3A3E"/>
    <w:multiLevelType w:val="hybridMultilevel"/>
    <w:tmpl w:val="7E54F3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35866CC"/>
    <w:multiLevelType w:val="hybridMultilevel"/>
    <w:tmpl w:val="24622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6477ECA"/>
    <w:multiLevelType w:val="hybridMultilevel"/>
    <w:tmpl w:val="E1EA5572"/>
    <w:lvl w:ilvl="0" w:tplc="89D408C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F141B95"/>
    <w:multiLevelType w:val="hybridMultilevel"/>
    <w:tmpl w:val="39B4F9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7C12F4"/>
    <w:multiLevelType w:val="hybridMultilevel"/>
    <w:tmpl w:val="BB30BB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1415E3"/>
    <w:multiLevelType w:val="hybridMultilevel"/>
    <w:tmpl w:val="D0C0DC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4ED043F"/>
    <w:multiLevelType w:val="hybridMultilevel"/>
    <w:tmpl w:val="1166E53A"/>
    <w:lvl w:ilvl="0" w:tplc="128602E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66544B0"/>
    <w:multiLevelType w:val="hybridMultilevel"/>
    <w:tmpl w:val="B4F0E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78F00BA"/>
    <w:multiLevelType w:val="hybridMultilevel"/>
    <w:tmpl w:val="6FD0D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1642D7"/>
    <w:multiLevelType w:val="hybridMultilevel"/>
    <w:tmpl w:val="249A85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4B7BBC"/>
    <w:multiLevelType w:val="hybridMultilevel"/>
    <w:tmpl w:val="446C78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CF3168"/>
    <w:multiLevelType w:val="hybridMultilevel"/>
    <w:tmpl w:val="F0AC90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4045C7"/>
    <w:multiLevelType w:val="hybridMultilevel"/>
    <w:tmpl w:val="4D5655AA"/>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6CB04D4"/>
    <w:multiLevelType w:val="hybridMultilevel"/>
    <w:tmpl w:val="E82A35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7D30AE4"/>
    <w:multiLevelType w:val="hybridMultilevel"/>
    <w:tmpl w:val="9F46DC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1A4C0C"/>
    <w:multiLevelType w:val="hybridMultilevel"/>
    <w:tmpl w:val="9FEA60E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46632D"/>
    <w:multiLevelType w:val="hybridMultilevel"/>
    <w:tmpl w:val="DAEAC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EC6E7A"/>
    <w:multiLevelType w:val="hybridMultilevel"/>
    <w:tmpl w:val="F0E8A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9274E27"/>
    <w:multiLevelType w:val="hybridMultilevel"/>
    <w:tmpl w:val="2F3EA2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FC03FD"/>
    <w:multiLevelType w:val="hybridMultilevel"/>
    <w:tmpl w:val="146CB4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CB5D2B"/>
    <w:multiLevelType w:val="hybridMultilevel"/>
    <w:tmpl w:val="41D613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BD219C"/>
    <w:multiLevelType w:val="hybridMultilevel"/>
    <w:tmpl w:val="0F1E57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22"/>
  </w:num>
  <w:num w:numId="3">
    <w:abstractNumId w:val="32"/>
  </w:num>
  <w:num w:numId="4">
    <w:abstractNumId w:val="30"/>
  </w:num>
  <w:num w:numId="5">
    <w:abstractNumId w:val="14"/>
  </w:num>
  <w:num w:numId="6">
    <w:abstractNumId w:val="23"/>
  </w:num>
  <w:num w:numId="7">
    <w:abstractNumId w:val="21"/>
  </w:num>
  <w:num w:numId="8">
    <w:abstractNumId w:val="28"/>
  </w:num>
  <w:num w:numId="9">
    <w:abstractNumId w:val="33"/>
  </w:num>
  <w:num w:numId="10">
    <w:abstractNumId w:val="2"/>
  </w:num>
  <w:num w:numId="11">
    <w:abstractNumId w:val="15"/>
  </w:num>
  <w:num w:numId="12">
    <w:abstractNumId w:val="16"/>
  </w:num>
  <w:num w:numId="13">
    <w:abstractNumId w:val="19"/>
  </w:num>
  <w:num w:numId="14">
    <w:abstractNumId w:val="8"/>
  </w:num>
  <w:num w:numId="15">
    <w:abstractNumId w:val="7"/>
  </w:num>
  <w:num w:numId="16">
    <w:abstractNumId w:val="9"/>
  </w:num>
  <w:num w:numId="17">
    <w:abstractNumId w:val="18"/>
  </w:num>
  <w:num w:numId="18">
    <w:abstractNumId w:val="11"/>
  </w:num>
  <w:num w:numId="19">
    <w:abstractNumId w:val="31"/>
  </w:num>
  <w:num w:numId="20">
    <w:abstractNumId w:val="0"/>
  </w:num>
  <w:num w:numId="21">
    <w:abstractNumId w:val="12"/>
  </w:num>
  <w:num w:numId="22">
    <w:abstractNumId w:val="6"/>
  </w:num>
  <w:num w:numId="23">
    <w:abstractNumId w:val="5"/>
  </w:num>
  <w:num w:numId="24">
    <w:abstractNumId w:val="20"/>
  </w:num>
  <w:num w:numId="25">
    <w:abstractNumId w:val="10"/>
  </w:num>
  <w:num w:numId="26">
    <w:abstractNumId w:val="1"/>
  </w:num>
  <w:num w:numId="27">
    <w:abstractNumId w:val="26"/>
  </w:num>
  <w:num w:numId="28">
    <w:abstractNumId w:val="29"/>
  </w:num>
  <w:num w:numId="29">
    <w:abstractNumId w:val="13"/>
  </w:num>
  <w:num w:numId="30">
    <w:abstractNumId w:val="4"/>
  </w:num>
  <w:num w:numId="31">
    <w:abstractNumId w:val="24"/>
  </w:num>
  <w:num w:numId="32">
    <w:abstractNumId w:val="3"/>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26"/>
    <w:rsid w:val="00021F47"/>
    <w:rsid w:val="00044DEB"/>
    <w:rsid w:val="00050426"/>
    <w:rsid w:val="00076E26"/>
    <w:rsid w:val="000846A3"/>
    <w:rsid w:val="000B3ED0"/>
    <w:rsid w:val="000C2065"/>
    <w:rsid w:val="000E384F"/>
    <w:rsid w:val="00144976"/>
    <w:rsid w:val="001A490E"/>
    <w:rsid w:val="001B40D5"/>
    <w:rsid w:val="002060CE"/>
    <w:rsid w:val="002079AF"/>
    <w:rsid w:val="00234318"/>
    <w:rsid w:val="0029557C"/>
    <w:rsid w:val="003257E4"/>
    <w:rsid w:val="00392933"/>
    <w:rsid w:val="00454BFF"/>
    <w:rsid w:val="00466796"/>
    <w:rsid w:val="00485C42"/>
    <w:rsid w:val="004A62BA"/>
    <w:rsid w:val="004C08BA"/>
    <w:rsid w:val="004C6930"/>
    <w:rsid w:val="004D1BF3"/>
    <w:rsid w:val="004D6E31"/>
    <w:rsid w:val="005165BE"/>
    <w:rsid w:val="00540140"/>
    <w:rsid w:val="00540F30"/>
    <w:rsid w:val="0055345E"/>
    <w:rsid w:val="00571507"/>
    <w:rsid w:val="0057309D"/>
    <w:rsid w:val="005D4081"/>
    <w:rsid w:val="005E1B4F"/>
    <w:rsid w:val="005E41E2"/>
    <w:rsid w:val="005F34D5"/>
    <w:rsid w:val="006034F4"/>
    <w:rsid w:val="00622985"/>
    <w:rsid w:val="00634915"/>
    <w:rsid w:val="0065523E"/>
    <w:rsid w:val="00655ED7"/>
    <w:rsid w:val="00665550"/>
    <w:rsid w:val="0069168A"/>
    <w:rsid w:val="006E4B7B"/>
    <w:rsid w:val="00700817"/>
    <w:rsid w:val="00717F06"/>
    <w:rsid w:val="007302DE"/>
    <w:rsid w:val="00742012"/>
    <w:rsid w:val="007473DC"/>
    <w:rsid w:val="007F6D28"/>
    <w:rsid w:val="0085219A"/>
    <w:rsid w:val="00894AB3"/>
    <w:rsid w:val="008B0495"/>
    <w:rsid w:val="008C0255"/>
    <w:rsid w:val="008C08FC"/>
    <w:rsid w:val="008C5180"/>
    <w:rsid w:val="008D57D6"/>
    <w:rsid w:val="008D7A1C"/>
    <w:rsid w:val="00917005"/>
    <w:rsid w:val="00937EC7"/>
    <w:rsid w:val="00945319"/>
    <w:rsid w:val="009760AB"/>
    <w:rsid w:val="00981CA0"/>
    <w:rsid w:val="009F504D"/>
    <w:rsid w:val="00A11D26"/>
    <w:rsid w:val="00A15E6A"/>
    <w:rsid w:val="00A91F1E"/>
    <w:rsid w:val="00AA3200"/>
    <w:rsid w:val="00AA5A50"/>
    <w:rsid w:val="00AA5F7E"/>
    <w:rsid w:val="00AC397E"/>
    <w:rsid w:val="00AD4D67"/>
    <w:rsid w:val="00AE26E1"/>
    <w:rsid w:val="00AF4AC4"/>
    <w:rsid w:val="00B016CC"/>
    <w:rsid w:val="00B06FFF"/>
    <w:rsid w:val="00B5166E"/>
    <w:rsid w:val="00B65B5A"/>
    <w:rsid w:val="00B81BB9"/>
    <w:rsid w:val="00BB120F"/>
    <w:rsid w:val="00C511CD"/>
    <w:rsid w:val="00CC2975"/>
    <w:rsid w:val="00CF445E"/>
    <w:rsid w:val="00CF726A"/>
    <w:rsid w:val="00D44A5B"/>
    <w:rsid w:val="00D877BB"/>
    <w:rsid w:val="00DA17E3"/>
    <w:rsid w:val="00DA2B0C"/>
    <w:rsid w:val="00E21048"/>
    <w:rsid w:val="00E27CC4"/>
    <w:rsid w:val="00E854EB"/>
    <w:rsid w:val="00E855FB"/>
    <w:rsid w:val="00E96681"/>
    <w:rsid w:val="00EC0A10"/>
    <w:rsid w:val="00EC4D8A"/>
    <w:rsid w:val="00ED1621"/>
    <w:rsid w:val="00F005AB"/>
    <w:rsid w:val="00F06820"/>
    <w:rsid w:val="00F13827"/>
    <w:rsid w:val="00F42F44"/>
    <w:rsid w:val="00FA4E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44976"/>
    <w:pPr>
      <w:ind w:left="720"/>
      <w:contextualSpacing/>
    </w:pPr>
    <w:rPr>
      <w:rFonts w:ascii="Calibri" w:eastAsia="Calibri" w:hAnsi="Calibri" w:cs="Times New Roman"/>
      <w:lang w:eastAsia="uk-UA"/>
    </w:rPr>
  </w:style>
  <w:style w:type="paragraph" w:customStyle="1" w:styleId="Default">
    <w:name w:val="Default"/>
    <w:rsid w:val="000B3ED0"/>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character" w:customStyle="1" w:styleId="a4">
    <w:name w:val="Основной текст + Полужирный"/>
    <w:aliases w:val="Интервал 0 pt"/>
    <w:basedOn w:val="a0"/>
    <w:rsid w:val="00076E26"/>
    <w:rPr>
      <w:b/>
      <w:bCs/>
      <w:color w:val="000000"/>
      <w:spacing w:val="0"/>
      <w:w w:val="100"/>
      <w:position w:val="0"/>
      <w:sz w:val="22"/>
      <w:szCs w:val="22"/>
      <w:shd w:val="clear" w:color="auto" w:fill="FFFFFF"/>
      <w:lang w:val="uk-UA" w:bidi="ar-SA"/>
    </w:rPr>
  </w:style>
  <w:style w:type="paragraph" w:styleId="3">
    <w:name w:val="Body Text Indent 3"/>
    <w:basedOn w:val="a"/>
    <w:link w:val="30"/>
    <w:rsid w:val="00076E26"/>
    <w:pPr>
      <w:spacing w:after="0" w:line="240" w:lineRule="auto"/>
      <w:ind w:firstLine="36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076E26"/>
    <w:rPr>
      <w:rFonts w:ascii="Times New Roman" w:eastAsia="Times New Roman" w:hAnsi="Times New Roman" w:cs="Times New Roman"/>
      <w:sz w:val="24"/>
      <w:szCs w:val="24"/>
    </w:rPr>
  </w:style>
  <w:style w:type="paragraph" w:styleId="2">
    <w:name w:val="Body Text Indent 2"/>
    <w:basedOn w:val="a"/>
    <w:link w:val="20"/>
    <w:rsid w:val="00717F06"/>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717F06"/>
    <w:rPr>
      <w:rFonts w:ascii="Calibri" w:eastAsia="Times New Roman" w:hAnsi="Calibri" w:cs="Times New Roman"/>
    </w:rPr>
  </w:style>
  <w:style w:type="paragraph" w:styleId="a5">
    <w:name w:val="List Paragraph"/>
    <w:basedOn w:val="a"/>
    <w:uiPriority w:val="34"/>
    <w:qFormat/>
    <w:rsid w:val="00717F06"/>
    <w:pPr>
      <w:ind w:left="720"/>
      <w:contextualSpacing/>
    </w:pPr>
  </w:style>
  <w:style w:type="character" w:customStyle="1" w:styleId="9pt">
    <w:name w:val="Основной текст + 9 pt"/>
    <w:rsid w:val="00A11D26"/>
    <w:rPr>
      <w:rFonts w:ascii="Times New Roman" w:hAnsi="Times New Roman"/>
      <w:sz w:val="18"/>
      <w:u w:val="none"/>
    </w:rPr>
  </w:style>
  <w:style w:type="paragraph" w:styleId="a6">
    <w:name w:val="Body Text"/>
    <w:basedOn w:val="a"/>
    <w:link w:val="a7"/>
    <w:rsid w:val="00A11D26"/>
    <w:pPr>
      <w:spacing w:after="120"/>
    </w:pPr>
    <w:rPr>
      <w:rFonts w:ascii="Calibri" w:eastAsia="Calibri" w:hAnsi="Calibri" w:cs="Times New Roman"/>
      <w:lang w:eastAsia="uk-UA"/>
    </w:rPr>
  </w:style>
  <w:style w:type="character" w:customStyle="1" w:styleId="a7">
    <w:name w:val="Основной текст Знак"/>
    <w:basedOn w:val="a0"/>
    <w:link w:val="a6"/>
    <w:rsid w:val="00A11D26"/>
    <w:rPr>
      <w:rFonts w:ascii="Calibri" w:eastAsia="Calibri" w:hAnsi="Calibri" w:cs="Times New Roman"/>
      <w:lang w:eastAsia="uk-UA"/>
    </w:rPr>
  </w:style>
  <w:style w:type="character" w:customStyle="1" w:styleId="9pt1">
    <w:name w:val="Основной текст + 9 pt1"/>
    <w:aliases w:val="Полужирный2"/>
    <w:rsid w:val="00A11D26"/>
    <w:rPr>
      <w:rFonts w:ascii="Times New Roman" w:hAnsi="Times New Roman"/>
      <w:b/>
      <w:sz w:val="18"/>
      <w:u w:val="none"/>
    </w:rPr>
  </w:style>
  <w:style w:type="character" w:customStyle="1" w:styleId="a8">
    <w:name w:val="Основной текст_"/>
    <w:basedOn w:val="a0"/>
    <w:link w:val="31"/>
    <w:locked/>
    <w:rsid w:val="00A11D26"/>
    <w:rPr>
      <w:sz w:val="21"/>
      <w:szCs w:val="21"/>
      <w:shd w:val="clear" w:color="auto" w:fill="FFFFFF"/>
    </w:rPr>
  </w:style>
  <w:style w:type="character" w:customStyle="1" w:styleId="a9">
    <w:name w:val="Основной текст + Курсив"/>
    <w:basedOn w:val="a8"/>
    <w:rsid w:val="00A11D26"/>
    <w:rPr>
      <w:i/>
      <w:iCs/>
      <w:color w:val="000000"/>
      <w:spacing w:val="0"/>
      <w:w w:val="100"/>
      <w:position w:val="0"/>
      <w:sz w:val="22"/>
      <w:szCs w:val="22"/>
      <w:shd w:val="clear" w:color="auto" w:fill="FFFFFF"/>
      <w:lang w:val="uk-UA"/>
    </w:rPr>
  </w:style>
  <w:style w:type="paragraph" w:customStyle="1" w:styleId="31">
    <w:name w:val="Основной текст3"/>
    <w:basedOn w:val="a"/>
    <w:link w:val="a8"/>
    <w:rsid w:val="00A11D26"/>
    <w:pPr>
      <w:widowControl w:val="0"/>
      <w:shd w:val="clear" w:color="auto" w:fill="FFFFFF"/>
      <w:spacing w:after="0" w:line="264" w:lineRule="exact"/>
      <w:jc w:val="both"/>
    </w:pPr>
    <w:rPr>
      <w:sz w:val="21"/>
      <w:szCs w:val="21"/>
      <w:shd w:val="clear" w:color="auto" w:fill="FFFFFF"/>
    </w:rPr>
  </w:style>
  <w:style w:type="character" w:customStyle="1" w:styleId="21">
    <w:name w:val="Основной текст + Полужирный2"/>
    <w:basedOn w:val="a8"/>
    <w:rsid w:val="00A11D26"/>
    <w:rPr>
      <w:rFonts w:cs="Calibri"/>
      <w:b/>
      <w:bCs/>
      <w:color w:val="000000"/>
      <w:spacing w:val="0"/>
      <w:w w:val="100"/>
      <w:position w:val="0"/>
      <w:sz w:val="22"/>
      <w:szCs w:val="22"/>
      <w:shd w:val="clear" w:color="auto" w:fill="FFFFFF"/>
      <w:lang w:val="uk-UA"/>
    </w:rPr>
  </w:style>
  <w:style w:type="paragraph" w:customStyle="1" w:styleId="22">
    <w:name w:val="Абзац списка2"/>
    <w:basedOn w:val="a"/>
    <w:rsid w:val="00AF4AC4"/>
    <w:pPr>
      <w:ind w:left="720"/>
      <w:contextualSpacing/>
    </w:pPr>
    <w:rPr>
      <w:rFonts w:ascii="Calibri" w:eastAsia="Times New Roman" w:hAnsi="Calibri" w:cs="Times New Roman"/>
      <w:lang w:val="ru-RU"/>
    </w:rPr>
  </w:style>
  <w:style w:type="paragraph" w:styleId="aa">
    <w:name w:val="Balloon Text"/>
    <w:basedOn w:val="a"/>
    <w:link w:val="ab"/>
    <w:uiPriority w:val="99"/>
    <w:semiHidden/>
    <w:unhideWhenUsed/>
    <w:rsid w:val="00F42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2F44"/>
    <w:rPr>
      <w:rFonts w:ascii="Tahoma" w:hAnsi="Tahoma" w:cs="Tahoma"/>
      <w:sz w:val="16"/>
      <w:szCs w:val="16"/>
    </w:rPr>
  </w:style>
  <w:style w:type="paragraph" w:styleId="HTML">
    <w:name w:val="HTML Preformatted"/>
    <w:basedOn w:val="a"/>
    <w:link w:val="HTML0"/>
    <w:rsid w:val="0008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846A3"/>
    <w:rPr>
      <w:rFonts w:ascii="Courier New" w:eastAsia="Times New Roman" w:hAnsi="Courier New" w:cs="Courier New"/>
      <w:sz w:val="20"/>
      <w:szCs w:val="20"/>
      <w:lang w:val="ru-RU" w:eastAsia="ru-RU"/>
    </w:rPr>
  </w:style>
  <w:style w:type="paragraph" w:customStyle="1" w:styleId="rvps2">
    <w:name w:val="rvps2"/>
    <w:basedOn w:val="a"/>
    <w:rsid w:val="000846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0846A3"/>
  </w:style>
  <w:style w:type="paragraph" w:styleId="ac">
    <w:name w:val="Normal (Web)"/>
    <w:basedOn w:val="a"/>
    <w:uiPriority w:val="99"/>
    <w:unhideWhenUsed/>
    <w:rsid w:val="00AA5A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searchterm">
    <w:name w:val="docsearchterm"/>
    <w:basedOn w:val="a0"/>
    <w:rsid w:val="008C0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44976"/>
    <w:pPr>
      <w:ind w:left="720"/>
      <w:contextualSpacing/>
    </w:pPr>
    <w:rPr>
      <w:rFonts w:ascii="Calibri" w:eastAsia="Calibri" w:hAnsi="Calibri" w:cs="Times New Roman"/>
      <w:lang w:eastAsia="uk-UA"/>
    </w:rPr>
  </w:style>
  <w:style w:type="paragraph" w:customStyle="1" w:styleId="Default">
    <w:name w:val="Default"/>
    <w:rsid w:val="000B3ED0"/>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character" w:customStyle="1" w:styleId="a4">
    <w:name w:val="Основной текст + Полужирный"/>
    <w:aliases w:val="Интервал 0 pt"/>
    <w:basedOn w:val="a0"/>
    <w:rsid w:val="00076E26"/>
    <w:rPr>
      <w:b/>
      <w:bCs/>
      <w:color w:val="000000"/>
      <w:spacing w:val="0"/>
      <w:w w:val="100"/>
      <w:position w:val="0"/>
      <w:sz w:val="22"/>
      <w:szCs w:val="22"/>
      <w:shd w:val="clear" w:color="auto" w:fill="FFFFFF"/>
      <w:lang w:val="uk-UA" w:bidi="ar-SA"/>
    </w:rPr>
  </w:style>
  <w:style w:type="paragraph" w:styleId="3">
    <w:name w:val="Body Text Indent 3"/>
    <w:basedOn w:val="a"/>
    <w:link w:val="30"/>
    <w:rsid w:val="00076E26"/>
    <w:pPr>
      <w:spacing w:after="0" w:line="240" w:lineRule="auto"/>
      <w:ind w:firstLine="36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076E26"/>
    <w:rPr>
      <w:rFonts w:ascii="Times New Roman" w:eastAsia="Times New Roman" w:hAnsi="Times New Roman" w:cs="Times New Roman"/>
      <w:sz w:val="24"/>
      <w:szCs w:val="24"/>
    </w:rPr>
  </w:style>
  <w:style w:type="paragraph" w:styleId="2">
    <w:name w:val="Body Text Indent 2"/>
    <w:basedOn w:val="a"/>
    <w:link w:val="20"/>
    <w:rsid w:val="00717F06"/>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717F06"/>
    <w:rPr>
      <w:rFonts w:ascii="Calibri" w:eastAsia="Times New Roman" w:hAnsi="Calibri" w:cs="Times New Roman"/>
    </w:rPr>
  </w:style>
  <w:style w:type="paragraph" w:styleId="a5">
    <w:name w:val="List Paragraph"/>
    <w:basedOn w:val="a"/>
    <w:uiPriority w:val="34"/>
    <w:qFormat/>
    <w:rsid w:val="00717F06"/>
    <w:pPr>
      <w:ind w:left="720"/>
      <w:contextualSpacing/>
    </w:pPr>
  </w:style>
  <w:style w:type="character" w:customStyle="1" w:styleId="9pt">
    <w:name w:val="Основной текст + 9 pt"/>
    <w:rsid w:val="00A11D26"/>
    <w:rPr>
      <w:rFonts w:ascii="Times New Roman" w:hAnsi="Times New Roman"/>
      <w:sz w:val="18"/>
      <w:u w:val="none"/>
    </w:rPr>
  </w:style>
  <w:style w:type="paragraph" w:styleId="a6">
    <w:name w:val="Body Text"/>
    <w:basedOn w:val="a"/>
    <w:link w:val="a7"/>
    <w:rsid w:val="00A11D26"/>
    <w:pPr>
      <w:spacing w:after="120"/>
    </w:pPr>
    <w:rPr>
      <w:rFonts w:ascii="Calibri" w:eastAsia="Calibri" w:hAnsi="Calibri" w:cs="Times New Roman"/>
      <w:lang w:eastAsia="uk-UA"/>
    </w:rPr>
  </w:style>
  <w:style w:type="character" w:customStyle="1" w:styleId="a7">
    <w:name w:val="Основной текст Знак"/>
    <w:basedOn w:val="a0"/>
    <w:link w:val="a6"/>
    <w:rsid w:val="00A11D26"/>
    <w:rPr>
      <w:rFonts w:ascii="Calibri" w:eastAsia="Calibri" w:hAnsi="Calibri" w:cs="Times New Roman"/>
      <w:lang w:eastAsia="uk-UA"/>
    </w:rPr>
  </w:style>
  <w:style w:type="character" w:customStyle="1" w:styleId="9pt1">
    <w:name w:val="Основной текст + 9 pt1"/>
    <w:aliases w:val="Полужирный2"/>
    <w:rsid w:val="00A11D26"/>
    <w:rPr>
      <w:rFonts w:ascii="Times New Roman" w:hAnsi="Times New Roman"/>
      <w:b/>
      <w:sz w:val="18"/>
      <w:u w:val="none"/>
    </w:rPr>
  </w:style>
  <w:style w:type="character" w:customStyle="1" w:styleId="a8">
    <w:name w:val="Основной текст_"/>
    <w:basedOn w:val="a0"/>
    <w:link w:val="31"/>
    <w:locked/>
    <w:rsid w:val="00A11D26"/>
    <w:rPr>
      <w:sz w:val="21"/>
      <w:szCs w:val="21"/>
      <w:shd w:val="clear" w:color="auto" w:fill="FFFFFF"/>
    </w:rPr>
  </w:style>
  <w:style w:type="character" w:customStyle="1" w:styleId="a9">
    <w:name w:val="Основной текст + Курсив"/>
    <w:basedOn w:val="a8"/>
    <w:rsid w:val="00A11D26"/>
    <w:rPr>
      <w:i/>
      <w:iCs/>
      <w:color w:val="000000"/>
      <w:spacing w:val="0"/>
      <w:w w:val="100"/>
      <w:position w:val="0"/>
      <w:sz w:val="22"/>
      <w:szCs w:val="22"/>
      <w:shd w:val="clear" w:color="auto" w:fill="FFFFFF"/>
      <w:lang w:val="uk-UA"/>
    </w:rPr>
  </w:style>
  <w:style w:type="paragraph" w:customStyle="1" w:styleId="31">
    <w:name w:val="Основной текст3"/>
    <w:basedOn w:val="a"/>
    <w:link w:val="a8"/>
    <w:rsid w:val="00A11D26"/>
    <w:pPr>
      <w:widowControl w:val="0"/>
      <w:shd w:val="clear" w:color="auto" w:fill="FFFFFF"/>
      <w:spacing w:after="0" w:line="264" w:lineRule="exact"/>
      <w:jc w:val="both"/>
    </w:pPr>
    <w:rPr>
      <w:sz w:val="21"/>
      <w:szCs w:val="21"/>
      <w:shd w:val="clear" w:color="auto" w:fill="FFFFFF"/>
    </w:rPr>
  </w:style>
  <w:style w:type="character" w:customStyle="1" w:styleId="21">
    <w:name w:val="Основной текст + Полужирный2"/>
    <w:basedOn w:val="a8"/>
    <w:rsid w:val="00A11D26"/>
    <w:rPr>
      <w:rFonts w:cs="Calibri"/>
      <w:b/>
      <w:bCs/>
      <w:color w:val="000000"/>
      <w:spacing w:val="0"/>
      <w:w w:val="100"/>
      <w:position w:val="0"/>
      <w:sz w:val="22"/>
      <w:szCs w:val="22"/>
      <w:shd w:val="clear" w:color="auto" w:fill="FFFFFF"/>
      <w:lang w:val="uk-UA"/>
    </w:rPr>
  </w:style>
  <w:style w:type="paragraph" w:customStyle="1" w:styleId="22">
    <w:name w:val="Абзац списка2"/>
    <w:basedOn w:val="a"/>
    <w:rsid w:val="00AF4AC4"/>
    <w:pPr>
      <w:ind w:left="720"/>
      <w:contextualSpacing/>
    </w:pPr>
    <w:rPr>
      <w:rFonts w:ascii="Calibri" w:eastAsia="Times New Roman" w:hAnsi="Calibri" w:cs="Times New Roman"/>
      <w:lang w:val="ru-RU"/>
    </w:rPr>
  </w:style>
  <w:style w:type="paragraph" w:styleId="aa">
    <w:name w:val="Balloon Text"/>
    <w:basedOn w:val="a"/>
    <w:link w:val="ab"/>
    <w:uiPriority w:val="99"/>
    <w:semiHidden/>
    <w:unhideWhenUsed/>
    <w:rsid w:val="00F42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2F44"/>
    <w:rPr>
      <w:rFonts w:ascii="Tahoma" w:hAnsi="Tahoma" w:cs="Tahoma"/>
      <w:sz w:val="16"/>
      <w:szCs w:val="16"/>
    </w:rPr>
  </w:style>
  <w:style w:type="paragraph" w:styleId="HTML">
    <w:name w:val="HTML Preformatted"/>
    <w:basedOn w:val="a"/>
    <w:link w:val="HTML0"/>
    <w:rsid w:val="0008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846A3"/>
    <w:rPr>
      <w:rFonts w:ascii="Courier New" w:eastAsia="Times New Roman" w:hAnsi="Courier New" w:cs="Courier New"/>
      <w:sz w:val="20"/>
      <w:szCs w:val="20"/>
      <w:lang w:val="ru-RU" w:eastAsia="ru-RU"/>
    </w:rPr>
  </w:style>
  <w:style w:type="paragraph" w:customStyle="1" w:styleId="rvps2">
    <w:name w:val="rvps2"/>
    <w:basedOn w:val="a"/>
    <w:rsid w:val="000846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0846A3"/>
  </w:style>
  <w:style w:type="paragraph" w:styleId="ac">
    <w:name w:val="Normal (Web)"/>
    <w:basedOn w:val="a"/>
    <w:uiPriority w:val="99"/>
    <w:unhideWhenUsed/>
    <w:rsid w:val="00AA5A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searchterm">
    <w:name w:val="docsearchterm"/>
    <w:basedOn w:val="a0"/>
    <w:rsid w:val="008C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5350">
      <w:bodyDiv w:val="1"/>
      <w:marLeft w:val="0"/>
      <w:marRight w:val="0"/>
      <w:marTop w:val="0"/>
      <w:marBottom w:val="0"/>
      <w:divBdr>
        <w:top w:val="none" w:sz="0" w:space="0" w:color="auto"/>
        <w:left w:val="none" w:sz="0" w:space="0" w:color="auto"/>
        <w:bottom w:val="none" w:sz="0" w:space="0" w:color="auto"/>
        <w:right w:val="none" w:sz="0" w:space="0" w:color="auto"/>
      </w:divBdr>
    </w:div>
    <w:div w:id="10651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78A1-226C-4EFE-BF66-E9013B54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13707</Words>
  <Characters>7813</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MSI</cp:lastModifiedBy>
  <cp:revision>2</cp:revision>
  <dcterms:created xsi:type="dcterms:W3CDTF">2021-09-28T09:40:00Z</dcterms:created>
  <dcterms:modified xsi:type="dcterms:W3CDTF">2021-09-28T09:40:00Z</dcterms:modified>
</cp:coreProperties>
</file>