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0BC" w:rsidRPr="00A540BC" w:rsidRDefault="00A540BC" w:rsidP="00A540BC">
      <w:pPr>
        <w:spacing w:after="0" w:line="420" w:lineRule="atLeast"/>
        <w:textAlignment w:val="baseline"/>
        <w:outlineLvl w:val="0"/>
        <w:rPr>
          <w:rFonts w:ascii="Times New Roman" w:eastAsia="Times New Roman" w:hAnsi="Times New Roman" w:cs="Times New Roman"/>
          <w:color w:val="0E4A6C"/>
          <w:kern w:val="36"/>
          <w:sz w:val="33"/>
          <w:szCs w:val="33"/>
        </w:rPr>
      </w:pPr>
      <w:r w:rsidRPr="00A540BC">
        <w:rPr>
          <w:rFonts w:ascii="Times New Roman" w:eastAsia="Times New Roman" w:hAnsi="Times New Roman" w:cs="Times New Roman"/>
          <w:color w:val="0E4A6C"/>
          <w:kern w:val="36"/>
          <w:sz w:val="33"/>
          <w:szCs w:val="33"/>
        </w:rPr>
        <w:t>Декларація з податку на прибуток: рядок за рядком</w:t>
      </w:r>
    </w:p>
    <w:p w:rsidR="00A540BC" w:rsidRPr="00A540BC" w:rsidRDefault="00A540BC" w:rsidP="00A540BC">
      <w:pPr>
        <w:spacing w:after="150" w:line="285" w:lineRule="atLeast"/>
        <w:textAlignment w:val="baseline"/>
        <w:rPr>
          <w:rFonts w:ascii="Times New Roman" w:eastAsia="Times New Roman" w:hAnsi="Times New Roman" w:cs="Times New Roman"/>
          <w:color w:val="202020"/>
          <w:sz w:val="24"/>
          <w:szCs w:val="24"/>
        </w:rPr>
      </w:pP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Хто подає Декларацію з податку на прибуток за 2019 рік</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Її подають, зокрема:</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 усі платники податку на прибуток (як ті, що мають дохід понад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так і ті, які отримали за 2019 рік </w:t>
      </w:r>
      <w:proofErr w:type="spellStart"/>
      <w:r w:rsidRPr="00A540BC">
        <w:rPr>
          <w:rFonts w:ascii="Times New Roman" w:eastAsia="Times New Roman" w:hAnsi="Times New Roman" w:cs="Times New Roman"/>
          <w:color w:val="000000"/>
          <w:sz w:val="23"/>
          <w:szCs w:val="23"/>
        </w:rPr>
        <w:t>бухдохід</w:t>
      </w:r>
      <w:proofErr w:type="spellEnd"/>
      <w:r w:rsidRPr="00A540BC">
        <w:rPr>
          <w:rFonts w:ascii="Times New Roman" w:eastAsia="Times New Roman" w:hAnsi="Times New Roman" w:cs="Times New Roman"/>
          <w:color w:val="000000"/>
          <w:sz w:val="23"/>
          <w:szCs w:val="23"/>
        </w:rPr>
        <w:t xml:space="preserve"> не більш ніж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у т.ч. сільгоспвиробники);</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новостворені (зареєстровані у 2019 році) підприємства — платники податку на прибуток  (за період із дати реєстрації до кінця року);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 резиденти (зокрема, неприбуткові організації, платники єдиного податку, крім звичайних </w:t>
      </w:r>
      <w:proofErr w:type="spellStart"/>
      <w:r w:rsidRPr="00A540BC">
        <w:rPr>
          <w:rFonts w:ascii="Times New Roman" w:eastAsia="Times New Roman" w:hAnsi="Times New Roman" w:cs="Times New Roman"/>
          <w:color w:val="000000"/>
          <w:sz w:val="23"/>
          <w:szCs w:val="23"/>
        </w:rPr>
        <w:t>фізосіб</w:t>
      </w:r>
      <w:proofErr w:type="spellEnd"/>
      <w:r w:rsidRPr="00A540BC">
        <w:rPr>
          <w:rFonts w:ascii="Times New Roman" w:eastAsia="Times New Roman" w:hAnsi="Times New Roman" w:cs="Times New Roman"/>
          <w:color w:val="000000"/>
          <w:sz w:val="23"/>
          <w:szCs w:val="23"/>
        </w:rPr>
        <w:t xml:space="preserve">, які виплачували оподатковувані доходи </w:t>
      </w:r>
      <w:proofErr w:type="spellStart"/>
      <w:r w:rsidRPr="00A540BC">
        <w:rPr>
          <w:rFonts w:ascii="Times New Roman" w:eastAsia="Times New Roman" w:hAnsi="Times New Roman" w:cs="Times New Roman"/>
          <w:color w:val="000000"/>
          <w:sz w:val="23"/>
          <w:szCs w:val="23"/>
        </w:rPr>
        <w:t>нерезидентам-юрособам</w:t>
      </w:r>
      <w:proofErr w:type="spellEnd"/>
      <w:r w:rsidRPr="00A540BC">
        <w:rPr>
          <w:rFonts w:ascii="Times New Roman" w:eastAsia="Times New Roman" w:hAnsi="Times New Roman" w:cs="Times New Roman"/>
          <w:color w:val="000000"/>
          <w:sz w:val="23"/>
          <w:szCs w:val="23"/>
        </w:rPr>
        <w:t xml:space="preserve"> у 2019 році й, відповідно, зобов’язані заповнити додаток ПН і рядок 23 декларації.</w:t>
      </w:r>
    </w:p>
    <w:p w:rsidR="00A540BC" w:rsidRPr="00A540BC" w:rsidRDefault="00A540BC" w:rsidP="00A540BC">
      <w:pPr>
        <w:spacing w:after="0" w:line="285" w:lineRule="atLeast"/>
        <w:jc w:val="both"/>
        <w:textAlignment w:val="baseline"/>
        <w:rPr>
          <w:rFonts w:ascii="Times New Roman" w:eastAsia="Times New Roman" w:hAnsi="Times New Roman" w:cs="Times New Roman"/>
          <w:b/>
          <w:bCs/>
          <w:i/>
          <w:iCs/>
          <w:color w:val="D2232A"/>
          <w:sz w:val="23"/>
          <w:szCs w:val="23"/>
        </w:rPr>
      </w:pPr>
      <w:r w:rsidRPr="00A540BC">
        <w:rPr>
          <w:rFonts w:ascii="Times New Roman" w:eastAsia="Times New Roman" w:hAnsi="Times New Roman" w:cs="Times New Roman"/>
          <w:b/>
          <w:bCs/>
          <w:i/>
          <w:iCs/>
          <w:color w:val="D2232A"/>
          <w:sz w:val="23"/>
        </w:rPr>
        <w:t>Зауважимо</w:t>
      </w:r>
    </w:p>
    <w:p w:rsidR="00A540BC" w:rsidRPr="00A540BC" w:rsidRDefault="00A540BC" w:rsidP="00A540BC">
      <w:pPr>
        <w:spacing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Платник податку на прибуток у разі переходу на спрощену систему оподаткування </w:t>
      </w:r>
      <w:r w:rsidRPr="00A540BC">
        <w:rPr>
          <w:rFonts w:ascii="Times New Roman" w:eastAsia="Times New Roman" w:hAnsi="Times New Roman" w:cs="Times New Roman"/>
          <w:b/>
          <w:bCs/>
          <w:i/>
          <w:iCs/>
          <w:color w:val="D2232A"/>
          <w:sz w:val="23"/>
        </w:rPr>
        <w:t>у середині року</w:t>
      </w:r>
      <w:r w:rsidRPr="00A540BC">
        <w:rPr>
          <w:rFonts w:ascii="Times New Roman" w:eastAsia="Times New Roman" w:hAnsi="Times New Roman" w:cs="Times New Roman"/>
          <w:i/>
          <w:iCs/>
          <w:color w:val="D2232A"/>
          <w:sz w:val="23"/>
          <w:szCs w:val="23"/>
        </w:rPr>
        <w:t xml:space="preserve"> подає податкову Декларацію з податку на прибуток за звітний період, що передує кварталу, з якого він переходить на спрощену систему оподаткування, протягом 40 </w:t>
      </w:r>
      <w:proofErr w:type="spellStart"/>
      <w:r w:rsidRPr="00A540BC">
        <w:rPr>
          <w:rFonts w:ascii="Times New Roman" w:eastAsia="Times New Roman" w:hAnsi="Times New Roman" w:cs="Times New Roman"/>
          <w:i/>
          <w:iCs/>
          <w:color w:val="D2232A"/>
          <w:sz w:val="23"/>
          <w:szCs w:val="23"/>
        </w:rPr>
        <w:t>к.дн</w:t>
      </w:r>
      <w:proofErr w:type="spellEnd"/>
      <w:r w:rsidRPr="00A540BC">
        <w:rPr>
          <w:rFonts w:ascii="Times New Roman" w:eastAsia="Times New Roman" w:hAnsi="Times New Roman" w:cs="Times New Roman"/>
          <w:i/>
          <w:iCs/>
          <w:color w:val="D2232A"/>
          <w:sz w:val="23"/>
          <w:szCs w:val="23"/>
        </w:rPr>
        <w:t>., що настають за останнім календарним днем звітного (податкового) періоду.</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Своєю чергою, платник податку на прибуток, який використовує базовий звітний (податковий) період рік, у разі переходу на спрощену систему оподаткування у середині року подає Податкову декларацію з податку на прибуток підприємств, у полі 2 «Звітний (податковий) період» якої одночасно зазначає:</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відповідний звітний період, що передує кварталу, з якого він переходить на спрощену систему оподаткування (І квартал, півріччя, три квартали);</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базовий звітний період квартал.</w:t>
      </w:r>
    </w:p>
    <w:p w:rsidR="00A540BC" w:rsidRPr="00A540BC" w:rsidRDefault="00A540BC" w:rsidP="00A540BC">
      <w:pPr>
        <w:spacing w:after="0" w:line="285" w:lineRule="atLeast"/>
        <w:jc w:val="both"/>
        <w:textAlignment w:val="baseline"/>
        <w:rPr>
          <w:rFonts w:ascii="Times New Roman" w:eastAsia="Times New Roman" w:hAnsi="Times New Roman" w:cs="Times New Roman"/>
          <w:b/>
          <w:bCs/>
          <w:i/>
          <w:iCs/>
          <w:color w:val="D2232A"/>
          <w:sz w:val="23"/>
          <w:szCs w:val="23"/>
        </w:rPr>
      </w:pPr>
      <w:r w:rsidRPr="00A540BC">
        <w:rPr>
          <w:rFonts w:ascii="Times New Roman" w:eastAsia="Times New Roman" w:hAnsi="Times New Roman" w:cs="Times New Roman"/>
          <w:b/>
          <w:bCs/>
          <w:i/>
          <w:iCs/>
          <w:color w:val="D2232A"/>
          <w:sz w:val="23"/>
        </w:rPr>
        <w:t>Завважимо</w:t>
      </w:r>
    </w:p>
    <w:p w:rsidR="00A540BC" w:rsidRPr="00A540BC" w:rsidRDefault="00A540BC" w:rsidP="00A540BC">
      <w:pPr>
        <w:spacing w:before="192"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Якщо підприємство перейшло на єдиний податок із початку року — з 01.01.2020, то за 2019 рік воно має подати декларацію з податку на прибуток у строк 60 днів.</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Строк звітування</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 01.01.2018 строк звітування за рік — для всіх однаковий. Зокрема, річну декларацію платники податку на прибуток, незалежно від того, звітують вони раз на рік чи подавали декларації щокварталу, подають упродовж 60 днів за звітним роком. Таке правило прописано в пп. 49.18.6 і п. 49.19 </w:t>
      </w:r>
      <w:hyperlink r:id="rId5"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Тобто слід направити Декларацію з податку на прибуток за 2019 рік не пізніше ніж </w:t>
      </w:r>
      <w:r w:rsidRPr="00A540BC">
        <w:rPr>
          <w:rFonts w:ascii="Times New Roman" w:eastAsia="Times New Roman" w:hAnsi="Times New Roman" w:cs="Times New Roman"/>
          <w:b/>
          <w:bCs/>
          <w:color w:val="000000"/>
          <w:sz w:val="23"/>
        </w:rPr>
        <w:t>2 березня 2020 року</w:t>
      </w:r>
      <w:r w:rsidRPr="00A540BC">
        <w:rPr>
          <w:rFonts w:ascii="Times New Roman" w:eastAsia="Times New Roman" w:hAnsi="Times New Roman" w:cs="Times New Roman"/>
          <w:color w:val="000000"/>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Гранична дата подання припадає на 29 лютого 2020 року — суботу, переноситься на перший робочий день — понеділок, 2 березня.</w:t>
      </w:r>
    </w:p>
    <w:p w:rsidR="00A540BC" w:rsidRPr="00A540BC" w:rsidRDefault="00A540BC" w:rsidP="00A540BC">
      <w:pPr>
        <w:spacing w:after="0" w:line="285" w:lineRule="atLeast"/>
        <w:jc w:val="both"/>
        <w:textAlignment w:val="baseline"/>
        <w:rPr>
          <w:rFonts w:ascii="Times New Roman" w:eastAsia="Times New Roman" w:hAnsi="Times New Roman" w:cs="Times New Roman"/>
          <w:b/>
          <w:bCs/>
          <w:i/>
          <w:iCs/>
          <w:color w:val="D2232A"/>
          <w:sz w:val="23"/>
          <w:szCs w:val="23"/>
        </w:rPr>
      </w:pPr>
      <w:r w:rsidRPr="00A540BC">
        <w:rPr>
          <w:rFonts w:ascii="Times New Roman" w:eastAsia="Times New Roman" w:hAnsi="Times New Roman" w:cs="Times New Roman"/>
          <w:b/>
          <w:bCs/>
          <w:i/>
          <w:iCs/>
          <w:color w:val="D2232A"/>
          <w:sz w:val="23"/>
        </w:rPr>
        <w:t>Завважимо</w:t>
      </w:r>
    </w:p>
    <w:p w:rsidR="00A540BC" w:rsidRPr="00A540BC" w:rsidRDefault="00A540BC" w:rsidP="00A540BC">
      <w:pPr>
        <w:spacing w:before="192"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Річну декларацію подають усі в один строк — 60 днів, а ось квартальні декларації (за І квартал, півріччя, три квартали) — протягом 40 днів.</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Платники, які збираються надіслати паперову декларацію поштою, повинні зробити це не пізніше ніж за 5 днів до закінчення строку подання. Лист із декларацією відправляють із повідомленням про вручення й описом вкладення.</w:t>
      </w:r>
    </w:p>
    <w:p w:rsidR="00A540BC" w:rsidRPr="00A540BC" w:rsidRDefault="00A540BC" w:rsidP="00A540BC">
      <w:pPr>
        <w:spacing w:after="0" w:line="285" w:lineRule="atLeast"/>
        <w:jc w:val="both"/>
        <w:textAlignment w:val="baseline"/>
        <w:rPr>
          <w:rFonts w:ascii="Arial" w:eastAsia="Times New Roman" w:hAnsi="Arial" w:cs="Arial"/>
          <w:b/>
          <w:bCs/>
          <w:i/>
          <w:iCs/>
          <w:color w:val="006838"/>
          <w:sz w:val="23"/>
          <w:szCs w:val="23"/>
        </w:rPr>
      </w:pPr>
      <w:r w:rsidRPr="00A540BC">
        <w:rPr>
          <w:rFonts w:ascii="Arial" w:eastAsia="Times New Roman" w:hAnsi="Arial" w:cs="Arial"/>
          <w:b/>
          <w:bCs/>
          <w:i/>
          <w:iCs/>
          <w:color w:val="006838"/>
          <w:sz w:val="23"/>
          <w:lang w:val="ru-RU"/>
        </w:rPr>
        <w:br/>
      </w:r>
      <w:r w:rsidRPr="00A540BC">
        <w:rPr>
          <w:rFonts w:ascii="Arial" w:eastAsia="Times New Roman" w:hAnsi="Arial" w:cs="Arial"/>
          <w:b/>
          <w:bCs/>
          <w:i/>
          <w:iCs/>
          <w:color w:val="006838"/>
          <w:sz w:val="23"/>
          <w:lang w:val="ru-RU"/>
        </w:rPr>
        <w:br/>
      </w:r>
      <w:r>
        <w:rPr>
          <w:rFonts w:ascii="Arial" w:eastAsia="Times New Roman" w:hAnsi="Arial" w:cs="Arial"/>
          <w:b/>
          <w:bCs/>
          <w:i/>
          <w:iCs/>
          <w:color w:val="006838"/>
          <w:sz w:val="23"/>
          <w:lang w:val="en-US"/>
        </w:rPr>
        <w:lastRenderedPageBreak/>
        <w:br/>
      </w:r>
      <w:r w:rsidRPr="00A540BC">
        <w:rPr>
          <w:rFonts w:ascii="Arial" w:eastAsia="Times New Roman" w:hAnsi="Arial" w:cs="Arial"/>
          <w:b/>
          <w:bCs/>
          <w:i/>
          <w:iCs/>
          <w:color w:val="006838"/>
          <w:sz w:val="23"/>
        </w:rPr>
        <w:t>Нагадаємо</w:t>
      </w:r>
    </w:p>
    <w:p w:rsidR="00A540BC" w:rsidRPr="00A540BC" w:rsidRDefault="00A540BC" w:rsidP="00A540BC">
      <w:pPr>
        <w:spacing w:line="285" w:lineRule="atLeast"/>
        <w:jc w:val="both"/>
        <w:textAlignment w:val="baseline"/>
        <w:rPr>
          <w:rFonts w:ascii="Arial" w:eastAsia="Times New Roman" w:hAnsi="Arial" w:cs="Arial"/>
          <w:i/>
          <w:iCs/>
          <w:color w:val="006838"/>
          <w:sz w:val="23"/>
          <w:szCs w:val="23"/>
        </w:rPr>
      </w:pPr>
      <w:r w:rsidRPr="00A540BC">
        <w:rPr>
          <w:rFonts w:ascii="Arial" w:eastAsia="Times New Roman" w:hAnsi="Arial" w:cs="Arial"/>
          <w:i/>
          <w:iCs/>
          <w:color w:val="006838"/>
          <w:sz w:val="23"/>
          <w:szCs w:val="23"/>
        </w:rPr>
        <w:t>Неприбуткові організації звітують за підсумками року та подають Звіт про використання доходів (прибутків) неприбуткової організації (форма затверджена наказом Мінфіну від 17.06.2016 р. </w:t>
      </w:r>
      <w:hyperlink r:id="rId6" w:tgtFrame="_blank" w:history="1">
        <w:r w:rsidRPr="00A540BC">
          <w:rPr>
            <w:rFonts w:ascii="Arial" w:eastAsia="Times New Roman" w:hAnsi="Arial" w:cs="Arial"/>
            <w:i/>
            <w:iCs/>
            <w:color w:val="306D9C"/>
            <w:sz w:val="23"/>
            <w:u w:val="single"/>
          </w:rPr>
          <w:t>№ 553</w:t>
        </w:r>
      </w:hyperlink>
      <w:r w:rsidRPr="00A540BC">
        <w:rPr>
          <w:rFonts w:ascii="Arial" w:eastAsia="Times New Roman" w:hAnsi="Arial" w:cs="Arial"/>
          <w:i/>
          <w:iCs/>
          <w:color w:val="006838"/>
          <w:sz w:val="23"/>
          <w:szCs w:val="23"/>
        </w:rPr>
        <w:t>, у редакції наказу від 28.04.2017 р. </w:t>
      </w:r>
      <w:hyperlink r:id="rId7" w:tgtFrame="_blank" w:history="1">
        <w:r w:rsidRPr="00A540BC">
          <w:rPr>
            <w:rFonts w:ascii="Arial" w:eastAsia="Times New Roman" w:hAnsi="Arial" w:cs="Arial"/>
            <w:i/>
            <w:iCs/>
            <w:color w:val="306D9C"/>
            <w:sz w:val="23"/>
            <w:u w:val="single"/>
          </w:rPr>
          <w:t>№ 469</w:t>
        </w:r>
      </w:hyperlink>
      <w:r w:rsidRPr="00A540BC">
        <w:rPr>
          <w:rFonts w:ascii="Arial" w:eastAsia="Times New Roman" w:hAnsi="Arial" w:cs="Arial"/>
          <w:i/>
          <w:iCs/>
          <w:color w:val="006838"/>
          <w:sz w:val="23"/>
          <w:szCs w:val="23"/>
        </w:rPr>
        <w:t>). Строк подання — не пізніше 2 березня 2020 року (пп. 133.4.7, пп. 49.18.3 </w:t>
      </w:r>
      <w:hyperlink r:id="rId8" w:tgtFrame="_blank" w:history="1">
        <w:r w:rsidRPr="00A540BC">
          <w:rPr>
            <w:rFonts w:ascii="Arial" w:eastAsia="Times New Roman" w:hAnsi="Arial" w:cs="Arial"/>
            <w:i/>
            <w:iCs/>
            <w:color w:val="306D9C"/>
            <w:sz w:val="23"/>
            <w:u w:val="single"/>
          </w:rPr>
          <w:t>ПКУ</w:t>
        </w:r>
      </w:hyperlink>
      <w:r w:rsidRPr="00A540BC">
        <w:rPr>
          <w:rFonts w:ascii="Arial" w:eastAsia="Times New Roman" w:hAnsi="Arial" w:cs="Arial"/>
          <w:i/>
          <w:iCs/>
          <w:color w:val="006838"/>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Форма декларації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Форма Декларації з податку на прибуток підприємства затверджена наказом Мінфіну від 20.10.2015 р. </w:t>
      </w:r>
      <w:hyperlink r:id="rId9" w:tgtFrame="_blank" w:history="1">
        <w:r w:rsidRPr="00A540BC">
          <w:rPr>
            <w:rFonts w:ascii="Times New Roman" w:eastAsia="Times New Roman" w:hAnsi="Times New Roman" w:cs="Times New Roman"/>
            <w:color w:val="306D9C"/>
            <w:sz w:val="23"/>
            <w:u w:val="single"/>
          </w:rPr>
          <w:t>№ 897</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Мінфін наказом від 14.11.2019 р. </w:t>
      </w:r>
      <w:hyperlink r:id="rId10" w:tgtFrame="_blank" w:history="1">
        <w:r w:rsidRPr="00A540BC">
          <w:rPr>
            <w:rFonts w:ascii="Times New Roman" w:eastAsia="Times New Roman" w:hAnsi="Times New Roman" w:cs="Times New Roman"/>
            <w:color w:val="306D9C"/>
            <w:sz w:val="23"/>
            <w:u w:val="single"/>
          </w:rPr>
          <w:t>№ 481</w:t>
        </w:r>
      </w:hyperlink>
      <w:r w:rsidRPr="00A540BC">
        <w:rPr>
          <w:rFonts w:ascii="Times New Roman" w:eastAsia="Times New Roman" w:hAnsi="Times New Roman" w:cs="Times New Roman"/>
          <w:color w:val="000000"/>
          <w:sz w:val="23"/>
          <w:szCs w:val="23"/>
        </w:rPr>
        <w:t> затвердив зміни до Декларації з податку на прибуток. Її привели у відповідність до чинних норм </w:t>
      </w:r>
      <w:hyperlink r:id="rId11"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 Зокрема, унесено зміни до основної частини декларації щодо опису рядка 26, відміток про подання додатків, до додатків РІ, ПН, ВП і впроваджено новий додаток — ПП (щодо податкових пільг).</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Наказ набирає чинності з дня його офіційного опублікування (з 20.12.2019), за винятком окремих змін, зокрема, щодо доповнення декларації додатком ПП, які набирають чинності з 1 січня 2020 року.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За п. 46.6 </w:t>
      </w:r>
      <w:hyperlink r:id="rId12"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 нову форму декларації треба буде подавати з наступного періоду після її оприлюднення, тобто за І квартал 2020 року, а для річників — за 2020 рік. Проте…</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ДПС рекомендує платникам податку на прибуток подавати декларацію за оновленою формою за 2019 рік</w:t>
      </w:r>
      <w:r w:rsidRPr="00A540BC">
        <w:rPr>
          <w:rFonts w:ascii="Times New Roman" w:eastAsia="Times New Roman" w:hAnsi="Times New Roman" w:cs="Times New Roman"/>
          <w:color w:val="000000"/>
          <w:sz w:val="23"/>
          <w:szCs w:val="23"/>
        </w:rPr>
        <w:t> (лист ДПСУ від 16.01.2020 р. </w:t>
      </w:r>
      <w:hyperlink r:id="rId13" w:tgtFrame="_blank" w:history="1">
        <w:r w:rsidRPr="00A540BC">
          <w:rPr>
            <w:rFonts w:ascii="Times New Roman" w:eastAsia="Times New Roman" w:hAnsi="Times New Roman" w:cs="Times New Roman"/>
            <w:color w:val="306D9C"/>
            <w:sz w:val="23"/>
            <w:u w:val="single"/>
          </w:rPr>
          <w:t>№ 757/7/99-00-07-02-01-07</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Важливо: </w:t>
      </w:r>
      <w:r w:rsidRPr="00A540BC">
        <w:rPr>
          <w:rFonts w:ascii="Times New Roman" w:eastAsia="Times New Roman" w:hAnsi="Times New Roman" w:cs="Times New Roman"/>
          <w:i/>
          <w:iCs/>
          <w:color w:val="000000"/>
          <w:sz w:val="23"/>
        </w:rPr>
        <w:t>«Зауважимо, що додаток ПП вперше подаватиметься починаючи зі звітних періодів 2020 року» </w:t>
      </w:r>
      <w:r w:rsidRPr="00A540BC">
        <w:rPr>
          <w:rFonts w:ascii="Times New Roman" w:eastAsia="Times New Roman" w:hAnsi="Times New Roman" w:cs="Times New Roman"/>
          <w:color w:val="000000"/>
          <w:sz w:val="23"/>
          <w:szCs w:val="23"/>
        </w:rPr>
        <w:t>(лист ДПСУ від 16.01.2020 р. </w:t>
      </w:r>
      <w:hyperlink r:id="rId14" w:tgtFrame="_blank" w:history="1">
        <w:r w:rsidRPr="00A540BC">
          <w:rPr>
            <w:rFonts w:ascii="Times New Roman" w:eastAsia="Times New Roman" w:hAnsi="Times New Roman" w:cs="Times New Roman"/>
            <w:color w:val="306D9C"/>
            <w:sz w:val="23"/>
            <w:u w:val="single"/>
          </w:rPr>
          <w:t>№ 757/7/99-00-07-02-01-07</w:t>
        </w:r>
      </w:hyperlink>
      <w:r w:rsidRPr="00A540BC">
        <w:rPr>
          <w:rFonts w:ascii="Times New Roman" w:eastAsia="Times New Roman" w:hAnsi="Times New Roman" w:cs="Times New Roman"/>
          <w:color w:val="000000"/>
          <w:sz w:val="23"/>
          <w:szCs w:val="23"/>
        </w:rPr>
        <w:t>)</w:t>
      </w:r>
      <w:r w:rsidRPr="00A540BC">
        <w:rPr>
          <w:rFonts w:ascii="Times New Roman" w:eastAsia="Times New Roman" w:hAnsi="Times New Roman" w:cs="Times New Roman"/>
          <w:i/>
          <w:iCs/>
          <w:color w:val="000000"/>
          <w:sz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Про нову форму читайте в публікації </w:t>
      </w:r>
      <w:hyperlink r:id="rId15" w:tgtFrame="_blank" w:history="1">
        <w:r w:rsidRPr="00A540BC">
          <w:rPr>
            <w:rFonts w:ascii="Times New Roman" w:eastAsia="Times New Roman" w:hAnsi="Times New Roman" w:cs="Times New Roman"/>
            <w:b/>
            <w:bCs/>
            <w:color w:val="306D9C"/>
            <w:sz w:val="23"/>
            <w:u w:val="single"/>
          </w:rPr>
          <w:t>«Оновлена форма декларації з податку на прибуток»</w:t>
        </w:r>
        <w:r w:rsidRPr="00A540BC">
          <w:rPr>
            <w:rFonts w:ascii="Times New Roman" w:eastAsia="Times New Roman" w:hAnsi="Times New Roman" w:cs="Times New Roman"/>
            <w:color w:val="306D9C"/>
            <w:sz w:val="23"/>
            <w:u w:val="single"/>
          </w:rPr>
          <w:t>.</w:t>
        </w:r>
      </w:hyperlink>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Виходить, що декларацію за 2019 рік можна подавати ще за старою формою.</w:t>
      </w:r>
    </w:p>
    <w:p w:rsidR="00A540BC" w:rsidRPr="00A540BC" w:rsidRDefault="00A540BC" w:rsidP="00A540BC">
      <w:pPr>
        <w:spacing w:after="0" w:line="285" w:lineRule="atLeast"/>
        <w:jc w:val="both"/>
        <w:textAlignment w:val="baseline"/>
        <w:rPr>
          <w:rFonts w:ascii="Arial" w:eastAsia="Times New Roman" w:hAnsi="Arial" w:cs="Arial"/>
          <w:b/>
          <w:bCs/>
          <w:i/>
          <w:iCs/>
          <w:color w:val="006838"/>
          <w:sz w:val="23"/>
          <w:szCs w:val="23"/>
        </w:rPr>
      </w:pPr>
      <w:r w:rsidRPr="00A540BC">
        <w:rPr>
          <w:rFonts w:ascii="Arial" w:eastAsia="Times New Roman" w:hAnsi="Arial" w:cs="Arial"/>
          <w:b/>
          <w:bCs/>
          <w:i/>
          <w:iCs/>
          <w:color w:val="006838"/>
          <w:sz w:val="23"/>
        </w:rPr>
        <w:t>Нагадаємо</w:t>
      </w:r>
    </w:p>
    <w:p w:rsidR="00A540BC" w:rsidRPr="00A540BC" w:rsidRDefault="00A540BC" w:rsidP="00A540BC">
      <w:pPr>
        <w:spacing w:line="285" w:lineRule="atLeast"/>
        <w:jc w:val="both"/>
        <w:textAlignment w:val="baseline"/>
        <w:rPr>
          <w:rFonts w:ascii="Arial" w:eastAsia="Times New Roman" w:hAnsi="Arial" w:cs="Arial"/>
          <w:i/>
          <w:iCs/>
          <w:color w:val="006838"/>
          <w:sz w:val="23"/>
          <w:szCs w:val="23"/>
        </w:rPr>
      </w:pPr>
      <w:r w:rsidRPr="00A540BC">
        <w:rPr>
          <w:rFonts w:ascii="Arial" w:eastAsia="Times New Roman" w:hAnsi="Arial" w:cs="Arial"/>
          <w:i/>
          <w:iCs/>
          <w:color w:val="006838"/>
          <w:sz w:val="23"/>
          <w:szCs w:val="23"/>
        </w:rPr>
        <w:t>За формою декларації звітують не лише підприємства, а й банки, страховики тощо. У шапці в графі 9 проставлятимуть відмітку про те, ким є платник податку на прибуток: банк, страховик, сільгоспвиробник тощо (лист ДФСУ від 04.01.2016 р. </w:t>
      </w:r>
      <w:hyperlink r:id="rId16" w:tgtFrame="_blank" w:history="1">
        <w:r w:rsidRPr="00A540BC">
          <w:rPr>
            <w:rFonts w:ascii="Arial" w:eastAsia="Times New Roman" w:hAnsi="Arial" w:cs="Arial"/>
            <w:i/>
            <w:iCs/>
            <w:color w:val="306D9C"/>
            <w:sz w:val="23"/>
            <w:u w:val="single"/>
          </w:rPr>
          <w:t>№ 102/7/99-99-19-02-01-17</w:t>
        </w:r>
      </w:hyperlink>
      <w:r w:rsidRPr="00A540BC">
        <w:rPr>
          <w:rFonts w:ascii="Arial" w:eastAsia="Times New Roman" w:hAnsi="Arial" w:cs="Arial"/>
          <w:i/>
          <w:iCs/>
          <w:color w:val="006838"/>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Неприбуткові організації</w:t>
      </w:r>
      <w:r w:rsidRPr="00A540BC">
        <w:rPr>
          <w:rFonts w:ascii="Times New Roman" w:eastAsia="Times New Roman" w:hAnsi="Times New Roman" w:cs="Times New Roman"/>
          <w:color w:val="000000"/>
          <w:sz w:val="23"/>
          <w:szCs w:val="23"/>
        </w:rPr>
        <w:t> використовують форму Звіту про використання доходів (прибутків) неприбуткової організації, затверджену наказом Мінфіну від 17.06.2016 р. </w:t>
      </w:r>
      <w:hyperlink r:id="rId17" w:tgtFrame="_blank" w:history="1">
        <w:r w:rsidRPr="00A540BC">
          <w:rPr>
            <w:rFonts w:ascii="Times New Roman" w:eastAsia="Times New Roman" w:hAnsi="Times New Roman" w:cs="Times New Roman"/>
            <w:color w:val="306D9C"/>
            <w:sz w:val="23"/>
            <w:u w:val="single"/>
          </w:rPr>
          <w:t>№ 553</w:t>
        </w:r>
      </w:hyperlink>
      <w:r w:rsidRPr="00A540BC">
        <w:rPr>
          <w:rFonts w:ascii="Times New Roman" w:eastAsia="Times New Roman" w:hAnsi="Times New Roman" w:cs="Times New Roman"/>
          <w:color w:val="000000"/>
          <w:sz w:val="23"/>
          <w:szCs w:val="23"/>
        </w:rPr>
        <w:t>, у редакції наказу від 28.04.2017 р. </w:t>
      </w:r>
      <w:hyperlink r:id="rId18" w:tgtFrame="_blank" w:history="1">
        <w:r w:rsidRPr="00A540BC">
          <w:rPr>
            <w:rFonts w:ascii="Times New Roman" w:eastAsia="Times New Roman" w:hAnsi="Times New Roman" w:cs="Times New Roman"/>
            <w:color w:val="306D9C"/>
            <w:sz w:val="23"/>
            <w:u w:val="single"/>
          </w:rPr>
          <w:t>№ 469</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Подання розрахунку податкових зобов’язань із податку на прибуток нерезидентів, які провадять діяльність на території України через </w:t>
      </w:r>
      <w:r w:rsidRPr="00A540BC">
        <w:rPr>
          <w:rFonts w:ascii="Times New Roman" w:eastAsia="Times New Roman" w:hAnsi="Times New Roman" w:cs="Times New Roman"/>
          <w:b/>
          <w:bCs/>
          <w:color w:val="000000"/>
          <w:sz w:val="23"/>
        </w:rPr>
        <w:t>постійне представництво</w:t>
      </w:r>
      <w:r w:rsidRPr="00A540BC">
        <w:rPr>
          <w:rFonts w:ascii="Times New Roman" w:eastAsia="Times New Roman" w:hAnsi="Times New Roman" w:cs="Times New Roman"/>
          <w:color w:val="000000"/>
          <w:sz w:val="23"/>
          <w:szCs w:val="23"/>
        </w:rPr>
        <w:t>, здійснюють за формами, затвердженими наказом Мінфіну від 13.06.2016 р. </w:t>
      </w:r>
      <w:hyperlink r:id="rId19" w:tgtFrame="_blank" w:history="1">
        <w:r w:rsidRPr="00A540BC">
          <w:rPr>
            <w:rFonts w:ascii="Times New Roman" w:eastAsia="Times New Roman" w:hAnsi="Times New Roman" w:cs="Times New Roman"/>
            <w:color w:val="306D9C"/>
            <w:sz w:val="23"/>
            <w:u w:val="single"/>
          </w:rPr>
          <w:t>№ 544</w:t>
        </w:r>
      </w:hyperlink>
      <w:r w:rsidRPr="00A540BC">
        <w:rPr>
          <w:rFonts w:ascii="Times New Roman" w:eastAsia="Times New Roman" w:hAnsi="Times New Roman" w:cs="Times New Roman"/>
          <w:color w:val="000000"/>
          <w:sz w:val="23"/>
          <w:szCs w:val="23"/>
        </w:rPr>
        <w:t xml:space="preserve">. Про особливості звітування для </w:t>
      </w:r>
      <w:proofErr w:type="spellStart"/>
      <w:r w:rsidRPr="00A540BC">
        <w:rPr>
          <w:rFonts w:ascii="Times New Roman" w:eastAsia="Times New Roman" w:hAnsi="Times New Roman" w:cs="Times New Roman"/>
          <w:color w:val="000000"/>
          <w:sz w:val="23"/>
          <w:szCs w:val="23"/>
        </w:rPr>
        <w:t>постпредставництв</w:t>
      </w:r>
      <w:proofErr w:type="spellEnd"/>
      <w:r w:rsidRPr="00A540BC">
        <w:rPr>
          <w:rFonts w:ascii="Times New Roman" w:eastAsia="Times New Roman" w:hAnsi="Times New Roman" w:cs="Times New Roman"/>
          <w:color w:val="000000"/>
          <w:sz w:val="23"/>
          <w:szCs w:val="23"/>
        </w:rPr>
        <w:t xml:space="preserve"> податківці зазначили в листі від 31.05.2017 р. </w:t>
      </w:r>
      <w:hyperlink r:id="rId20" w:tgtFrame="_blank" w:history="1">
        <w:r w:rsidRPr="00A540BC">
          <w:rPr>
            <w:rFonts w:ascii="Times New Roman" w:eastAsia="Times New Roman" w:hAnsi="Times New Roman" w:cs="Times New Roman"/>
            <w:color w:val="306D9C"/>
            <w:sz w:val="23"/>
            <w:u w:val="single"/>
          </w:rPr>
          <w:t>№ 421/О/99-99-15-02-02-14/ІПК</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 xml:space="preserve">Подання </w:t>
      </w:r>
      <w:proofErr w:type="spellStart"/>
      <w:r w:rsidRPr="00A540BC">
        <w:rPr>
          <w:rFonts w:ascii="Times New Roman" w:eastAsia="Times New Roman" w:hAnsi="Times New Roman" w:cs="Times New Roman"/>
          <w:b/>
          <w:bCs/>
          <w:color w:val="000000"/>
          <w:sz w:val="23"/>
        </w:rPr>
        <w:t>фінзвітності</w:t>
      </w:r>
      <w:proofErr w:type="spellEnd"/>
      <w:r w:rsidRPr="00A540BC">
        <w:rPr>
          <w:rFonts w:ascii="Times New Roman" w:eastAsia="Times New Roman" w:hAnsi="Times New Roman" w:cs="Times New Roman"/>
          <w:b/>
          <w:bCs/>
          <w:color w:val="000000"/>
          <w:sz w:val="23"/>
        </w:rPr>
        <w:t xml:space="preserve"> до податкової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Під час подання Декларації з податку на прибуток підприємства за 2019 рік усі платники податку на прибуток разом із нею подають фінансову звітність (п. 46.2 </w:t>
      </w:r>
      <w:hyperlink r:id="rId21"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 Остання є додатком до Податкової декларації з податку на прибуток та її невід’ємною частиною.</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У таблиці під основною частиною декларації нині діючої форми треба ставити відмітку «+» про подання відповідної форми (форм) </w:t>
      </w:r>
      <w:proofErr w:type="spellStart"/>
      <w:r w:rsidRPr="00A540BC">
        <w:rPr>
          <w:rFonts w:ascii="Times New Roman" w:eastAsia="Times New Roman" w:hAnsi="Times New Roman" w:cs="Times New Roman"/>
          <w:color w:val="000000"/>
          <w:sz w:val="23"/>
          <w:szCs w:val="23"/>
        </w:rPr>
        <w:t>фінзвітності</w:t>
      </w:r>
      <w:proofErr w:type="spellEnd"/>
      <w:r w:rsidRPr="00A540BC">
        <w:rPr>
          <w:rFonts w:ascii="Times New Roman" w:eastAsia="Times New Roman" w:hAnsi="Times New Roman" w:cs="Times New Roman"/>
          <w:color w:val="000000"/>
          <w:sz w:val="23"/>
          <w:szCs w:val="23"/>
        </w:rPr>
        <w:t>. Таке правило міститься у виносці 12 до Декларації: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«Фінансова звітність, що складається платниками податку на прибуток, є додатком до Податкової декларації з податку на прибуток підприємств та її невід’ємною частиною. У відповідних клітинках проставляється позначка «+»</w:t>
      </w:r>
      <w:r w:rsidRPr="00A540BC">
        <w:rPr>
          <w:rFonts w:ascii="Times New Roman" w:eastAsia="Times New Roman" w:hAnsi="Times New Roman" w:cs="Times New Roman"/>
          <w:color w:val="000000"/>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lastRenderedPageBreak/>
        <w:t>А ось в оновленій формі ще додалася відмітка про те, за якими стандартами ведуть облік — МСБО чи П(С)БО.</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Про це докладніше йтиметься далі.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Особливості подання електронної декларації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Нагадаємо: обов’язок подавати декларацію в електронному вигляді діє для платників податку на прибуток, які належать до великих і середніх підприємств. Така вимога прописана в п. 49.4 </w:t>
      </w:r>
      <w:hyperlink r:id="rId22"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«Платники податків, що належать до великих та середніх підприємств, подають податкові декларації до контролюючого органу в електронній формі з дотриманням умови щодо реєстрації електронного підпису підзвітних осіб у порядку, визначеному законодавством»</w:t>
      </w:r>
      <w:r w:rsidRPr="00A540BC">
        <w:rPr>
          <w:rFonts w:ascii="Times New Roman" w:eastAsia="Times New Roman" w:hAnsi="Times New Roman" w:cs="Times New Roman"/>
          <w:color w:val="000000"/>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Тому фактично декларацію з податку на прибуток у паперовому вигляді можуть подавати лише мікропідприємства та малі підприємства.</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До слова — діє окрема норма щодо подання всіма платниками ПДВ декларацій із ПДВ в електронній формі (</w:t>
      </w:r>
      <w:proofErr w:type="spellStart"/>
      <w:r w:rsidRPr="00A540BC">
        <w:rPr>
          <w:rFonts w:ascii="Times New Roman" w:eastAsia="Times New Roman" w:hAnsi="Times New Roman" w:cs="Times New Roman"/>
          <w:color w:val="000000"/>
          <w:sz w:val="23"/>
          <w:szCs w:val="23"/>
        </w:rPr>
        <w:t>абз</w:t>
      </w:r>
      <w:proofErr w:type="spellEnd"/>
      <w:r w:rsidRPr="00A540BC">
        <w:rPr>
          <w:rFonts w:ascii="Times New Roman" w:eastAsia="Times New Roman" w:hAnsi="Times New Roman" w:cs="Times New Roman"/>
          <w:color w:val="000000"/>
          <w:sz w:val="23"/>
          <w:szCs w:val="23"/>
        </w:rPr>
        <w:t>. 2 п. 49.4 </w:t>
      </w:r>
      <w:hyperlink r:id="rId23"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jc w:val="both"/>
        <w:textAlignment w:val="baseline"/>
        <w:rPr>
          <w:rFonts w:ascii="Times New Roman" w:eastAsia="Times New Roman" w:hAnsi="Times New Roman" w:cs="Times New Roman"/>
          <w:b/>
          <w:bCs/>
          <w:i/>
          <w:iCs/>
          <w:color w:val="D2232A"/>
          <w:sz w:val="23"/>
          <w:szCs w:val="23"/>
        </w:rPr>
      </w:pPr>
      <w:r w:rsidRPr="00A540BC">
        <w:rPr>
          <w:rFonts w:ascii="Times New Roman" w:eastAsia="Times New Roman" w:hAnsi="Times New Roman" w:cs="Times New Roman"/>
          <w:b/>
          <w:bCs/>
          <w:i/>
          <w:iCs/>
          <w:color w:val="D2232A"/>
          <w:sz w:val="23"/>
        </w:rPr>
        <w:t>Зауважте</w:t>
      </w:r>
    </w:p>
    <w:p w:rsidR="00A540BC" w:rsidRPr="00A540BC" w:rsidRDefault="00A540BC" w:rsidP="00A540BC">
      <w:pPr>
        <w:spacing w:before="192" w:after="150"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Подання податкової звітності з податку на прибуток в електронному вигляді має відбуватися за електронними кодами форм.</w:t>
      </w:r>
    </w:p>
    <w:p w:rsidR="00A540BC" w:rsidRPr="00A540BC" w:rsidRDefault="00A540BC" w:rsidP="00A540BC">
      <w:pPr>
        <w:spacing w:before="192" w:after="150" w:line="285" w:lineRule="atLeast"/>
        <w:jc w:val="both"/>
        <w:textAlignment w:val="baseline"/>
        <w:rPr>
          <w:rFonts w:ascii="Times New Roman" w:eastAsia="Times New Roman" w:hAnsi="Times New Roman" w:cs="Times New Roman"/>
          <w:i/>
          <w:iCs/>
          <w:color w:val="D2232A"/>
          <w:sz w:val="23"/>
          <w:szCs w:val="23"/>
        </w:rPr>
      </w:pPr>
      <w:proofErr w:type="spellStart"/>
      <w:r w:rsidRPr="00A540BC">
        <w:rPr>
          <w:rFonts w:ascii="Times New Roman" w:eastAsia="Times New Roman" w:hAnsi="Times New Roman" w:cs="Times New Roman"/>
          <w:i/>
          <w:iCs/>
          <w:color w:val="D2232A"/>
          <w:sz w:val="23"/>
          <w:szCs w:val="23"/>
        </w:rPr>
        <w:t>Iдентифiкатор</w:t>
      </w:r>
      <w:proofErr w:type="spellEnd"/>
      <w:r w:rsidRPr="00A540BC">
        <w:rPr>
          <w:rFonts w:ascii="Times New Roman" w:eastAsia="Times New Roman" w:hAnsi="Times New Roman" w:cs="Times New Roman"/>
          <w:i/>
          <w:iCs/>
          <w:color w:val="D2232A"/>
          <w:sz w:val="23"/>
          <w:szCs w:val="23"/>
        </w:rPr>
        <w:t xml:space="preserve"> форми електронного вигляду можна знайти на </w:t>
      </w:r>
      <w:proofErr w:type="spellStart"/>
      <w:r w:rsidRPr="00A540BC">
        <w:rPr>
          <w:rFonts w:ascii="Times New Roman" w:eastAsia="Times New Roman" w:hAnsi="Times New Roman" w:cs="Times New Roman"/>
          <w:i/>
          <w:iCs/>
          <w:color w:val="D2232A"/>
          <w:sz w:val="23"/>
          <w:szCs w:val="23"/>
        </w:rPr>
        <w:t>веб-сайті</w:t>
      </w:r>
      <w:proofErr w:type="spellEnd"/>
      <w:r w:rsidRPr="00A540BC">
        <w:rPr>
          <w:rFonts w:ascii="Times New Roman" w:eastAsia="Times New Roman" w:hAnsi="Times New Roman" w:cs="Times New Roman"/>
          <w:i/>
          <w:iCs/>
          <w:color w:val="D2232A"/>
          <w:sz w:val="23"/>
          <w:szCs w:val="23"/>
        </w:rPr>
        <w:t xml:space="preserve"> ДПСУ за шляхом:</w:t>
      </w:r>
    </w:p>
    <w:p w:rsidR="00A540BC" w:rsidRPr="00A540BC" w:rsidRDefault="00A540BC" w:rsidP="00A540BC">
      <w:pPr>
        <w:spacing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Головна &gt; Електронна звітність &gt; Платникам податків про електронну звітність &gt; Інформаційно-аналітичне забезпечення &gt; Реєстр форм електронних документів </w:t>
      </w:r>
      <w:hyperlink r:id="rId24" w:history="1">
        <w:r w:rsidRPr="00A540BC">
          <w:rPr>
            <w:rFonts w:ascii="Times New Roman" w:eastAsia="Times New Roman" w:hAnsi="Times New Roman" w:cs="Times New Roman"/>
            <w:i/>
            <w:iCs/>
            <w:color w:val="306D9C"/>
            <w:sz w:val="23"/>
            <w:u w:val="single"/>
          </w:rPr>
          <w:t>https://tax.gov.ua/data/material/000/006/58768/Forms_deklar.htm</w:t>
        </w:r>
      </w:hyperlink>
    </w:p>
    <w:p w:rsidR="00A540BC" w:rsidRPr="00A540BC" w:rsidRDefault="00A540BC" w:rsidP="00A540BC">
      <w:pPr>
        <w:spacing w:line="285" w:lineRule="atLeast"/>
        <w:ind w:firstLine="450"/>
        <w:jc w:val="center"/>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Ідентифікатор електронної форми декларації</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4969"/>
        <w:gridCol w:w="4970"/>
      </w:tblGrid>
      <w:tr w:rsidR="00A540BC" w:rsidRPr="00A540BC" w:rsidTr="00A540BC">
        <w:trPr>
          <w:tblHeader/>
        </w:trPr>
        <w:tc>
          <w:tcPr>
            <w:tcW w:w="4815" w:type="dxa"/>
            <w:tcBorders>
              <w:top w:val="outset" w:sz="2" w:space="0" w:color="auto"/>
              <w:left w:val="outset" w:sz="2" w:space="0" w:color="auto"/>
              <w:bottom w:val="single" w:sz="6" w:space="0" w:color="FFFFFF"/>
              <w:right w:val="outset" w:sz="2" w:space="0" w:color="auto"/>
            </w:tcBorders>
            <w:shd w:val="clear" w:color="auto" w:fill="0D4A6C"/>
            <w:tcMar>
              <w:top w:w="60" w:type="dxa"/>
              <w:left w:w="150" w:type="dxa"/>
              <w:bottom w:w="60" w:type="dxa"/>
              <w:right w:w="150" w:type="dxa"/>
            </w:tcMar>
            <w:vAlign w:val="center"/>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color w:val="FFFFFF"/>
                <w:sz w:val="21"/>
                <w:szCs w:val="21"/>
              </w:rPr>
            </w:pPr>
            <w:r w:rsidRPr="00A540BC">
              <w:rPr>
                <w:rFonts w:ascii="Times New Roman" w:eastAsia="Times New Roman" w:hAnsi="Times New Roman" w:cs="Times New Roman"/>
                <w:b/>
                <w:bCs/>
                <w:color w:val="FFFFFF"/>
                <w:sz w:val="21"/>
              </w:rPr>
              <w:t>Стара форма</w:t>
            </w:r>
          </w:p>
        </w:tc>
        <w:tc>
          <w:tcPr>
            <w:tcW w:w="4815" w:type="dxa"/>
            <w:tcBorders>
              <w:top w:val="outset" w:sz="2" w:space="0" w:color="auto"/>
              <w:left w:val="outset" w:sz="2" w:space="0" w:color="auto"/>
              <w:bottom w:val="single" w:sz="6" w:space="0" w:color="FFFFFF"/>
              <w:right w:val="outset" w:sz="2" w:space="0" w:color="auto"/>
            </w:tcBorders>
            <w:shd w:val="clear" w:color="auto" w:fill="0D4A6C"/>
            <w:tcMar>
              <w:top w:w="60" w:type="dxa"/>
              <w:left w:w="150" w:type="dxa"/>
              <w:bottom w:w="60" w:type="dxa"/>
              <w:right w:w="150" w:type="dxa"/>
            </w:tcMar>
            <w:vAlign w:val="center"/>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color w:val="FFFFFF"/>
                <w:sz w:val="21"/>
                <w:szCs w:val="21"/>
              </w:rPr>
            </w:pPr>
            <w:r w:rsidRPr="00A540BC">
              <w:rPr>
                <w:rFonts w:ascii="Times New Roman" w:eastAsia="Times New Roman" w:hAnsi="Times New Roman" w:cs="Times New Roman"/>
                <w:b/>
                <w:bCs/>
                <w:color w:val="FFFFFF"/>
                <w:sz w:val="21"/>
              </w:rPr>
              <w:t>Нова форма</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hyperlink r:id="rId25" w:history="1">
              <w:r w:rsidRPr="00A540BC">
                <w:rPr>
                  <w:rFonts w:ascii="Times New Roman" w:eastAsia="Times New Roman" w:hAnsi="Times New Roman" w:cs="Times New Roman"/>
                  <w:color w:val="306D9C"/>
                  <w:sz w:val="21"/>
                  <w:u w:val="single"/>
                </w:rPr>
                <w:t>J0100117</w:t>
              </w:r>
            </w:hyperlink>
          </w:p>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J0110317, J0110617, J0111317, J0111417, J0111517, J0111617, J0111717, J0111817, J0112817</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hyperlink r:id="rId26" w:history="1">
              <w:r w:rsidRPr="00A540BC">
                <w:rPr>
                  <w:rFonts w:ascii="Times New Roman" w:eastAsia="Times New Roman" w:hAnsi="Times New Roman" w:cs="Times New Roman"/>
                  <w:color w:val="306D9C"/>
                  <w:sz w:val="21"/>
                  <w:u w:val="single"/>
                </w:rPr>
                <w:t>J0100118</w:t>
              </w:r>
            </w:hyperlink>
          </w:p>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J0110318, J0110618, J0111318, J0111418, J0111518, J0111618, J0111718, J0111818, J0112018, J0112818</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(подають до 01.04.2020)</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Податківці рекомендують подавати за новою формою за 2019 рік (додаток ПП не подавати)</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Як бачите, водночас є можливість подати декларацію як за старою, так і за новою формою (за інформацією станом на 29.01.2020).</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І при цьому немає розбивки на окремі коди для </w:t>
      </w:r>
      <w:proofErr w:type="spellStart"/>
      <w:r w:rsidRPr="00A540BC">
        <w:rPr>
          <w:rFonts w:ascii="Times New Roman" w:eastAsia="Times New Roman" w:hAnsi="Times New Roman" w:cs="Times New Roman"/>
          <w:color w:val="000000"/>
          <w:sz w:val="23"/>
          <w:szCs w:val="23"/>
        </w:rPr>
        <w:t>квартальників</w:t>
      </w:r>
      <w:proofErr w:type="spellEnd"/>
      <w:r w:rsidRPr="00A540BC">
        <w:rPr>
          <w:rFonts w:ascii="Times New Roman" w:eastAsia="Times New Roman" w:hAnsi="Times New Roman" w:cs="Times New Roman"/>
          <w:color w:val="000000"/>
          <w:sz w:val="23"/>
          <w:szCs w:val="23"/>
        </w:rPr>
        <w:t xml:space="preserve"> і річників — відмітку про базовий звітний період проставляють у декларації — «базовий звітний період квартал» — ті, хто звітував поквартально у 2019 році, або «базовий звітний період рік» — хто подає декларацію лише за підсумками року. А код електронної декларації відрізняється для старої та нової форми.</w:t>
      </w:r>
    </w:p>
    <w:p w:rsidR="00A540BC" w:rsidRPr="00A540BC" w:rsidRDefault="00A540BC" w:rsidP="00A540BC">
      <w:pPr>
        <w:spacing w:after="0" w:line="285" w:lineRule="atLeast"/>
        <w:jc w:val="both"/>
        <w:textAlignment w:val="baseline"/>
        <w:rPr>
          <w:rFonts w:ascii="Times New Roman" w:eastAsia="Times New Roman" w:hAnsi="Times New Roman" w:cs="Times New Roman"/>
          <w:b/>
          <w:bCs/>
          <w:i/>
          <w:iCs/>
          <w:color w:val="D2232A"/>
          <w:sz w:val="23"/>
          <w:szCs w:val="23"/>
        </w:rPr>
      </w:pPr>
      <w:r w:rsidRPr="00A540BC">
        <w:rPr>
          <w:rFonts w:ascii="Times New Roman" w:eastAsia="Times New Roman" w:hAnsi="Times New Roman" w:cs="Times New Roman"/>
          <w:b/>
          <w:bCs/>
          <w:i/>
          <w:iCs/>
          <w:color w:val="D2232A"/>
          <w:sz w:val="23"/>
        </w:rPr>
        <w:t>За</w:t>
      </w:r>
      <w:r>
        <w:rPr>
          <w:rFonts w:ascii="Times New Roman" w:eastAsia="Times New Roman" w:hAnsi="Times New Roman" w:cs="Times New Roman"/>
          <w:b/>
          <w:bCs/>
          <w:i/>
          <w:iCs/>
          <w:color w:val="D2232A"/>
          <w:sz w:val="23"/>
        </w:rPr>
        <w:t>у</w:t>
      </w:r>
      <w:r w:rsidRPr="00A540BC">
        <w:rPr>
          <w:rFonts w:ascii="Times New Roman" w:eastAsia="Times New Roman" w:hAnsi="Times New Roman" w:cs="Times New Roman"/>
          <w:b/>
          <w:bCs/>
          <w:i/>
          <w:iCs/>
          <w:color w:val="D2232A"/>
          <w:sz w:val="23"/>
        </w:rPr>
        <w:t>важимо</w:t>
      </w:r>
    </w:p>
    <w:p w:rsidR="00A540BC" w:rsidRPr="00A540BC" w:rsidRDefault="00A540BC" w:rsidP="00A540BC">
      <w:pPr>
        <w:spacing w:before="192"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 xml:space="preserve">Якщо ви подали декларацію за старою формою, </w:t>
      </w:r>
      <w:proofErr w:type="spellStart"/>
      <w:r w:rsidRPr="00A540BC">
        <w:rPr>
          <w:rFonts w:ascii="Times New Roman" w:eastAsia="Times New Roman" w:hAnsi="Times New Roman" w:cs="Times New Roman"/>
          <w:i/>
          <w:iCs/>
          <w:color w:val="D2232A"/>
          <w:sz w:val="23"/>
          <w:szCs w:val="23"/>
        </w:rPr>
        <w:t>переподавати</w:t>
      </w:r>
      <w:proofErr w:type="spellEnd"/>
      <w:r w:rsidRPr="00A540BC">
        <w:rPr>
          <w:rFonts w:ascii="Times New Roman" w:eastAsia="Times New Roman" w:hAnsi="Times New Roman" w:cs="Times New Roman"/>
          <w:i/>
          <w:iCs/>
          <w:color w:val="D2232A"/>
          <w:sz w:val="23"/>
          <w:szCs w:val="23"/>
        </w:rPr>
        <w:t xml:space="preserve"> за новою ви не зобов’язані.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Правила заповнення</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Затверджених правил заповнення декларації немає. Деякі підказки наведено у виносках самої декларації. До того ж у листі ДФСУ від 04.01.2016 р. </w:t>
      </w:r>
      <w:hyperlink r:id="rId27" w:tgtFrame="_blank" w:history="1">
        <w:r w:rsidRPr="00A540BC">
          <w:rPr>
            <w:rFonts w:ascii="Times New Roman" w:eastAsia="Times New Roman" w:hAnsi="Times New Roman" w:cs="Times New Roman"/>
            <w:color w:val="306D9C"/>
            <w:sz w:val="23"/>
            <w:u w:val="single"/>
          </w:rPr>
          <w:t>№ 102/7/99-99-19-02-01-17</w:t>
        </w:r>
      </w:hyperlink>
      <w:r w:rsidRPr="00A540BC">
        <w:rPr>
          <w:rFonts w:ascii="Times New Roman" w:eastAsia="Times New Roman" w:hAnsi="Times New Roman" w:cs="Times New Roman"/>
          <w:color w:val="000000"/>
          <w:sz w:val="23"/>
          <w:szCs w:val="23"/>
        </w:rPr>
        <w:t> зафіксовані певні нюанси щодо заповнення декларації.</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lastRenderedPageBreak/>
        <w:t>Пройдімося кожним рядком декларації й акцентуймо увагу на найважливішому, а там, де є підхід податківців, — наведімо його.</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Шапка</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У полі 1</w:t>
      </w:r>
      <w:r w:rsidRPr="00A540BC">
        <w:rPr>
          <w:rFonts w:ascii="Times New Roman" w:eastAsia="Times New Roman" w:hAnsi="Times New Roman" w:cs="Times New Roman"/>
          <w:color w:val="000000"/>
          <w:sz w:val="23"/>
          <w:szCs w:val="23"/>
        </w:rPr>
        <w:t> проставляють вид декларації — «Звітна», «Звітна нова», «Уточнююча». Звітуючи за 2019 рік, відмітка навпроти — «Звітна». Якщо подали вже звітну декларацію та до граничної дати подання (до 02.03.2020) виявили неточність — можна подати декларацію «Звітна нова».</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Після граничної дати подання декларації позбутися помилки можна буде лише через уточнюючу декларацію (з відміткою «Уточнююча») або ж через наступну поточну звітну декларацію (із заповненням додатка ВП).</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У полі 2</w:t>
      </w:r>
      <w:r w:rsidRPr="00A540BC">
        <w:rPr>
          <w:rFonts w:ascii="Times New Roman" w:eastAsia="Times New Roman" w:hAnsi="Times New Roman" w:cs="Times New Roman"/>
          <w:color w:val="000000"/>
          <w:sz w:val="23"/>
          <w:szCs w:val="23"/>
        </w:rPr>
        <w:t> указують звітний податковий період — 2019 рік. До того ж у рядку 2 заголовної частини декларації передбачено поле для позначки «Базовий звітний період квартал» або «Базовий звітний період рік» (лист ДФСУ від 22.12.2016 р. </w:t>
      </w:r>
      <w:hyperlink r:id="rId28" w:tgtFrame="_blank" w:history="1">
        <w:r w:rsidRPr="00A540BC">
          <w:rPr>
            <w:rFonts w:ascii="Times New Roman" w:eastAsia="Times New Roman" w:hAnsi="Times New Roman" w:cs="Times New Roman"/>
            <w:color w:val="306D9C"/>
            <w:sz w:val="23"/>
            <w:u w:val="single"/>
          </w:rPr>
          <w:t>№ 40603/7/99-99-03-01-17</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Поле 3</w:t>
      </w:r>
      <w:r w:rsidRPr="00A540BC">
        <w:rPr>
          <w:rFonts w:ascii="Times New Roman" w:eastAsia="Times New Roman" w:hAnsi="Times New Roman" w:cs="Times New Roman"/>
          <w:color w:val="000000"/>
          <w:sz w:val="23"/>
          <w:szCs w:val="23"/>
        </w:rPr>
        <w:t> заповнюють лише в тому випадку, коли виправляють помилку з податку на прибуток. Якщо виправлення проводять через поточну декларацію, тобто із заповненням додатка ВП за період, який виправляють. Саме цей період і зазначають у полі 3 декларації. А якщо помилку виправляють через уточнюючу декларацію (коли в полі 1 — «Уточнююча»), то поля 2 і 3 будуть однаковими.</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Заповнення полів 4–8 не розглядатимемо, оскільки вони стандартні.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У полі 9</w:t>
      </w:r>
      <w:r w:rsidRPr="00A540BC">
        <w:rPr>
          <w:rFonts w:ascii="Times New Roman" w:eastAsia="Times New Roman" w:hAnsi="Times New Roman" w:cs="Times New Roman"/>
          <w:color w:val="000000"/>
          <w:sz w:val="23"/>
          <w:szCs w:val="23"/>
        </w:rPr>
        <w:t> проставляють особливі відмітки — приналежність до «особливих» платників податку на прибуток. Звичайні підприємства тут нічого не заповнюють. Ці особливі відмітки передбачені для:</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виробника сільськогосподарської продукції;</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банку;</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страховика;</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суб’єкта, який здійснює випуск і проведення лотерей;</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суб’єкта, що проводить азартні ігри з використанням гральних автоматів;</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 суб’єкта, що проводить </w:t>
      </w:r>
      <w:proofErr w:type="spellStart"/>
      <w:r w:rsidRPr="00A540BC">
        <w:rPr>
          <w:rFonts w:ascii="Times New Roman" w:eastAsia="Times New Roman" w:hAnsi="Times New Roman" w:cs="Times New Roman"/>
          <w:color w:val="000000"/>
          <w:sz w:val="23"/>
          <w:szCs w:val="23"/>
        </w:rPr>
        <w:t>букмекерську</w:t>
      </w:r>
      <w:proofErr w:type="spellEnd"/>
      <w:r w:rsidRPr="00A540BC">
        <w:rPr>
          <w:rFonts w:ascii="Times New Roman" w:eastAsia="Times New Roman" w:hAnsi="Times New Roman" w:cs="Times New Roman"/>
          <w:color w:val="000000"/>
          <w:sz w:val="23"/>
          <w:szCs w:val="23"/>
        </w:rPr>
        <w:t xml:space="preserve"> діяльність й азартні ігри (у т.ч. казино), крім азартних ігор із використанням гральних автоматів;</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постійного представництва нерезидента;</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підприємства (організації) громадської організації інвалідів, яке отримало дозвіл на користування пільгою;</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платника податку, що подає декларацію за останній податковий (звітний) рік у періоді, на який припадає дата його ліквідації;</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платника єдиного податку.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Основна частина декларації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Декларацію заповнюють у гривнях — про це вказано над основною частиною декларації написом </w:t>
      </w:r>
      <w:r w:rsidRPr="00A540BC">
        <w:rPr>
          <w:rFonts w:ascii="Times New Roman" w:eastAsia="Times New Roman" w:hAnsi="Times New Roman" w:cs="Times New Roman"/>
          <w:i/>
          <w:iCs/>
          <w:color w:val="000000"/>
          <w:sz w:val="23"/>
        </w:rPr>
        <w:t>«(</w:t>
      </w:r>
      <w:proofErr w:type="spellStart"/>
      <w:r w:rsidRPr="00A540BC">
        <w:rPr>
          <w:rFonts w:ascii="Times New Roman" w:eastAsia="Times New Roman" w:hAnsi="Times New Roman" w:cs="Times New Roman"/>
          <w:i/>
          <w:iCs/>
          <w:color w:val="000000"/>
          <w:sz w:val="23"/>
        </w:rPr>
        <w:t>грн</w:t>
      </w:r>
      <w:proofErr w:type="spellEnd"/>
      <w:r w:rsidRPr="00A540BC">
        <w:rPr>
          <w:rFonts w:ascii="Times New Roman" w:eastAsia="Times New Roman" w:hAnsi="Times New Roman" w:cs="Times New Roman"/>
          <w:i/>
          <w:iCs/>
          <w:color w:val="000000"/>
          <w:sz w:val="23"/>
        </w:rPr>
        <w:t>)»</w:t>
      </w:r>
      <w:r w:rsidRPr="00A540BC">
        <w:rPr>
          <w:rFonts w:ascii="Times New Roman" w:eastAsia="Times New Roman" w:hAnsi="Times New Roman" w:cs="Times New Roman"/>
          <w:color w:val="000000"/>
          <w:sz w:val="23"/>
          <w:szCs w:val="23"/>
        </w:rPr>
        <w:t>.</w:t>
      </w:r>
      <w:r>
        <w:rPr>
          <w:rFonts w:ascii="Times New Roman" w:eastAsia="Times New Roman" w:hAnsi="Times New Roman" w:cs="Times New Roman"/>
          <w:color w:val="000000"/>
          <w:sz w:val="23"/>
          <w:szCs w:val="23"/>
        </w:rPr>
        <w:t xml:space="preserve"> </w:t>
      </w:r>
      <w:r w:rsidRPr="00A540BC">
        <w:rPr>
          <w:rFonts w:ascii="Times New Roman" w:eastAsia="Times New Roman" w:hAnsi="Times New Roman" w:cs="Times New Roman"/>
          <w:color w:val="000000"/>
          <w:sz w:val="23"/>
          <w:szCs w:val="23"/>
        </w:rPr>
        <w:t>Розгляньмо рядки.</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01</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Дохід від будь-якої діяльності (за вирахуванням непрямих податків), визначений за правилами бухгалтерського обліку</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01</w:t>
            </w: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lastRenderedPageBreak/>
        <w:t xml:space="preserve">За цим критерієм вирішуватимуть, чи може підприємство визначати базу оподаткування без застосування різниць (якщо дохід понад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 обов’язково застосовують різниці, якщо менше — є право вибору в першому році безперервної сукупності років, коли дохід не перевищує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У розрахунку 20-мільйонного ліміту беруть участь (</w:t>
      </w:r>
      <w:proofErr w:type="spellStart"/>
      <w:r w:rsidRPr="00A540BC">
        <w:rPr>
          <w:rFonts w:ascii="Times New Roman" w:eastAsia="Times New Roman" w:hAnsi="Times New Roman" w:cs="Times New Roman"/>
          <w:color w:val="000000"/>
          <w:sz w:val="23"/>
          <w:szCs w:val="23"/>
        </w:rPr>
        <w:t>абз</w:t>
      </w:r>
      <w:proofErr w:type="spellEnd"/>
      <w:r w:rsidRPr="00A540BC">
        <w:rPr>
          <w:rFonts w:ascii="Times New Roman" w:eastAsia="Times New Roman" w:hAnsi="Times New Roman" w:cs="Times New Roman"/>
          <w:color w:val="000000"/>
          <w:sz w:val="23"/>
          <w:szCs w:val="23"/>
        </w:rPr>
        <w:t>. 10 пп. 134.1.1 </w:t>
      </w:r>
      <w:hyperlink r:id="rId29"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дохід (виручка) від реалізації продукції (товарів, робіт, послуг) (рядка 2000 форми № 2) (лист ДФС у м. Києві від 16.03.2016 р. № 6300/10/26-15-12-05-11);</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 інші операційні доходи (рядок 2120 форми № 2) ― обороти за </w:t>
      </w:r>
      <w:proofErr w:type="spellStart"/>
      <w:r w:rsidRPr="00A540BC">
        <w:rPr>
          <w:rFonts w:ascii="Times New Roman" w:eastAsia="Times New Roman" w:hAnsi="Times New Roman" w:cs="Times New Roman"/>
          <w:color w:val="000000"/>
          <w:sz w:val="23"/>
          <w:szCs w:val="23"/>
        </w:rPr>
        <w:t>Дт</w:t>
      </w:r>
      <w:proofErr w:type="spellEnd"/>
      <w:r w:rsidRPr="00A540BC">
        <w:rPr>
          <w:rFonts w:ascii="Times New Roman" w:eastAsia="Times New Roman" w:hAnsi="Times New Roman" w:cs="Times New Roman"/>
          <w:color w:val="000000"/>
          <w:sz w:val="23"/>
          <w:szCs w:val="23"/>
        </w:rPr>
        <w:t xml:space="preserve"> 71 із </w:t>
      </w:r>
      <w:proofErr w:type="spellStart"/>
      <w:r w:rsidRPr="00A540BC">
        <w:rPr>
          <w:rFonts w:ascii="Times New Roman" w:eastAsia="Times New Roman" w:hAnsi="Times New Roman" w:cs="Times New Roman"/>
          <w:color w:val="000000"/>
          <w:sz w:val="23"/>
          <w:szCs w:val="23"/>
        </w:rPr>
        <w:t>Кт</w:t>
      </w:r>
      <w:proofErr w:type="spellEnd"/>
      <w:r w:rsidRPr="00A540BC">
        <w:rPr>
          <w:rFonts w:ascii="Times New Roman" w:eastAsia="Times New Roman" w:hAnsi="Times New Roman" w:cs="Times New Roman"/>
          <w:color w:val="000000"/>
          <w:sz w:val="23"/>
          <w:szCs w:val="23"/>
        </w:rPr>
        <w:t xml:space="preserve"> 791;</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 фінансові доходи (рядок 2220 форми № 2) — обороти за </w:t>
      </w:r>
      <w:proofErr w:type="spellStart"/>
      <w:r w:rsidRPr="00A540BC">
        <w:rPr>
          <w:rFonts w:ascii="Times New Roman" w:eastAsia="Times New Roman" w:hAnsi="Times New Roman" w:cs="Times New Roman"/>
          <w:color w:val="000000"/>
          <w:sz w:val="23"/>
          <w:szCs w:val="23"/>
        </w:rPr>
        <w:t>Дт</w:t>
      </w:r>
      <w:proofErr w:type="spellEnd"/>
      <w:r w:rsidRPr="00A540BC">
        <w:rPr>
          <w:rFonts w:ascii="Times New Roman" w:eastAsia="Times New Roman" w:hAnsi="Times New Roman" w:cs="Times New Roman"/>
          <w:color w:val="000000"/>
          <w:sz w:val="23"/>
          <w:szCs w:val="23"/>
        </w:rPr>
        <w:t xml:space="preserve"> 73 із </w:t>
      </w:r>
      <w:proofErr w:type="spellStart"/>
      <w:r w:rsidRPr="00A540BC">
        <w:rPr>
          <w:rFonts w:ascii="Times New Roman" w:eastAsia="Times New Roman" w:hAnsi="Times New Roman" w:cs="Times New Roman"/>
          <w:color w:val="000000"/>
          <w:sz w:val="23"/>
          <w:szCs w:val="23"/>
        </w:rPr>
        <w:t>Кт</w:t>
      </w:r>
      <w:proofErr w:type="spellEnd"/>
      <w:r w:rsidRPr="00A540BC">
        <w:rPr>
          <w:rFonts w:ascii="Times New Roman" w:eastAsia="Times New Roman" w:hAnsi="Times New Roman" w:cs="Times New Roman"/>
          <w:color w:val="000000"/>
          <w:sz w:val="23"/>
          <w:szCs w:val="23"/>
        </w:rPr>
        <w:t xml:space="preserve"> 792. До фінансових доходів входять дивіденди, відсотки й інші доходи, отримані від фінансових інвестицій (окрім доходів, які обліковують за методом участі в капіталі) (п. 7 П(С)БО 15);</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 інші доходи (рядок 2240 форми № 2) — обороти за </w:t>
      </w:r>
      <w:proofErr w:type="spellStart"/>
      <w:r w:rsidRPr="00A540BC">
        <w:rPr>
          <w:rFonts w:ascii="Times New Roman" w:eastAsia="Times New Roman" w:hAnsi="Times New Roman" w:cs="Times New Roman"/>
          <w:color w:val="000000"/>
          <w:sz w:val="23"/>
          <w:szCs w:val="23"/>
        </w:rPr>
        <w:t>Дт</w:t>
      </w:r>
      <w:proofErr w:type="spellEnd"/>
      <w:r w:rsidRPr="00A540BC">
        <w:rPr>
          <w:rFonts w:ascii="Times New Roman" w:eastAsia="Times New Roman" w:hAnsi="Times New Roman" w:cs="Times New Roman"/>
          <w:color w:val="000000"/>
          <w:sz w:val="23"/>
          <w:szCs w:val="23"/>
        </w:rPr>
        <w:t xml:space="preserve"> 74 </w:t>
      </w:r>
      <w:proofErr w:type="spellStart"/>
      <w:r w:rsidRPr="00A540BC">
        <w:rPr>
          <w:rFonts w:ascii="Times New Roman" w:eastAsia="Times New Roman" w:hAnsi="Times New Roman" w:cs="Times New Roman"/>
          <w:color w:val="000000"/>
          <w:sz w:val="23"/>
          <w:szCs w:val="23"/>
        </w:rPr>
        <w:t>Кт</w:t>
      </w:r>
      <w:proofErr w:type="spellEnd"/>
      <w:r w:rsidRPr="00A540BC">
        <w:rPr>
          <w:rFonts w:ascii="Times New Roman" w:eastAsia="Times New Roman" w:hAnsi="Times New Roman" w:cs="Times New Roman"/>
          <w:color w:val="000000"/>
          <w:sz w:val="23"/>
          <w:szCs w:val="23"/>
        </w:rPr>
        <w:t xml:space="preserve"> 793.</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Та звернімо увагу, що податківці, окрім цих складових, воліють бачити ще й дохід від участі в капіталі! Підтвердженням слугує лист ДФС у м. Києві від 16.03.2016 р. </w:t>
      </w:r>
      <w:hyperlink r:id="rId30" w:tgtFrame="_blank" w:history="1">
        <w:r w:rsidRPr="00A540BC">
          <w:rPr>
            <w:rFonts w:ascii="Times New Roman" w:eastAsia="Times New Roman" w:hAnsi="Times New Roman" w:cs="Times New Roman"/>
            <w:color w:val="306D9C"/>
            <w:sz w:val="23"/>
            <w:u w:val="single"/>
          </w:rPr>
          <w:t>№ 6300/10/26-15-12-05-11</w:t>
        </w:r>
      </w:hyperlink>
      <w:r w:rsidRPr="00A540BC">
        <w:rPr>
          <w:rFonts w:ascii="Times New Roman" w:eastAsia="Times New Roman" w:hAnsi="Times New Roman" w:cs="Times New Roman"/>
          <w:color w:val="000000"/>
          <w:sz w:val="23"/>
          <w:szCs w:val="23"/>
        </w:rPr>
        <w:t>. Цитуймо:</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«Для визначення річного доходу від будь-якої діяльності (за вирахуванням непрямих податків), установленого за правилами бухгалтерського обліку, розраховується сумарне значення таких показників Звіту про фінансові результати (Звіту про сукупний дохід) Форма № 2: чистий дохід від реалізації продукції (товарів, робіт, послуг) (ряд. 2000), інші операційні доходи (ряд. 2120),</w:t>
      </w:r>
      <w:r w:rsidRPr="00A540BC">
        <w:rPr>
          <w:rFonts w:ascii="Times New Roman" w:eastAsia="Times New Roman" w:hAnsi="Times New Roman" w:cs="Times New Roman"/>
          <w:color w:val="000000"/>
          <w:sz w:val="23"/>
          <w:szCs w:val="23"/>
        </w:rPr>
        <w:t> </w:t>
      </w:r>
      <w:r w:rsidRPr="00A540BC">
        <w:rPr>
          <w:rFonts w:ascii="Times New Roman" w:eastAsia="Times New Roman" w:hAnsi="Times New Roman" w:cs="Times New Roman"/>
          <w:i/>
          <w:iCs/>
          <w:color w:val="000000"/>
          <w:sz w:val="23"/>
        </w:rPr>
        <w:t>дохід від участі в капіталі</w:t>
      </w:r>
      <w:r w:rsidRPr="00A540BC">
        <w:rPr>
          <w:rFonts w:ascii="Times New Roman" w:eastAsia="Times New Roman" w:hAnsi="Times New Roman" w:cs="Times New Roman"/>
          <w:color w:val="000000"/>
          <w:sz w:val="23"/>
          <w:szCs w:val="23"/>
        </w:rPr>
        <w:t> </w:t>
      </w:r>
      <w:r w:rsidRPr="00A540BC">
        <w:rPr>
          <w:rFonts w:ascii="Times New Roman" w:eastAsia="Times New Roman" w:hAnsi="Times New Roman" w:cs="Times New Roman"/>
          <w:i/>
          <w:iCs/>
          <w:color w:val="000000"/>
          <w:sz w:val="23"/>
        </w:rPr>
        <w:t>(ряд. 2200), інші фінансові доходи (ряд. 2220), інші доходи (ряд. 2240)»</w:t>
      </w:r>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Таке саме наповнення </w:t>
      </w:r>
      <w:proofErr w:type="spellStart"/>
      <w:r w:rsidRPr="00A540BC">
        <w:rPr>
          <w:rFonts w:ascii="Times New Roman" w:eastAsia="Times New Roman" w:hAnsi="Times New Roman" w:cs="Times New Roman"/>
          <w:color w:val="000000"/>
          <w:sz w:val="23"/>
          <w:szCs w:val="23"/>
        </w:rPr>
        <w:t>бухдоходу</w:t>
      </w:r>
      <w:proofErr w:type="spellEnd"/>
      <w:r w:rsidRPr="00A540BC">
        <w:rPr>
          <w:rFonts w:ascii="Times New Roman" w:eastAsia="Times New Roman" w:hAnsi="Times New Roman" w:cs="Times New Roman"/>
          <w:color w:val="000000"/>
          <w:sz w:val="23"/>
          <w:szCs w:val="23"/>
        </w:rPr>
        <w:t xml:space="preserve"> наведено й у листі ДФС від 10.02.2016 р. </w:t>
      </w:r>
      <w:hyperlink r:id="rId31" w:tgtFrame="_blank" w:history="1">
        <w:r w:rsidRPr="00A540BC">
          <w:rPr>
            <w:rFonts w:ascii="Times New Roman" w:eastAsia="Times New Roman" w:hAnsi="Times New Roman" w:cs="Times New Roman"/>
            <w:color w:val="306D9C"/>
            <w:sz w:val="23"/>
            <w:u w:val="single"/>
          </w:rPr>
          <w:t>№ 2716/6/99-99-19-02-02-15</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Отже, для заповнення рядка 01 декларації беруть суму рядків 2000, 2120, 2220, 2240 (на думку контролерів — ще й ряд. 2200) із форми № 2. Для «малюків», що звітують за формами 2-м або № 2-мс, дані беруть із рядка 2280. Тим часом форму № 2 заповнюють у тис.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(форми № 2-м та № 2-мс — у тис.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з одним десятковим знаком) з відповідним заокругленням, а декларацію — у грн. </w:t>
      </w:r>
      <w:r w:rsidRPr="00A540BC">
        <w:rPr>
          <w:rFonts w:ascii="Times New Roman" w:eastAsia="Times New Roman" w:hAnsi="Times New Roman" w:cs="Times New Roman"/>
          <w:b/>
          <w:bCs/>
          <w:color w:val="000000"/>
          <w:sz w:val="23"/>
        </w:rPr>
        <w:t xml:space="preserve">Тож із цих рядків </w:t>
      </w:r>
      <w:proofErr w:type="spellStart"/>
      <w:r w:rsidRPr="00A540BC">
        <w:rPr>
          <w:rFonts w:ascii="Times New Roman" w:eastAsia="Times New Roman" w:hAnsi="Times New Roman" w:cs="Times New Roman"/>
          <w:b/>
          <w:bCs/>
          <w:color w:val="000000"/>
          <w:sz w:val="23"/>
        </w:rPr>
        <w:t>фінзвітності</w:t>
      </w:r>
      <w:proofErr w:type="spellEnd"/>
      <w:r w:rsidRPr="00A540BC">
        <w:rPr>
          <w:rFonts w:ascii="Times New Roman" w:eastAsia="Times New Roman" w:hAnsi="Times New Roman" w:cs="Times New Roman"/>
          <w:b/>
          <w:bCs/>
          <w:color w:val="000000"/>
          <w:sz w:val="23"/>
        </w:rPr>
        <w:t xml:space="preserve"> треба взяти суму в гривнях іще до округлення, та саме її записати в рядок 01 декларації</w:t>
      </w:r>
      <w:r w:rsidRPr="00A540BC">
        <w:rPr>
          <w:rFonts w:ascii="Times New Roman" w:eastAsia="Times New Roman" w:hAnsi="Times New Roman" w:cs="Times New Roman"/>
          <w:color w:val="000000"/>
          <w:sz w:val="23"/>
          <w:szCs w:val="23"/>
        </w:rPr>
        <w:t>.</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02</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612"/>
        <w:gridCol w:w="1477"/>
      </w:tblGrid>
      <w:tr w:rsidR="00A540BC" w:rsidRPr="00A540BC" w:rsidTr="00A540BC">
        <w:tc>
          <w:tcPr>
            <w:tcW w:w="822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Фінансовий результат до оподаткування (прибуток або збиток), визначений у фінансовій звітності відповідно до національних положень (стандартів) бухгалтерського обліку чи міжнародних стандартів фінансової звітності (+, -)</w:t>
            </w:r>
          </w:p>
        </w:tc>
        <w:tc>
          <w:tcPr>
            <w:tcW w:w="141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02</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Дані для заповнення рядка 02 декларації слід брати з рядка 2290 або рядка 2295 ф. № 2, або рядка 2290 ф. № 2-м, ф. 2-мс. Якщо прибуток, то записують із додатним значенням, а якщо збиток — зі знаком «–».</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proofErr w:type="spellStart"/>
      <w:r w:rsidRPr="00A540BC">
        <w:rPr>
          <w:rFonts w:ascii="Times New Roman" w:eastAsia="Times New Roman" w:hAnsi="Times New Roman" w:cs="Times New Roman"/>
          <w:color w:val="000000"/>
          <w:sz w:val="23"/>
          <w:szCs w:val="23"/>
        </w:rPr>
        <w:t>Формe</w:t>
      </w:r>
      <w:proofErr w:type="spellEnd"/>
      <w:r w:rsidRPr="00A540BC">
        <w:rPr>
          <w:rFonts w:ascii="Times New Roman" w:eastAsia="Times New Roman" w:hAnsi="Times New Roman" w:cs="Times New Roman"/>
          <w:color w:val="000000"/>
          <w:sz w:val="23"/>
          <w:szCs w:val="23"/>
        </w:rPr>
        <w:t xml:space="preserve"> № 2 заповнюють у тисячах гривень із відповідним округленням (для суб’єктів малого підприємництва, що звітують за формами з </w:t>
      </w:r>
      <w:hyperlink r:id="rId32" w:tgtFrame="_blank" w:history="1">
        <w:r w:rsidRPr="00A540BC">
          <w:rPr>
            <w:rFonts w:ascii="Times New Roman" w:eastAsia="Times New Roman" w:hAnsi="Times New Roman" w:cs="Times New Roman"/>
            <w:color w:val="306D9C"/>
            <w:sz w:val="23"/>
            <w:u w:val="single"/>
          </w:rPr>
          <w:t>НП(С)БО 25</w:t>
        </w:r>
      </w:hyperlink>
      <w:r w:rsidRPr="00A540BC">
        <w:rPr>
          <w:rFonts w:ascii="Times New Roman" w:eastAsia="Times New Roman" w:hAnsi="Times New Roman" w:cs="Times New Roman"/>
          <w:color w:val="000000"/>
          <w:sz w:val="23"/>
          <w:szCs w:val="23"/>
        </w:rPr>
        <w:t xml:space="preserve">, — у тис.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з одним десятковим знаком), а декларація — у грн.</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Отже, </w:t>
      </w:r>
      <w:r w:rsidRPr="00A540BC">
        <w:rPr>
          <w:rFonts w:ascii="Times New Roman" w:eastAsia="Times New Roman" w:hAnsi="Times New Roman" w:cs="Times New Roman"/>
          <w:b/>
          <w:bCs/>
          <w:color w:val="000000"/>
          <w:sz w:val="23"/>
        </w:rPr>
        <w:t xml:space="preserve">із </w:t>
      </w:r>
      <w:proofErr w:type="spellStart"/>
      <w:r w:rsidRPr="00A540BC">
        <w:rPr>
          <w:rFonts w:ascii="Times New Roman" w:eastAsia="Times New Roman" w:hAnsi="Times New Roman" w:cs="Times New Roman"/>
          <w:b/>
          <w:bCs/>
          <w:color w:val="000000"/>
          <w:sz w:val="23"/>
        </w:rPr>
        <w:t>фінзвітності</w:t>
      </w:r>
      <w:proofErr w:type="spellEnd"/>
      <w:r w:rsidRPr="00A540BC">
        <w:rPr>
          <w:rFonts w:ascii="Times New Roman" w:eastAsia="Times New Roman" w:hAnsi="Times New Roman" w:cs="Times New Roman"/>
          <w:b/>
          <w:bCs/>
          <w:color w:val="000000"/>
          <w:sz w:val="23"/>
        </w:rPr>
        <w:t xml:space="preserve"> треба взяти суму прибутку (чи збитку) у гривнях іще до заокруглення, і саме її записати в рядок 02 декларації</w:t>
      </w:r>
      <w:r w:rsidRPr="00A540BC">
        <w:rPr>
          <w:rFonts w:ascii="Times New Roman" w:eastAsia="Times New Roman" w:hAnsi="Times New Roman" w:cs="Times New Roman"/>
          <w:color w:val="000000"/>
          <w:sz w:val="23"/>
          <w:szCs w:val="23"/>
        </w:rPr>
        <w:t>.</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03 РІ</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612"/>
        <w:gridCol w:w="1477"/>
      </w:tblGrid>
      <w:tr w:rsidR="00A540BC" w:rsidRPr="00A540BC" w:rsidTr="00A540BC">
        <w:tc>
          <w:tcPr>
            <w:tcW w:w="822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Різниці, які виникають відповідно до Податкового кодексу України (+, -)</w:t>
            </w:r>
          </w:p>
        </w:tc>
        <w:tc>
          <w:tcPr>
            <w:tcW w:w="141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righ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03 РІ</w:t>
            </w:r>
          </w:p>
        </w:tc>
      </w:tr>
    </w:tbl>
    <w:p w:rsidR="00A540BC" w:rsidRPr="00A540BC" w:rsidRDefault="00A540BC" w:rsidP="00A540BC">
      <w:pPr>
        <w:spacing w:after="0" w:line="285" w:lineRule="atLeast"/>
        <w:jc w:val="both"/>
        <w:textAlignment w:val="baseline"/>
        <w:rPr>
          <w:rFonts w:ascii="Arial" w:eastAsia="Times New Roman" w:hAnsi="Arial" w:cs="Arial"/>
          <w:b/>
          <w:bCs/>
          <w:i/>
          <w:iCs/>
          <w:color w:val="006838"/>
          <w:sz w:val="23"/>
          <w:szCs w:val="23"/>
        </w:rPr>
      </w:pPr>
      <w:r w:rsidRPr="00A540BC">
        <w:rPr>
          <w:rFonts w:ascii="Arial" w:eastAsia="Times New Roman" w:hAnsi="Arial" w:cs="Arial"/>
          <w:b/>
          <w:bCs/>
          <w:i/>
          <w:iCs/>
          <w:color w:val="006838"/>
          <w:sz w:val="23"/>
        </w:rPr>
        <w:t>Нагадаємо</w:t>
      </w:r>
    </w:p>
    <w:p w:rsidR="00A540BC" w:rsidRPr="00A540BC" w:rsidRDefault="00A540BC" w:rsidP="00A540BC">
      <w:pPr>
        <w:spacing w:line="285" w:lineRule="atLeast"/>
        <w:jc w:val="both"/>
        <w:textAlignment w:val="baseline"/>
        <w:rPr>
          <w:rFonts w:ascii="Arial" w:eastAsia="Times New Roman" w:hAnsi="Arial" w:cs="Arial"/>
          <w:i/>
          <w:iCs/>
          <w:color w:val="006838"/>
          <w:sz w:val="23"/>
          <w:szCs w:val="23"/>
        </w:rPr>
      </w:pPr>
      <w:r w:rsidRPr="00A540BC">
        <w:rPr>
          <w:rFonts w:ascii="Arial" w:eastAsia="Times New Roman" w:hAnsi="Arial" w:cs="Arial"/>
          <w:i/>
          <w:iCs/>
          <w:color w:val="006838"/>
          <w:sz w:val="23"/>
          <w:szCs w:val="23"/>
        </w:rPr>
        <w:lastRenderedPageBreak/>
        <w:t xml:space="preserve">Базу з податку на прибуток визначають як </w:t>
      </w:r>
      <w:proofErr w:type="spellStart"/>
      <w:r w:rsidRPr="00A540BC">
        <w:rPr>
          <w:rFonts w:ascii="Arial" w:eastAsia="Times New Roman" w:hAnsi="Arial" w:cs="Arial"/>
          <w:i/>
          <w:iCs/>
          <w:color w:val="006838"/>
          <w:sz w:val="23"/>
          <w:szCs w:val="23"/>
        </w:rPr>
        <w:t>бухфінрезультат</w:t>
      </w:r>
      <w:proofErr w:type="spellEnd"/>
      <w:r w:rsidRPr="00A540BC">
        <w:rPr>
          <w:rFonts w:ascii="Arial" w:eastAsia="Times New Roman" w:hAnsi="Arial" w:cs="Arial"/>
          <w:i/>
          <w:iCs/>
          <w:color w:val="006838"/>
          <w:sz w:val="23"/>
          <w:szCs w:val="23"/>
        </w:rPr>
        <w:t xml:space="preserve"> плюс/мінус різниці. Проте платники, що мають дохід (рядок 01 декларації) не більш ніж 20 </w:t>
      </w:r>
      <w:proofErr w:type="spellStart"/>
      <w:r w:rsidRPr="00A540BC">
        <w:rPr>
          <w:rFonts w:ascii="Arial" w:eastAsia="Times New Roman" w:hAnsi="Arial" w:cs="Arial"/>
          <w:i/>
          <w:iCs/>
          <w:color w:val="006838"/>
          <w:sz w:val="23"/>
          <w:szCs w:val="23"/>
        </w:rPr>
        <w:t>млн</w:t>
      </w:r>
      <w:proofErr w:type="spellEnd"/>
      <w:r w:rsidRPr="00A540BC">
        <w:rPr>
          <w:rFonts w:ascii="Arial" w:eastAsia="Times New Roman" w:hAnsi="Arial" w:cs="Arial"/>
          <w:i/>
          <w:iCs/>
          <w:color w:val="006838"/>
          <w:sz w:val="23"/>
          <w:szCs w:val="23"/>
        </w:rPr>
        <w:t xml:space="preserve"> </w:t>
      </w:r>
      <w:proofErr w:type="spellStart"/>
      <w:r w:rsidRPr="00A540BC">
        <w:rPr>
          <w:rFonts w:ascii="Arial" w:eastAsia="Times New Roman" w:hAnsi="Arial" w:cs="Arial"/>
          <w:i/>
          <w:iCs/>
          <w:color w:val="006838"/>
          <w:sz w:val="23"/>
          <w:szCs w:val="23"/>
        </w:rPr>
        <w:t>грн</w:t>
      </w:r>
      <w:proofErr w:type="spellEnd"/>
      <w:r w:rsidRPr="00A540BC">
        <w:rPr>
          <w:rFonts w:ascii="Arial" w:eastAsia="Times New Roman" w:hAnsi="Arial" w:cs="Arial"/>
          <w:i/>
          <w:iCs/>
          <w:color w:val="006838"/>
          <w:sz w:val="23"/>
          <w:szCs w:val="23"/>
        </w:rPr>
        <w:t>, мають право не застосовувати різниць із р. ІІІ ПКУ (окрім податкового збитку минулих періодів) (п. 134.1 </w:t>
      </w:r>
      <w:hyperlink r:id="rId33" w:tgtFrame="_blank" w:history="1">
        <w:r w:rsidRPr="00A540BC">
          <w:rPr>
            <w:rFonts w:ascii="Arial" w:eastAsia="Times New Roman" w:hAnsi="Arial" w:cs="Arial"/>
            <w:i/>
            <w:iCs/>
            <w:color w:val="306D9C"/>
            <w:sz w:val="23"/>
            <w:u w:val="single"/>
          </w:rPr>
          <w:t>ПКУ</w:t>
        </w:r>
      </w:hyperlink>
      <w:r w:rsidRPr="00A540BC">
        <w:rPr>
          <w:rFonts w:ascii="Arial" w:eastAsia="Times New Roman" w:hAnsi="Arial" w:cs="Arial"/>
          <w:i/>
          <w:iCs/>
          <w:color w:val="006838"/>
          <w:sz w:val="23"/>
          <w:szCs w:val="23"/>
        </w:rPr>
        <w:t>). Про відмову від застосування різниць вони зазначають у декларації в окремому полі. Проте важливо, що відмовитися вони можуть саме від різниць із р. ІІІ </w:t>
      </w:r>
      <w:hyperlink r:id="rId34" w:tgtFrame="_blank" w:history="1">
        <w:r w:rsidRPr="00A540BC">
          <w:rPr>
            <w:rFonts w:ascii="Arial" w:eastAsia="Times New Roman" w:hAnsi="Arial" w:cs="Arial"/>
            <w:i/>
            <w:iCs/>
            <w:color w:val="306D9C"/>
            <w:sz w:val="23"/>
            <w:u w:val="single"/>
          </w:rPr>
          <w:t>ПКУ</w:t>
        </w:r>
      </w:hyperlink>
      <w:r w:rsidRPr="00A540BC">
        <w:rPr>
          <w:rFonts w:ascii="Arial" w:eastAsia="Times New Roman" w:hAnsi="Arial" w:cs="Arial"/>
          <w:i/>
          <w:iCs/>
          <w:color w:val="006838"/>
          <w:sz w:val="23"/>
          <w:szCs w:val="23"/>
        </w:rPr>
        <w:t> (окрім збитку попередніх періодів), а різниці з перехідних правил підрозділу 4 р. ХХ </w:t>
      </w:r>
      <w:hyperlink r:id="rId35" w:tgtFrame="_blank" w:history="1">
        <w:r w:rsidRPr="00A540BC">
          <w:rPr>
            <w:rFonts w:ascii="Arial" w:eastAsia="Times New Roman" w:hAnsi="Arial" w:cs="Arial"/>
            <w:i/>
            <w:iCs/>
            <w:color w:val="306D9C"/>
            <w:sz w:val="23"/>
            <w:u w:val="single"/>
          </w:rPr>
          <w:t>ПКУ</w:t>
        </w:r>
      </w:hyperlink>
      <w:r w:rsidRPr="00A540BC">
        <w:rPr>
          <w:rFonts w:ascii="Arial" w:eastAsia="Times New Roman" w:hAnsi="Arial" w:cs="Arial"/>
          <w:i/>
          <w:iCs/>
          <w:color w:val="006838"/>
          <w:sz w:val="23"/>
          <w:szCs w:val="23"/>
        </w:rPr>
        <w:t> та з р. ІІ їм слід використовувати.</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Різниці показують в окремому додатку РІ. У додатку окремо згруповано різниці — як із р. ІІІ, так і з інших розділів. Тож, додаток РІ заповнюють не лише ті, у кого дохід становить понад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а й ті, хто має дохід менш ніж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і вирішив не застосовувати різниць із р. ІІІ </w:t>
      </w:r>
      <w:hyperlink r:id="rId36"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(скажімо, та ж різниця — від’ємне значення об’єкта оподаткування попереднього звітного періоду).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Звісно, додаток РІ заповнюють, </w:t>
      </w:r>
      <w:r w:rsidRPr="00A540BC">
        <w:rPr>
          <w:rFonts w:ascii="Times New Roman" w:eastAsia="Times New Roman" w:hAnsi="Times New Roman" w:cs="Times New Roman"/>
          <w:b/>
          <w:bCs/>
          <w:color w:val="000000"/>
          <w:sz w:val="23"/>
        </w:rPr>
        <w:t>якщо є хоча б одна з різниць</w:t>
      </w:r>
      <w:r w:rsidRPr="00A540BC">
        <w:rPr>
          <w:rFonts w:ascii="Times New Roman" w:eastAsia="Times New Roman" w:hAnsi="Times New Roman" w:cs="Times New Roman"/>
          <w:color w:val="000000"/>
          <w:sz w:val="23"/>
          <w:szCs w:val="23"/>
        </w:rPr>
        <w:t>. Адже якщо додаток РІ порожній, то заповнювати його й, відповідно, рядок 03 РІ не потрібно.</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Про заповнення додатка РІ й особливості його складання читайте в публікації </w:t>
      </w:r>
      <w:hyperlink r:id="rId37" w:tgtFrame="_blank" w:history="1">
        <w:r w:rsidRPr="00A540BC">
          <w:rPr>
            <w:rFonts w:ascii="Times New Roman" w:eastAsia="Times New Roman" w:hAnsi="Times New Roman" w:cs="Times New Roman"/>
            <w:b/>
            <w:bCs/>
            <w:color w:val="306D9C"/>
            <w:sz w:val="23"/>
            <w:u w:val="single"/>
          </w:rPr>
          <w:t>«Додаток РІ: різниці з податку на прибуток»</w:t>
        </w:r>
        <w:r w:rsidRPr="00A540BC">
          <w:rPr>
            <w:rFonts w:ascii="Times New Roman" w:eastAsia="Times New Roman" w:hAnsi="Times New Roman" w:cs="Times New Roman"/>
            <w:color w:val="306D9C"/>
            <w:sz w:val="23"/>
            <w:u w:val="single"/>
          </w:rPr>
          <w:t>.</w:t>
        </w:r>
      </w:hyperlink>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А зараз для розуміння, кому які різниці за групами можуть «перепасти», пропонуємо ознайомитися з таблицею.</w:t>
      </w:r>
    </w:p>
    <w:p w:rsidR="00A540BC" w:rsidRPr="00A540BC" w:rsidRDefault="00A540BC" w:rsidP="00A540BC">
      <w:pPr>
        <w:spacing w:after="0"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Таблиця</w:t>
      </w:r>
    </w:p>
    <w:p w:rsidR="00A540BC" w:rsidRPr="00A540BC" w:rsidRDefault="00A540BC" w:rsidP="00A540BC">
      <w:pPr>
        <w:spacing w:line="285" w:lineRule="atLeast"/>
        <w:ind w:firstLine="450"/>
        <w:jc w:val="center"/>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Різниці, які застосовують різні категорії платників</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4819"/>
        <w:gridCol w:w="4820"/>
      </w:tblGrid>
      <w:tr w:rsidR="00A540BC" w:rsidRPr="00A540BC" w:rsidTr="00A540BC">
        <w:trPr>
          <w:tblHeader/>
        </w:trPr>
        <w:tc>
          <w:tcPr>
            <w:tcW w:w="4815" w:type="dxa"/>
            <w:tcBorders>
              <w:top w:val="nil"/>
              <w:left w:val="nil"/>
              <w:bottom w:val="nil"/>
              <w:right w:val="nil"/>
            </w:tcBorders>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b/>
                <w:bCs/>
                <w:sz w:val="21"/>
                <w:szCs w:val="21"/>
              </w:rPr>
            </w:pPr>
            <w:r w:rsidRPr="00A540BC">
              <w:rPr>
                <w:rFonts w:ascii="Times New Roman" w:eastAsia="Times New Roman" w:hAnsi="Times New Roman" w:cs="Times New Roman"/>
                <w:b/>
                <w:bCs/>
                <w:sz w:val="21"/>
              </w:rPr>
              <w:t>Платники, які зобов’язані використовувати різниці, оскільки:</w:t>
            </w:r>
          </w:p>
          <w:p w:rsidR="00A540BC" w:rsidRPr="00A540BC" w:rsidRDefault="00A540BC" w:rsidP="00A540BC">
            <w:pPr>
              <w:spacing w:after="0" w:line="255" w:lineRule="atLeast"/>
              <w:jc w:val="center"/>
              <w:textAlignment w:val="baseline"/>
              <w:rPr>
                <w:rFonts w:ascii="Times New Roman" w:eastAsia="Times New Roman" w:hAnsi="Times New Roman" w:cs="Times New Roman"/>
                <w:b/>
                <w:bCs/>
                <w:sz w:val="21"/>
                <w:szCs w:val="21"/>
              </w:rPr>
            </w:pPr>
            <w:r w:rsidRPr="00A540BC">
              <w:rPr>
                <w:rFonts w:ascii="Times New Roman" w:eastAsia="Times New Roman" w:hAnsi="Times New Roman" w:cs="Times New Roman"/>
                <w:b/>
                <w:bCs/>
                <w:sz w:val="21"/>
              </w:rPr>
              <w:t xml:space="preserve">1) мають дохід понад 20 </w:t>
            </w:r>
            <w:proofErr w:type="spellStart"/>
            <w:r w:rsidRPr="00A540BC">
              <w:rPr>
                <w:rFonts w:ascii="Times New Roman" w:eastAsia="Times New Roman" w:hAnsi="Times New Roman" w:cs="Times New Roman"/>
                <w:b/>
                <w:bCs/>
                <w:sz w:val="21"/>
              </w:rPr>
              <w:t>млн</w:t>
            </w:r>
            <w:proofErr w:type="spellEnd"/>
            <w:r w:rsidRPr="00A540BC">
              <w:rPr>
                <w:rFonts w:ascii="Times New Roman" w:eastAsia="Times New Roman" w:hAnsi="Times New Roman" w:cs="Times New Roman"/>
                <w:b/>
                <w:bCs/>
                <w:sz w:val="21"/>
              </w:rPr>
              <w:t xml:space="preserve"> </w:t>
            </w:r>
            <w:proofErr w:type="spellStart"/>
            <w:r w:rsidRPr="00A540BC">
              <w:rPr>
                <w:rFonts w:ascii="Times New Roman" w:eastAsia="Times New Roman" w:hAnsi="Times New Roman" w:cs="Times New Roman"/>
                <w:b/>
                <w:bCs/>
                <w:sz w:val="21"/>
              </w:rPr>
              <w:t>грн</w:t>
            </w:r>
            <w:proofErr w:type="spellEnd"/>
            <w:r w:rsidRPr="00A540BC">
              <w:rPr>
                <w:rFonts w:ascii="Times New Roman" w:eastAsia="Times New Roman" w:hAnsi="Times New Roman" w:cs="Times New Roman"/>
                <w:b/>
                <w:bCs/>
                <w:sz w:val="21"/>
              </w:rPr>
              <w:t>;</w:t>
            </w:r>
          </w:p>
          <w:p w:rsidR="00A540BC" w:rsidRPr="00A540BC" w:rsidRDefault="00A540BC" w:rsidP="00A540BC">
            <w:pPr>
              <w:spacing w:after="0" w:line="255" w:lineRule="atLeast"/>
              <w:jc w:val="center"/>
              <w:textAlignment w:val="baseline"/>
              <w:rPr>
                <w:rFonts w:ascii="Times New Roman" w:eastAsia="Times New Roman" w:hAnsi="Times New Roman" w:cs="Times New Roman"/>
                <w:b/>
                <w:bCs/>
                <w:sz w:val="21"/>
                <w:szCs w:val="21"/>
              </w:rPr>
            </w:pPr>
            <w:r w:rsidRPr="00A540BC">
              <w:rPr>
                <w:rFonts w:ascii="Times New Roman" w:eastAsia="Times New Roman" w:hAnsi="Times New Roman" w:cs="Times New Roman"/>
                <w:b/>
                <w:bCs/>
                <w:sz w:val="21"/>
              </w:rPr>
              <w:t xml:space="preserve">2) мають дохід не більш ніж 20 </w:t>
            </w:r>
            <w:proofErr w:type="spellStart"/>
            <w:r w:rsidRPr="00A540BC">
              <w:rPr>
                <w:rFonts w:ascii="Times New Roman" w:eastAsia="Times New Roman" w:hAnsi="Times New Roman" w:cs="Times New Roman"/>
                <w:b/>
                <w:bCs/>
                <w:sz w:val="21"/>
              </w:rPr>
              <w:t>млн</w:t>
            </w:r>
            <w:proofErr w:type="spellEnd"/>
            <w:r w:rsidRPr="00A540BC">
              <w:rPr>
                <w:rFonts w:ascii="Times New Roman" w:eastAsia="Times New Roman" w:hAnsi="Times New Roman" w:cs="Times New Roman"/>
                <w:b/>
                <w:bCs/>
                <w:sz w:val="21"/>
              </w:rPr>
              <w:t xml:space="preserve"> </w:t>
            </w:r>
            <w:proofErr w:type="spellStart"/>
            <w:r w:rsidRPr="00A540BC">
              <w:rPr>
                <w:rFonts w:ascii="Times New Roman" w:eastAsia="Times New Roman" w:hAnsi="Times New Roman" w:cs="Times New Roman"/>
                <w:b/>
                <w:bCs/>
                <w:sz w:val="21"/>
              </w:rPr>
              <w:t>грн</w:t>
            </w:r>
            <w:proofErr w:type="spellEnd"/>
            <w:r w:rsidRPr="00A540BC">
              <w:rPr>
                <w:rFonts w:ascii="Times New Roman" w:eastAsia="Times New Roman" w:hAnsi="Times New Roman" w:cs="Times New Roman"/>
                <w:b/>
                <w:bCs/>
                <w:sz w:val="21"/>
              </w:rPr>
              <w:t>, але не відмовилися від різниць (не поставили відмітку в декларації про відмову)</w:t>
            </w:r>
          </w:p>
        </w:tc>
        <w:tc>
          <w:tcPr>
            <w:tcW w:w="4815" w:type="dxa"/>
            <w:tcBorders>
              <w:top w:val="nil"/>
              <w:left w:val="nil"/>
              <w:bottom w:val="nil"/>
              <w:right w:val="nil"/>
            </w:tcBorders>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b/>
                <w:bCs/>
                <w:sz w:val="21"/>
                <w:szCs w:val="21"/>
              </w:rPr>
            </w:pPr>
            <w:r w:rsidRPr="00A540BC">
              <w:rPr>
                <w:rFonts w:ascii="Times New Roman" w:eastAsia="Times New Roman" w:hAnsi="Times New Roman" w:cs="Times New Roman"/>
                <w:b/>
                <w:bCs/>
                <w:sz w:val="21"/>
              </w:rPr>
              <w:t xml:space="preserve">Платники, які мають дохід не більш ніж 20 </w:t>
            </w:r>
            <w:proofErr w:type="spellStart"/>
            <w:r w:rsidRPr="00A540BC">
              <w:rPr>
                <w:rFonts w:ascii="Times New Roman" w:eastAsia="Times New Roman" w:hAnsi="Times New Roman" w:cs="Times New Roman"/>
                <w:b/>
                <w:bCs/>
                <w:sz w:val="21"/>
              </w:rPr>
              <w:t>млн</w:t>
            </w:r>
            <w:proofErr w:type="spellEnd"/>
            <w:r w:rsidRPr="00A540BC">
              <w:rPr>
                <w:rFonts w:ascii="Times New Roman" w:eastAsia="Times New Roman" w:hAnsi="Times New Roman" w:cs="Times New Roman"/>
                <w:b/>
                <w:bCs/>
                <w:sz w:val="21"/>
              </w:rPr>
              <w:t xml:space="preserve"> </w:t>
            </w:r>
            <w:proofErr w:type="spellStart"/>
            <w:r w:rsidRPr="00A540BC">
              <w:rPr>
                <w:rFonts w:ascii="Times New Roman" w:eastAsia="Times New Roman" w:hAnsi="Times New Roman" w:cs="Times New Roman"/>
                <w:b/>
                <w:bCs/>
                <w:sz w:val="21"/>
              </w:rPr>
              <w:t>грн</w:t>
            </w:r>
            <w:proofErr w:type="spellEnd"/>
            <w:r w:rsidRPr="00A540BC">
              <w:rPr>
                <w:rFonts w:ascii="Times New Roman" w:eastAsia="Times New Roman" w:hAnsi="Times New Roman" w:cs="Times New Roman"/>
                <w:b/>
                <w:bCs/>
                <w:sz w:val="21"/>
              </w:rPr>
              <w:t xml:space="preserve"> і відмовилися від застосування різниць (поставили відмітку в декларації)</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1. Різниці, які виникають під час нарахування амортизації необоротних активів (ст. 138 р. III </w:t>
            </w:r>
            <w:hyperlink r:id="rId38"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i/>
                <w:iCs/>
                <w:sz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2. Різниці, які виникають під час формування резервів (забезпечень) (ст.ст. 139, 141 р. III </w:t>
            </w:r>
            <w:hyperlink r:id="rId39"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i/>
                <w:iCs/>
                <w:sz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3. Різниці, які виникають під час здійснення фінансових операцій (ст. 140 </w:t>
            </w:r>
            <w:hyperlink r:id="rId40"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Застосовують лише одну різницю з групи т.зв. «фінансових різниць» зі ст. 140 </w:t>
            </w:r>
            <w:hyperlink r:id="rId41"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 xml:space="preserve">: </w:t>
            </w:r>
            <w:proofErr w:type="spellStart"/>
            <w:r w:rsidRPr="00A540BC">
              <w:rPr>
                <w:rFonts w:ascii="Times New Roman" w:eastAsia="Times New Roman" w:hAnsi="Times New Roman" w:cs="Times New Roman"/>
                <w:sz w:val="21"/>
                <w:szCs w:val="21"/>
              </w:rPr>
              <w:t>бухфінрезультат</w:t>
            </w:r>
            <w:proofErr w:type="spellEnd"/>
            <w:r w:rsidRPr="00A540BC">
              <w:rPr>
                <w:rFonts w:ascii="Times New Roman" w:eastAsia="Times New Roman" w:hAnsi="Times New Roman" w:cs="Times New Roman"/>
                <w:sz w:val="21"/>
                <w:szCs w:val="21"/>
              </w:rPr>
              <w:t xml:space="preserve"> до оподаткування зменшують на суму від’ємного значення об’єкта оподаткування минулих податкових (звітних) років (пп. 140.4.2 п. 140.4 ст. 140 р. III </w:t>
            </w:r>
            <w:hyperlink r:id="rId42" w:tgtFrame="_blank" w:history="1">
              <w:r w:rsidRPr="00A540BC">
                <w:rPr>
                  <w:rFonts w:ascii="Times New Roman" w:eastAsia="Times New Roman" w:hAnsi="Times New Roman" w:cs="Times New Roman"/>
                  <w:color w:val="306D9C"/>
                  <w:sz w:val="21"/>
                  <w:u w:val="single"/>
                </w:rPr>
                <w:t>ПКУ</w:t>
              </w:r>
            </w:hyperlink>
          </w:p>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4. Інші різниці:</w:t>
            </w:r>
          </w:p>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Страхові резерви страховиків (ст. 141 р. III </w:t>
            </w:r>
            <w:hyperlink r:id="rId43"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4. Інші різниці:</w:t>
            </w:r>
          </w:p>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i/>
                <w:iCs/>
                <w:sz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Різниці щодо операцій із продажу чи іншого відчуження цінних паперів (ст. 141 р. III </w:t>
            </w:r>
            <w:hyperlink r:id="rId44"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i/>
                <w:iCs/>
                <w:sz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Інші різниці, передбачені р. III ПКУ</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i/>
                <w:iCs/>
                <w:sz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Різниці, передбачені р. I ПКУ</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w:t>
            </w:r>
          </w:p>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i/>
                <w:iCs/>
                <w:sz w:val="21"/>
              </w:rPr>
              <w:t>Зауважимо</w:t>
            </w:r>
            <w:r w:rsidRPr="00A540BC">
              <w:rPr>
                <w:rFonts w:ascii="Times New Roman" w:eastAsia="Times New Roman" w:hAnsi="Times New Roman" w:cs="Times New Roman"/>
                <w:sz w:val="21"/>
                <w:szCs w:val="21"/>
              </w:rPr>
              <w:t xml:space="preserve">: різниця з р. І ПКУ стосується трансфертних цін. А якщо платник має дохід до </w:t>
            </w:r>
            <w:r w:rsidRPr="00A540BC">
              <w:rPr>
                <w:rFonts w:ascii="Times New Roman" w:eastAsia="Times New Roman" w:hAnsi="Times New Roman" w:cs="Times New Roman"/>
                <w:sz w:val="21"/>
                <w:szCs w:val="21"/>
              </w:rPr>
              <w:lastRenderedPageBreak/>
              <w:t xml:space="preserve">20 </w:t>
            </w:r>
            <w:proofErr w:type="spellStart"/>
            <w:r w:rsidRPr="00A540BC">
              <w:rPr>
                <w:rFonts w:ascii="Times New Roman" w:eastAsia="Times New Roman" w:hAnsi="Times New Roman" w:cs="Times New Roman"/>
                <w:sz w:val="21"/>
                <w:szCs w:val="21"/>
              </w:rPr>
              <w:t>млн</w:t>
            </w:r>
            <w:proofErr w:type="spellEnd"/>
            <w:r w:rsidRPr="00A540BC">
              <w:rPr>
                <w:rFonts w:ascii="Times New Roman" w:eastAsia="Times New Roman" w:hAnsi="Times New Roman" w:cs="Times New Roman"/>
                <w:sz w:val="21"/>
                <w:szCs w:val="21"/>
              </w:rPr>
              <w:t xml:space="preserve"> </w:t>
            </w:r>
            <w:proofErr w:type="spellStart"/>
            <w:r w:rsidRPr="00A540BC">
              <w:rPr>
                <w:rFonts w:ascii="Times New Roman" w:eastAsia="Times New Roman" w:hAnsi="Times New Roman" w:cs="Times New Roman"/>
                <w:sz w:val="21"/>
                <w:szCs w:val="21"/>
              </w:rPr>
              <w:t>грн</w:t>
            </w:r>
            <w:proofErr w:type="spellEnd"/>
            <w:r w:rsidRPr="00A540BC">
              <w:rPr>
                <w:rFonts w:ascii="Times New Roman" w:eastAsia="Times New Roman" w:hAnsi="Times New Roman" w:cs="Times New Roman"/>
                <w:sz w:val="21"/>
                <w:szCs w:val="21"/>
              </w:rPr>
              <w:t>, то трансфертні ціни для нього не спрацьовують</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Різниці, передбачені р. II ПКУ</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xml:space="preserve">Застосовують різницю з р. ІІ. Вона тут одна й передбачає, що </w:t>
            </w:r>
            <w:proofErr w:type="spellStart"/>
            <w:r w:rsidRPr="00A540BC">
              <w:rPr>
                <w:rFonts w:ascii="Times New Roman" w:eastAsia="Times New Roman" w:hAnsi="Times New Roman" w:cs="Times New Roman"/>
                <w:sz w:val="21"/>
                <w:szCs w:val="21"/>
              </w:rPr>
              <w:t>бухфінрезультат</w:t>
            </w:r>
            <w:proofErr w:type="spellEnd"/>
            <w:r w:rsidRPr="00A540BC">
              <w:rPr>
                <w:rFonts w:ascii="Times New Roman" w:eastAsia="Times New Roman" w:hAnsi="Times New Roman" w:cs="Times New Roman"/>
                <w:sz w:val="21"/>
                <w:szCs w:val="21"/>
              </w:rPr>
              <w:t xml:space="preserve"> до оподаткування збільшується на суму сплачених платежів, внесків, премій за договором довгострокового страхування життя чи договором страхування в межах недержавного пенсійного забезпечення за певних умов (ст. 123</w:t>
            </w:r>
            <w:r w:rsidRPr="00A540BC">
              <w:rPr>
                <w:rFonts w:ascii="Times New Roman" w:eastAsia="Times New Roman" w:hAnsi="Times New Roman" w:cs="Times New Roman"/>
                <w:sz w:val="21"/>
                <w:szCs w:val="21"/>
                <w:vertAlign w:val="superscript"/>
              </w:rPr>
              <w:t>1</w:t>
            </w:r>
            <w:r w:rsidRPr="00A540BC">
              <w:rPr>
                <w:rFonts w:ascii="Times New Roman" w:eastAsia="Times New Roman" w:hAnsi="Times New Roman" w:cs="Times New Roman"/>
                <w:sz w:val="21"/>
                <w:szCs w:val="21"/>
              </w:rPr>
              <w:t> р. II </w:t>
            </w:r>
            <w:hyperlink r:id="rId45"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r>
      <w:tr w:rsidR="00A540BC" w:rsidRPr="00A540BC" w:rsidTr="00A540B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ind w:left="708"/>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Різниці, передбачені «Перехідними положеннями» ПКУ (підрозділ 4 р. XX </w:t>
            </w:r>
            <w:hyperlink r:id="rId46" w:tgtFrame="_blank" w:history="1">
              <w:r w:rsidRPr="00A540BC">
                <w:rPr>
                  <w:rFonts w:ascii="Times New Roman" w:eastAsia="Times New Roman" w:hAnsi="Times New Roman" w:cs="Times New Roman"/>
                  <w:color w:val="306D9C"/>
                  <w:sz w:val="21"/>
                  <w:u w:val="single"/>
                </w:rPr>
                <w:t>ПКУ</w:t>
              </w:r>
            </w:hyperlink>
            <w:r w:rsidRPr="00A540BC">
              <w:rPr>
                <w:rFonts w:ascii="Times New Roman" w:eastAsia="Times New Roman" w:hAnsi="Times New Roman" w:cs="Times New Roman"/>
                <w:sz w:val="21"/>
                <w:szCs w:val="21"/>
              </w:rPr>
              <w:t>)</w:t>
            </w:r>
          </w:p>
        </w:tc>
        <w:tc>
          <w:tcPr>
            <w:tcW w:w="48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Застосовують усі різниці з підрозділу 4 р. ХХ </w:t>
            </w:r>
            <w:hyperlink r:id="rId47" w:tgtFrame="_blank" w:history="1">
              <w:r w:rsidRPr="00A540BC">
                <w:rPr>
                  <w:rFonts w:ascii="Times New Roman" w:eastAsia="Times New Roman" w:hAnsi="Times New Roman" w:cs="Times New Roman"/>
                  <w:color w:val="306D9C"/>
                  <w:sz w:val="21"/>
                  <w:u w:val="single"/>
                </w:rPr>
                <w:t>ПКУ</w:t>
              </w:r>
            </w:hyperlink>
          </w:p>
        </w:tc>
      </w:tr>
    </w:tbl>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04</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Об’єкт оподаткування (рядок 02 + рядок 03) (+, -)</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04</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Заповнюють </w:t>
      </w:r>
      <w:proofErr w:type="spellStart"/>
      <w:r w:rsidRPr="00A540BC">
        <w:rPr>
          <w:rFonts w:ascii="Times New Roman" w:eastAsia="Times New Roman" w:hAnsi="Times New Roman" w:cs="Times New Roman"/>
          <w:color w:val="000000"/>
          <w:sz w:val="23"/>
          <w:szCs w:val="23"/>
        </w:rPr>
        <w:t>розрахунково</w:t>
      </w:r>
      <w:proofErr w:type="spellEnd"/>
      <w:r w:rsidRPr="00A540BC">
        <w:rPr>
          <w:rFonts w:ascii="Times New Roman" w:eastAsia="Times New Roman" w:hAnsi="Times New Roman" w:cs="Times New Roman"/>
          <w:color w:val="000000"/>
          <w:sz w:val="23"/>
          <w:szCs w:val="23"/>
        </w:rPr>
        <w:t xml:space="preserve"> як суму рядків 02 та 03 (з відповідним знаком), та, відповідно, якщо отримали прибуток ― записуємо додатне значення, якщо вийшов збиток — проставляємо суму зі знаком «–».</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05</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Прибуток, звільнений від оподаткування, або збиток від діяльності, прибуток від якої звільнений від оподаткування (+, -)</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05 ПЗ</w:t>
            </w: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Фактично звільнення від оподаткування у 2019 році передбачено лише для підприємств й організацій, заснованих громадськими організаціями інвалідів, та щодо Чорнобильської АЕС і перетворення об’єкта «Укриття», а також для літакобудування (п. 142.1, п. 41 підрозділу 4 р. ХХ </w:t>
      </w:r>
      <w:hyperlink r:id="rId48"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06</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Податок на прибуток ((позитивне значення) (рядок 04 – рядок 05) х ____</w:t>
            </w:r>
            <w:r w:rsidRPr="00A540BC">
              <w:rPr>
                <w:rFonts w:ascii="Times New Roman" w:eastAsia="Times New Roman" w:hAnsi="Times New Roman" w:cs="Times New Roman"/>
                <w:sz w:val="21"/>
                <w:szCs w:val="21"/>
                <w:vertAlign w:val="superscript"/>
              </w:rPr>
              <w:t> 2</w:t>
            </w:r>
            <w:r w:rsidRPr="00A540BC">
              <w:rPr>
                <w:rFonts w:ascii="Times New Roman" w:eastAsia="Times New Roman" w:hAnsi="Times New Roman" w:cs="Times New Roman"/>
                <w:sz w:val="21"/>
                <w:szCs w:val="21"/>
              </w:rPr>
              <w:t> / 100)</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06</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Розраховують податок на прибуток (уточнено, що від додатного значення, тобто від прибутку), а саме — різницю між прибутком із рядка 04 та звільненим прибутком із рядка 05 перемножують на ставку податку.</w:t>
      </w:r>
    </w:p>
    <w:p w:rsidR="00A540BC" w:rsidRPr="00A540BC" w:rsidRDefault="00A540BC" w:rsidP="00A540BC">
      <w:pPr>
        <w:spacing w:after="0" w:line="285" w:lineRule="atLeast"/>
        <w:jc w:val="both"/>
        <w:textAlignment w:val="baseline"/>
        <w:rPr>
          <w:rFonts w:ascii="Arial" w:eastAsia="Times New Roman" w:hAnsi="Arial" w:cs="Arial"/>
          <w:b/>
          <w:bCs/>
          <w:i/>
          <w:iCs/>
          <w:color w:val="006838"/>
          <w:sz w:val="23"/>
          <w:szCs w:val="23"/>
        </w:rPr>
      </w:pPr>
      <w:r w:rsidRPr="00A540BC">
        <w:rPr>
          <w:rFonts w:ascii="Arial" w:eastAsia="Times New Roman" w:hAnsi="Arial" w:cs="Arial"/>
          <w:b/>
          <w:bCs/>
          <w:i/>
          <w:iCs/>
          <w:color w:val="006838"/>
          <w:sz w:val="23"/>
        </w:rPr>
        <w:t>Нагадаємо</w:t>
      </w:r>
    </w:p>
    <w:p w:rsidR="00A540BC" w:rsidRPr="00A540BC" w:rsidRDefault="00A540BC" w:rsidP="00A540BC">
      <w:pPr>
        <w:spacing w:line="285" w:lineRule="atLeast"/>
        <w:jc w:val="both"/>
        <w:textAlignment w:val="baseline"/>
        <w:rPr>
          <w:rFonts w:ascii="Arial" w:eastAsia="Times New Roman" w:hAnsi="Arial" w:cs="Arial"/>
          <w:i/>
          <w:iCs/>
          <w:color w:val="006838"/>
          <w:sz w:val="23"/>
          <w:szCs w:val="23"/>
        </w:rPr>
      </w:pPr>
      <w:r w:rsidRPr="00A540BC">
        <w:rPr>
          <w:rFonts w:ascii="Arial" w:eastAsia="Times New Roman" w:hAnsi="Arial" w:cs="Arial"/>
          <w:i/>
          <w:iCs/>
          <w:color w:val="006838"/>
          <w:sz w:val="23"/>
          <w:szCs w:val="23"/>
        </w:rPr>
        <w:t>Ставка податку — 18% (п. 136.1 </w:t>
      </w:r>
      <w:hyperlink r:id="rId49" w:tgtFrame="_blank" w:history="1">
        <w:r w:rsidRPr="00A540BC">
          <w:rPr>
            <w:rFonts w:ascii="Arial" w:eastAsia="Times New Roman" w:hAnsi="Arial" w:cs="Arial"/>
            <w:i/>
            <w:iCs/>
            <w:color w:val="306D9C"/>
            <w:sz w:val="23"/>
            <w:u w:val="single"/>
          </w:rPr>
          <w:t>ПКУ</w:t>
        </w:r>
      </w:hyperlink>
      <w:r w:rsidRPr="00A540BC">
        <w:rPr>
          <w:rFonts w:ascii="Arial" w:eastAsia="Times New Roman" w:hAnsi="Arial" w:cs="Arial"/>
          <w:i/>
          <w:iCs/>
          <w:color w:val="006838"/>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Оскільки прибуток звільнено лише для організацій, заснованих громадськими організаціями інвалідів і суб’єктів літакобудування, то для решти підприємств у рядку 06 буде добуток прибутку (з рядка 04) і ставки податку 18%, поділеної на 100%.</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Рядки 07–15</w:t>
      </w:r>
      <w:r w:rsidRPr="00A540BC">
        <w:rPr>
          <w:rFonts w:ascii="Times New Roman" w:eastAsia="Times New Roman" w:hAnsi="Times New Roman" w:cs="Times New Roman"/>
          <w:color w:val="000000"/>
          <w:sz w:val="23"/>
          <w:szCs w:val="23"/>
        </w:rPr>
        <w:t> призначені для особливих платників — страховиків, суб’єктів, що проводять азартні ігри, лотереї, букмекерів.</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Отже, звичайні підприємства їх не заповнюватимуть, а проставлятимуть прочерки.</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lastRenderedPageBreak/>
        <w:t>Рядок 16 ЗП</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65"/>
        <w:gridCol w:w="1324"/>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Зменшення нарахованої суми податку</w:t>
            </w:r>
          </w:p>
        </w:tc>
        <w:tc>
          <w:tcPr>
            <w:tcW w:w="126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numPr>
                <w:ilvl w:val="0"/>
                <w:numId w:val="2"/>
              </w:numPr>
              <w:spacing w:after="0" w:line="255" w:lineRule="atLeast"/>
              <w:ind w:left="0"/>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ЗП</w:t>
            </w: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Зменшення нарахованої суми податку проводять у </w:t>
      </w:r>
      <w:hyperlink r:id="rId50" w:tgtFrame="_blank" w:history="1">
        <w:r w:rsidRPr="00A540BC">
          <w:rPr>
            <w:rFonts w:ascii="Times New Roman" w:eastAsia="Times New Roman" w:hAnsi="Times New Roman" w:cs="Times New Roman"/>
            <w:color w:val="306D9C"/>
            <w:sz w:val="23"/>
            <w:u w:val="single"/>
          </w:rPr>
          <w:t>додатку ЗП</w:t>
        </w:r>
      </w:hyperlink>
      <w:r w:rsidRPr="00A540BC">
        <w:rPr>
          <w:rFonts w:ascii="Times New Roman" w:eastAsia="Times New Roman" w:hAnsi="Times New Roman" w:cs="Times New Roman"/>
          <w:color w:val="000000"/>
          <w:sz w:val="23"/>
          <w:szCs w:val="23"/>
        </w:rPr>
        <w:t>, значення якого й переносять до рядка 16 ЗП. Нагадаємо, податок на прибуток можна зменшити:</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на суму податку на прибуток, отриманий з іноземних джерел, що сплачений суб’єктами господарювання за кордоном;</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на суму нарахованого та сплаченого авансового внеску у зв’язку з виплатою дивідендів;</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на акцизний податок, сплачений за важкі дистиляти (</w:t>
      </w:r>
      <w:proofErr w:type="spellStart"/>
      <w:r w:rsidRPr="00A540BC">
        <w:rPr>
          <w:rFonts w:ascii="Times New Roman" w:eastAsia="Times New Roman" w:hAnsi="Times New Roman" w:cs="Times New Roman"/>
          <w:color w:val="000000"/>
          <w:sz w:val="23"/>
          <w:szCs w:val="23"/>
        </w:rPr>
        <w:t>газойль</w:t>
      </w:r>
      <w:proofErr w:type="spellEnd"/>
      <w:r w:rsidRPr="00A540BC">
        <w:rPr>
          <w:rFonts w:ascii="Times New Roman" w:eastAsia="Times New Roman" w:hAnsi="Times New Roman" w:cs="Times New Roman"/>
          <w:color w:val="000000"/>
          <w:sz w:val="23"/>
          <w:szCs w:val="23"/>
        </w:rPr>
        <w:t xml:space="preserve">) (товарні позиції 2710 19 43 00, 2710 19 46 00, 2710 19 47 10 згідно з УКТ </w:t>
      </w:r>
      <w:proofErr w:type="spellStart"/>
      <w:r w:rsidRPr="00A540BC">
        <w:rPr>
          <w:rFonts w:ascii="Times New Roman" w:eastAsia="Times New Roman" w:hAnsi="Times New Roman" w:cs="Times New Roman"/>
          <w:color w:val="000000"/>
          <w:sz w:val="23"/>
          <w:szCs w:val="23"/>
        </w:rPr>
        <w:t>ЗЕД</w:t>
      </w:r>
      <w:proofErr w:type="spellEnd"/>
      <w:r w:rsidRPr="00A540BC">
        <w:rPr>
          <w:rFonts w:ascii="Times New Roman" w:eastAsia="Times New Roman" w:hAnsi="Times New Roman" w:cs="Times New Roman"/>
          <w:color w:val="000000"/>
          <w:sz w:val="23"/>
          <w:szCs w:val="23"/>
        </w:rPr>
        <w:t>), використані на дизельних локомотивах і самоскидах вантажопідйомністю понад 75 т.</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proofErr w:type="spellStart"/>
      <w:r w:rsidRPr="00A540BC">
        <w:rPr>
          <w:rFonts w:ascii="Times New Roman" w:eastAsia="Times New Roman" w:hAnsi="Times New Roman" w:cs="Times New Roman"/>
          <w:color w:val="000000"/>
          <w:sz w:val="23"/>
          <w:szCs w:val="23"/>
        </w:rPr>
        <w:t>Розлогіше</w:t>
      </w:r>
      <w:proofErr w:type="spellEnd"/>
      <w:r w:rsidRPr="00A540BC">
        <w:rPr>
          <w:rFonts w:ascii="Times New Roman" w:eastAsia="Times New Roman" w:hAnsi="Times New Roman" w:cs="Times New Roman"/>
          <w:color w:val="000000"/>
          <w:sz w:val="23"/>
          <w:szCs w:val="23"/>
        </w:rPr>
        <w:t xml:space="preserve"> про заповнення додатка ЗП ідеться в окремій публікації </w:t>
      </w:r>
      <w:hyperlink r:id="rId51" w:tgtFrame="_blank" w:history="1">
        <w:r w:rsidRPr="00A540BC">
          <w:rPr>
            <w:rFonts w:ascii="Times New Roman" w:eastAsia="Times New Roman" w:hAnsi="Times New Roman" w:cs="Times New Roman"/>
            <w:b/>
            <w:bCs/>
            <w:color w:val="306D9C"/>
            <w:sz w:val="23"/>
            <w:u w:val="single"/>
          </w:rPr>
          <w:t>«Додаток ЗП: зменшення податку на прибуток».</w:t>
        </w:r>
      </w:hyperlink>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17</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909"/>
        <w:gridCol w:w="1180"/>
      </w:tblGrid>
      <w:tr w:rsidR="00A540BC" w:rsidRPr="00A540BC" w:rsidTr="00A540BC">
        <w:tc>
          <w:tcPr>
            <w:tcW w:w="84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Податок на прибуток за звітний (податковий) період (рядок 06 + рядок 08 + рядок 10 + рядок 12 + рядок 15 - рядок 16 ЗП)</w:t>
            </w:r>
          </w:p>
        </w:tc>
        <w:tc>
          <w:tcPr>
            <w:tcW w:w="11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17</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Заповнюють </w:t>
      </w:r>
      <w:proofErr w:type="spellStart"/>
      <w:r w:rsidRPr="00A540BC">
        <w:rPr>
          <w:rFonts w:ascii="Times New Roman" w:eastAsia="Times New Roman" w:hAnsi="Times New Roman" w:cs="Times New Roman"/>
          <w:color w:val="000000"/>
          <w:sz w:val="23"/>
          <w:szCs w:val="23"/>
        </w:rPr>
        <w:t>розрахунково</w:t>
      </w:r>
      <w:proofErr w:type="spellEnd"/>
      <w:r w:rsidRPr="00A540BC">
        <w:rPr>
          <w:rFonts w:ascii="Times New Roman" w:eastAsia="Times New Roman" w:hAnsi="Times New Roman" w:cs="Times New Roman"/>
          <w:color w:val="000000"/>
          <w:sz w:val="23"/>
          <w:szCs w:val="23"/>
        </w:rPr>
        <w:t xml:space="preserve">. Для звичайних підприємств (не страховиків, не банків, не </w:t>
      </w:r>
      <w:proofErr w:type="spellStart"/>
      <w:r w:rsidRPr="00A540BC">
        <w:rPr>
          <w:rFonts w:ascii="Times New Roman" w:eastAsia="Times New Roman" w:hAnsi="Times New Roman" w:cs="Times New Roman"/>
          <w:color w:val="000000"/>
          <w:sz w:val="23"/>
          <w:szCs w:val="23"/>
        </w:rPr>
        <w:t>букмекерських</w:t>
      </w:r>
      <w:proofErr w:type="spellEnd"/>
      <w:r w:rsidRPr="00A540BC">
        <w:rPr>
          <w:rFonts w:ascii="Times New Roman" w:eastAsia="Times New Roman" w:hAnsi="Times New Roman" w:cs="Times New Roman"/>
          <w:color w:val="000000"/>
          <w:sz w:val="23"/>
          <w:szCs w:val="23"/>
        </w:rPr>
        <w:t xml:space="preserve"> й особливих категорій) у рядку 17 буде різниця між нарахованим податком на прибуток (із рядка 06) і сумами, що його зменшують (із рядка 16 ЗП).</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18</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909"/>
        <w:gridCol w:w="1180"/>
      </w:tblGrid>
      <w:tr w:rsidR="00A540BC" w:rsidRPr="00A540BC" w:rsidTr="00A540BC">
        <w:tc>
          <w:tcPr>
            <w:tcW w:w="84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Податок на прибуток за результатами попереднього звітного (податкового) періоду поточного року з урахуванням уточнень (рядок 17 Податкової декларації з податку на прибуток підприємств за попередній звітний (податковий) період поточного року)</w:t>
            </w:r>
            <w:r w:rsidRPr="00A540BC">
              <w:rPr>
                <w:rFonts w:ascii="Times New Roman" w:eastAsia="Times New Roman" w:hAnsi="Times New Roman" w:cs="Times New Roman"/>
                <w:sz w:val="21"/>
                <w:szCs w:val="21"/>
                <w:vertAlign w:val="superscript"/>
              </w:rPr>
              <w:t>7</w:t>
            </w:r>
          </w:p>
        </w:tc>
        <w:tc>
          <w:tcPr>
            <w:tcW w:w="11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18</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Заповнюють лише ті платники, які звітували поквартально (на це вказує виноска 7). Вони в декларації за 2019 рік у рядку 18 зазначають податкові зобов’язання за результатами 3 кварталів 2019 року.</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19</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909"/>
        <w:gridCol w:w="1180"/>
      </w:tblGrid>
      <w:tr w:rsidR="00A540BC" w:rsidRPr="00A540BC" w:rsidTr="00A540BC">
        <w:tc>
          <w:tcPr>
            <w:tcW w:w="84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Податок на прибуток, нарахований за результатами останнього (звітного) податкового періоду (рядок 17 - рядок 18) (+, -)</w:t>
            </w:r>
            <w:r w:rsidRPr="00A540BC">
              <w:rPr>
                <w:rFonts w:ascii="Times New Roman" w:eastAsia="Times New Roman" w:hAnsi="Times New Roman" w:cs="Times New Roman"/>
                <w:sz w:val="21"/>
                <w:szCs w:val="21"/>
                <w:vertAlign w:val="superscript"/>
              </w:rPr>
              <w:t>8</w:t>
            </w:r>
          </w:p>
        </w:tc>
        <w:tc>
          <w:tcPr>
            <w:tcW w:w="11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19</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Заповнюють рядок як ті, хто звітує лише за рік, так і </w:t>
      </w:r>
      <w:proofErr w:type="spellStart"/>
      <w:r w:rsidRPr="00A540BC">
        <w:rPr>
          <w:rFonts w:ascii="Times New Roman" w:eastAsia="Times New Roman" w:hAnsi="Times New Roman" w:cs="Times New Roman"/>
          <w:color w:val="000000"/>
          <w:sz w:val="23"/>
          <w:szCs w:val="23"/>
        </w:rPr>
        <w:t>поквартальники</w:t>
      </w:r>
      <w:proofErr w:type="spellEnd"/>
      <w:r w:rsidRPr="00A540BC">
        <w:rPr>
          <w:rFonts w:ascii="Times New Roman" w:eastAsia="Times New Roman" w:hAnsi="Times New Roman" w:cs="Times New Roman"/>
          <w:color w:val="000000"/>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У платників, що звітують лише за підсумками року, рядок 19 = рядку 17.</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У </w:t>
      </w:r>
      <w:proofErr w:type="spellStart"/>
      <w:r w:rsidRPr="00A540BC">
        <w:rPr>
          <w:rFonts w:ascii="Times New Roman" w:eastAsia="Times New Roman" w:hAnsi="Times New Roman" w:cs="Times New Roman"/>
          <w:color w:val="000000"/>
          <w:sz w:val="23"/>
          <w:szCs w:val="23"/>
        </w:rPr>
        <w:t>платників-поквартальників</w:t>
      </w:r>
      <w:proofErr w:type="spellEnd"/>
      <w:r w:rsidRPr="00A540BC">
        <w:rPr>
          <w:rFonts w:ascii="Times New Roman" w:eastAsia="Times New Roman" w:hAnsi="Times New Roman" w:cs="Times New Roman"/>
          <w:color w:val="000000"/>
          <w:sz w:val="23"/>
          <w:szCs w:val="23"/>
        </w:rPr>
        <w:t xml:space="preserve"> визначають різницю між рядками 17 та 18.</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20 АВ</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909"/>
        <w:gridCol w:w="1180"/>
      </w:tblGrid>
      <w:tr w:rsidR="00A540BC" w:rsidRPr="00A540BC" w:rsidTr="00A540BC">
        <w:tc>
          <w:tcPr>
            <w:tcW w:w="84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Сума авансового внеску при виплаті дивідендів, що має бути сплачена у звітному (податковому) періоді</w:t>
            </w:r>
          </w:p>
        </w:tc>
        <w:tc>
          <w:tcPr>
            <w:tcW w:w="11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20 АВ</w:t>
            </w: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Розрахунок суми дивідендного авансового внеску наводять у додатку АВ. Про правила обчислення та сплати такого авансу ми розповідали в публікаціях: </w:t>
      </w:r>
      <w:hyperlink r:id="rId52" w:tgtFrame="_blank" w:history="1">
        <w:r w:rsidRPr="00A540BC">
          <w:rPr>
            <w:rFonts w:ascii="Times New Roman" w:eastAsia="Times New Roman" w:hAnsi="Times New Roman" w:cs="Times New Roman"/>
            <w:b/>
            <w:bCs/>
            <w:color w:val="306D9C"/>
            <w:sz w:val="23"/>
            <w:u w:val="single"/>
          </w:rPr>
          <w:t>«Виплата дивідендів і сплата авансового внеску: правила, які потрібно знати»</w:t>
        </w:r>
        <w:r w:rsidRPr="00A540BC">
          <w:rPr>
            <w:rFonts w:ascii="Times New Roman" w:eastAsia="Times New Roman" w:hAnsi="Times New Roman" w:cs="Times New Roman"/>
            <w:color w:val="306D9C"/>
            <w:sz w:val="23"/>
            <w:u w:val="single"/>
          </w:rPr>
          <w:t>,</w:t>
        </w:r>
      </w:hyperlink>
      <w:r w:rsidRPr="00A540BC">
        <w:rPr>
          <w:rFonts w:ascii="Times New Roman" w:eastAsia="Times New Roman" w:hAnsi="Times New Roman" w:cs="Times New Roman"/>
          <w:color w:val="000000"/>
          <w:sz w:val="23"/>
          <w:szCs w:val="23"/>
        </w:rPr>
        <w:t> </w:t>
      </w:r>
      <w:hyperlink r:id="rId53" w:tgtFrame="_blank" w:history="1">
        <w:r w:rsidRPr="00A540BC">
          <w:rPr>
            <w:rFonts w:ascii="Times New Roman" w:eastAsia="Times New Roman" w:hAnsi="Times New Roman" w:cs="Times New Roman"/>
            <w:b/>
            <w:bCs/>
            <w:color w:val="306D9C"/>
            <w:sz w:val="23"/>
            <w:u w:val="single"/>
          </w:rPr>
          <w:t xml:space="preserve">«Авансові внески під час виплати </w:t>
        </w:r>
        <w:r w:rsidRPr="00A540BC">
          <w:rPr>
            <w:rFonts w:ascii="Times New Roman" w:eastAsia="Times New Roman" w:hAnsi="Times New Roman" w:cs="Times New Roman"/>
            <w:b/>
            <w:bCs/>
            <w:color w:val="306D9C"/>
            <w:sz w:val="23"/>
            <w:u w:val="single"/>
          </w:rPr>
          <w:lastRenderedPageBreak/>
          <w:t>дивідендів: контролери про виплату за неповний рік»</w:t>
        </w:r>
        <w:r w:rsidRPr="00A540BC">
          <w:rPr>
            <w:rFonts w:ascii="Times New Roman" w:eastAsia="Times New Roman" w:hAnsi="Times New Roman" w:cs="Times New Roman"/>
            <w:color w:val="306D9C"/>
            <w:sz w:val="23"/>
            <w:u w:val="single"/>
          </w:rPr>
          <w:t>.</w:t>
        </w:r>
      </w:hyperlink>
      <w:r w:rsidRPr="00A540BC">
        <w:rPr>
          <w:rFonts w:ascii="Times New Roman" w:eastAsia="Times New Roman" w:hAnsi="Times New Roman" w:cs="Times New Roman"/>
          <w:color w:val="000000"/>
          <w:sz w:val="23"/>
          <w:szCs w:val="23"/>
        </w:rPr>
        <w:t> А заповнення </w:t>
      </w:r>
      <w:hyperlink r:id="rId54" w:tgtFrame="_blank" w:history="1">
        <w:r w:rsidRPr="00A540BC">
          <w:rPr>
            <w:rFonts w:ascii="Times New Roman" w:eastAsia="Times New Roman" w:hAnsi="Times New Roman" w:cs="Times New Roman"/>
            <w:color w:val="306D9C"/>
            <w:sz w:val="23"/>
            <w:u w:val="single"/>
          </w:rPr>
          <w:t>додатка АВ</w:t>
        </w:r>
      </w:hyperlink>
      <w:r w:rsidRPr="00A540BC">
        <w:rPr>
          <w:rFonts w:ascii="Times New Roman" w:eastAsia="Times New Roman" w:hAnsi="Times New Roman" w:cs="Times New Roman"/>
          <w:color w:val="000000"/>
          <w:sz w:val="23"/>
          <w:szCs w:val="23"/>
        </w:rPr>
        <w:t> див. </w:t>
      </w:r>
      <w:hyperlink r:id="rId55" w:tgtFrame="_blank" w:history="1">
        <w:r w:rsidRPr="00A540BC">
          <w:rPr>
            <w:rFonts w:ascii="Times New Roman" w:eastAsia="Times New Roman" w:hAnsi="Times New Roman" w:cs="Times New Roman"/>
            <w:b/>
            <w:bCs/>
            <w:color w:val="306D9C"/>
            <w:sz w:val="23"/>
            <w:u w:val="single"/>
          </w:rPr>
          <w:t>«Додаток АВ: авансовий внесок під час виплати дивідендів»</w:t>
        </w:r>
        <w:r w:rsidRPr="00A540BC">
          <w:rPr>
            <w:rFonts w:ascii="Times New Roman" w:eastAsia="Times New Roman" w:hAnsi="Times New Roman" w:cs="Times New Roman"/>
            <w:color w:val="306D9C"/>
            <w:sz w:val="23"/>
            <w:u w:val="single"/>
          </w:rPr>
          <w:t>.</w:t>
        </w:r>
      </w:hyperlink>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21</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909"/>
        <w:gridCol w:w="1180"/>
      </w:tblGrid>
      <w:tr w:rsidR="00A540BC" w:rsidRPr="00A540BC" w:rsidTr="00A540BC">
        <w:tc>
          <w:tcPr>
            <w:tcW w:w="84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Сума авансового внеску при виплаті дивідендів, що має бути сплачена за результатами попереднього звітного (податкового) періоду поточного року, з урахуванням уточнень (рядок 20 АВ Податкової декларації з податку на прибуток підприємств за попередній звітний (податковий) період поточного року)</w:t>
            </w:r>
            <w:r w:rsidRPr="00A540BC">
              <w:rPr>
                <w:rFonts w:ascii="Times New Roman" w:eastAsia="Times New Roman" w:hAnsi="Times New Roman" w:cs="Times New Roman"/>
                <w:sz w:val="21"/>
                <w:szCs w:val="21"/>
                <w:vertAlign w:val="superscript"/>
              </w:rPr>
              <w:t> 7</w:t>
            </w:r>
          </w:p>
        </w:tc>
        <w:tc>
          <w:tcPr>
            <w:tcW w:w="11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21</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Заповнюють лише </w:t>
      </w:r>
      <w:proofErr w:type="spellStart"/>
      <w:r w:rsidRPr="00A540BC">
        <w:rPr>
          <w:rFonts w:ascii="Times New Roman" w:eastAsia="Times New Roman" w:hAnsi="Times New Roman" w:cs="Times New Roman"/>
          <w:color w:val="000000"/>
          <w:sz w:val="23"/>
          <w:szCs w:val="23"/>
        </w:rPr>
        <w:t>квартальники</w:t>
      </w:r>
      <w:proofErr w:type="spellEnd"/>
      <w:r w:rsidRPr="00A540BC">
        <w:rPr>
          <w:rFonts w:ascii="Times New Roman" w:eastAsia="Times New Roman" w:hAnsi="Times New Roman" w:cs="Times New Roman"/>
          <w:color w:val="000000"/>
          <w:sz w:val="23"/>
          <w:szCs w:val="23"/>
        </w:rPr>
        <w:t>. Про це свідчить виноска 7.</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22</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909"/>
        <w:gridCol w:w="1180"/>
      </w:tblGrid>
      <w:tr w:rsidR="00A540BC" w:rsidRPr="00A540BC" w:rsidTr="00A540BC">
        <w:tc>
          <w:tcPr>
            <w:tcW w:w="84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Сума авансового внеску при виплаті дивідендів, нарахована за результатами останнього (звітного) податкового періоду (рядок 20 АВ - рядок 21)</w:t>
            </w:r>
            <w:r w:rsidRPr="00A540BC">
              <w:rPr>
                <w:rFonts w:ascii="Times New Roman" w:eastAsia="Times New Roman" w:hAnsi="Times New Roman" w:cs="Times New Roman"/>
                <w:sz w:val="21"/>
                <w:szCs w:val="21"/>
                <w:vertAlign w:val="superscript"/>
              </w:rPr>
              <w:t>8</w:t>
            </w:r>
          </w:p>
        </w:tc>
        <w:tc>
          <w:tcPr>
            <w:tcW w:w="11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22</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Для платників, що звітують лише за рік: рядок 22 = рядку 20.</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Для </w:t>
      </w:r>
      <w:proofErr w:type="spellStart"/>
      <w:r w:rsidRPr="00A540BC">
        <w:rPr>
          <w:rFonts w:ascii="Times New Roman" w:eastAsia="Times New Roman" w:hAnsi="Times New Roman" w:cs="Times New Roman"/>
          <w:color w:val="000000"/>
          <w:sz w:val="23"/>
          <w:szCs w:val="23"/>
        </w:rPr>
        <w:t>квартальників</w:t>
      </w:r>
      <w:proofErr w:type="spellEnd"/>
      <w:r w:rsidRPr="00A540BC">
        <w:rPr>
          <w:rFonts w:ascii="Times New Roman" w:eastAsia="Times New Roman" w:hAnsi="Times New Roman" w:cs="Times New Roman"/>
          <w:color w:val="000000"/>
          <w:sz w:val="23"/>
          <w:szCs w:val="23"/>
        </w:rPr>
        <w:t xml:space="preserve"> обчислюють </w:t>
      </w:r>
      <w:proofErr w:type="spellStart"/>
      <w:r w:rsidRPr="00A540BC">
        <w:rPr>
          <w:rFonts w:ascii="Times New Roman" w:eastAsia="Times New Roman" w:hAnsi="Times New Roman" w:cs="Times New Roman"/>
          <w:color w:val="000000"/>
          <w:sz w:val="23"/>
          <w:szCs w:val="23"/>
        </w:rPr>
        <w:t>розрахунково</w:t>
      </w:r>
      <w:proofErr w:type="spellEnd"/>
      <w:r w:rsidRPr="00A540BC">
        <w:rPr>
          <w:rFonts w:ascii="Times New Roman" w:eastAsia="Times New Roman" w:hAnsi="Times New Roman" w:cs="Times New Roman"/>
          <w:color w:val="000000"/>
          <w:sz w:val="23"/>
          <w:szCs w:val="23"/>
        </w:rPr>
        <w:t>: рядок 20 АВ – рядок 21.</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23 ПН</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Сума податків, які утримуються при виплаті доходів (прибутків) нерезидентам, нарахованих за звітний (податковий) період</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23 ПН</w:t>
            </w: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Заповнюють ті платники, які у звітному періоді виплачували нерезидентам доходи із джерел походження з України. Про правила оподаткування доходів нерезидентів див. </w:t>
      </w:r>
      <w:hyperlink r:id="rId56" w:tgtFrame="_blank" w:history="1">
        <w:r w:rsidRPr="00A540BC">
          <w:rPr>
            <w:rFonts w:ascii="Times New Roman" w:eastAsia="Times New Roman" w:hAnsi="Times New Roman" w:cs="Times New Roman"/>
            <w:b/>
            <w:bCs/>
            <w:color w:val="306D9C"/>
            <w:sz w:val="23"/>
            <w:u w:val="single"/>
          </w:rPr>
          <w:t>«Податок на репатріацію: хто сплачує»</w:t>
        </w:r>
        <w:r w:rsidRPr="00A540BC">
          <w:rPr>
            <w:rFonts w:ascii="Times New Roman" w:eastAsia="Times New Roman" w:hAnsi="Times New Roman" w:cs="Times New Roman"/>
            <w:color w:val="306D9C"/>
            <w:sz w:val="23"/>
            <w:u w:val="single"/>
          </w:rPr>
          <w:t>.</w:t>
        </w:r>
      </w:hyperlink>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Водночас розрахунок податку (чи звільнення від сплати, якщо застосовували міжнародний договір) проводять у </w:t>
      </w:r>
      <w:hyperlink r:id="rId57" w:tgtFrame="_blank" w:history="1">
        <w:r w:rsidRPr="00A540BC">
          <w:rPr>
            <w:rFonts w:ascii="Times New Roman" w:eastAsia="Times New Roman" w:hAnsi="Times New Roman" w:cs="Times New Roman"/>
            <w:color w:val="306D9C"/>
            <w:sz w:val="23"/>
            <w:u w:val="single"/>
          </w:rPr>
          <w:t>додатку ПН</w:t>
        </w:r>
      </w:hyperlink>
      <w:r w:rsidRPr="00A540BC">
        <w:rPr>
          <w:rFonts w:ascii="Times New Roman" w:eastAsia="Times New Roman" w:hAnsi="Times New Roman" w:cs="Times New Roman"/>
          <w:color w:val="000000"/>
          <w:sz w:val="23"/>
          <w:szCs w:val="23"/>
        </w:rPr>
        <w:t>. Його заповнюють на кожного нерезидента окремо. А до рядка 23 ПН переносять сумарне значення з усіх додатків ПН за звітний рік.</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24</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Сума податків, які утримуються при виплаті доходів (прибутків) нерезидентам за результатами попереднього звітного (податкового) періоду поточного року, з урахуванням уточнень (рядок 21 Податкової декларації з податку на прибуток підприємств за попередній звітний (податковий) період поточного року)</w:t>
            </w:r>
            <w:r w:rsidRPr="00A540BC">
              <w:rPr>
                <w:rFonts w:ascii="Times New Roman" w:eastAsia="Times New Roman" w:hAnsi="Times New Roman" w:cs="Times New Roman"/>
                <w:sz w:val="21"/>
                <w:szCs w:val="21"/>
                <w:vertAlign w:val="superscript"/>
              </w:rPr>
              <w:t>7</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24</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Заповнюють лише </w:t>
      </w:r>
      <w:proofErr w:type="spellStart"/>
      <w:r w:rsidRPr="00A540BC">
        <w:rPr>
          <w:rFonts w:ascii="Times New Roman" w:eastAsia="Times New Roman" w:hAnsi="Times New Roman" w:cs="Times New Roman"/>
          <w:color w:val="000000"/>
          <w:sz w:val="23"/>
          <w:szCs w:val="23"/>
        </w:rPr>
        <w:t>квартальники</w:t>
      </w:r>
      <w:proofErr w:type="spellEnd"/>
      <w:r w:rsidRPr="00A540BC">
        <w:rPr>
          <w:rFonts w:ascii="Times New Roman" w:eastAsia="Times New Roman" w:hAnsi="Times New Roman" w:cs="Times New Roman"/>
          <w:color w:val="000000"/>
          <w:sz w:val="23"/>
          <w:szCs w:val="23"/>
        </w:rPr>
        <w:t xml:space="preserve"> (див. виноску 7).</w:t>
      </w:r>
    </w:p>
    <w:p w:rsidR="00A540BC" w:rsidRPr="00A540BC" w:rsidRDefault="00A540BC" w:rsidP="00A540BC">
      <w:pPr>
        <w:spacing w:line="285" w:lineRule="atLeast"/>
        <w:ind w:firstLine="450"/>
        <w:jc w:val="right"/>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Рядок 25</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8751"/>
        <w:gridCol w:w="1338"/>
      </w:tblGrid>
      <w:tr w:rsidR="00A540BC" w:rsidRPr="00A540BC" w:rsidTr="00A540BC">
        <w:tc>
          <w:tcPr>
            <w:tcW w:w="83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Сума податків, які утримуються при виплаті доходів (прибутків) нерезидентам, нарахованих за результатами останнього (звітного) податкового періоду (рядок 23 ПН - рядок 24)</w:t>
            </w:r>
            <w:r w:rsidRPr="00A540BC">
              <w:rPr>
                <w:rFonts w:ascii="Times New Roman" w:eastAsia="Times New Roman" w:hAnsi="Times New Roman" w:cs="Times New Roman"/>
                <w:sz w:val="21"/>
                <w:szCs w:val="21"/>
                <w:vertAlign w:val="superscript"/>
              </w:rPr>
              <w:t>8</w:t>
            </w:r>
          </w:p>
        </w:tc>
        <w:tc>
          <w:tcPr>
            <w:tcW w:w="12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b/>
                <w:bCs/>
                <w:sz w:val="21"/>
              </w:rPr>
              <w:t>25</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Для тих, хто звітує лише за підсумками року: рядок 25 = рядку 23.</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А </w:t>
      </w:r>
      <w:proofErr w:type="spellStart"/>
      <w:r w:rsidRPr="00A540BC">
        <w:rPr>
          <w:rFonts w:ascii="Times New Roman" w:eastAsia="Times New Roman" w:hAnsi="Times New Roman" w:cs="Times New Roman"/>
          <w:color w:val="000000"/>
          <w:sz w:val="23"/>
          <w:szCs w:val="23"/>
        </w:rPr>
        <w:t>квартальники</w:t>
      </w:r>
      <w:proofErr w:type="spellEnd"/>
      <w:r w:rsidRPr="00A540BC">
        <w:rPr>
          <w:rFonts w:ascii="Times New Roman" w:eastAsia="Times New Roman" w:hAnsi="Times New Roman" w:cs="Times New Roman"/>
          <w:color w:val="000000"/>
          <w:sz w:val="23"/>
          <w:szCs w:val="23"/>
        </w:rPr>
        <w:t xml:space="preserve"> розраховують різницю між рядками 23 і 24, записуючи її в рядок 25.</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Виправлення помилок</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Передбачено окремі блоки для виправлення помилок:</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у податку на прибуток й авансовому внеску під час виплати дивідендів (рядки 26–30);</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за податком на репатріацію під час виплати доходів нерезидентам (рядки 31–34).</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lastRenderedPageBreak/>
        <w:t>У разі виправлення помилок за допомогою поточної декларації заповнюють </w:t>
      </w:r>
      <w:hyperlink r:id="rId58" w:tgtFrame="_blank" w:history="1">
        <w:r w:rsidRPr="00A540BC">
          <w:rPr>
            <w:rFonts w:ascii="Times New Roman" w:eastAsia="Times New Roman" w:hAnsi="Times New Roman" w:cs="Times New Roman"/>
            <w:color w:val="306D9C"/>
            <w:sz w:val="23"/>
            <w:u w:val="single"/>
          </w:rPr>
          <w:t>додаток ВП</w:t>
        </w:r>
      </w:hyperlink>
      <w:r w:rsidRPr="00A540BC">
        <w:rPr>
          <w:rFonts w:ascii="Times New Roman" w:eastAsia="Times New Roman" w:hAnsi="Times New Roman" w:cs="Times New Roman"/>
          <w:color w:val="000000"/>
          <w:sz w:val="23"/>
          <w:szCs w:val="23"/>
        </w:rPr>
        <w:t>. Результат виправлення (заниження чи завищення) переносять у відповідний блок декларації зі знаком «+» — заниження, а зі знаком «–» — завищення. Водночас </w:t>
      </w:r>
      <w:r w:rsidRPr="00A540BC">
        <w:rPr>
          <w:rFonts w:ascii="Times New Roman" w:eastAsia="Times New Roman" w:hAnsi="Times New Roman" w:cs="Times New Roman"/>
          <w:b/>
          <w:bCs/>
          <w:color w:val="000000"/>
          <w:sz w:val="23"/>
        </w:rPr>
        <w:t>у разі заниження податкових зобов’язань</w:t>
      </w:r>
      <w:r w:rsidRPr="00A540BC">
        <w:rPr>
          <w:rFonts w:ascii="Times New Roman" w:eastAsia="Times New Roman" w:hAnsi="Times New Roman" w:cs="Times New Roman"/>
          <w:color w:val="000000"/>
          <w:sz w:val="23"/>
          <w:szCs w:val="23"/>
        </w:rPr>
        <w:t xml:space="preserve"> розраховують суму </w:t>
      </w:r>
      <w:proofErr w:type="spellStart"/>
      <w:r w:rsidRPr="00A540BC">
        <w:rPr>
          <w:rFonts w:ascii="Times New Roman" w:eastAsia="Times New Roman" w:hAnsi="Times New Roman" w:cs="Times New Roman"/>
          <w:color w:val="000000"/>
          <w:sz w:val="23"/>
          <w:szCs w:val="23"/>
        </w:rPr>
        <w:t>самоштрафу</w:t>
      </w:r>
      <w:proofErr w:type="spellEnd"/>
      <w:r w:rsidRPr="00A540BC">
        <w:rPr>
          <w:rFonts w:ascii="Times New Roman" w:eastAsia="Times New Roman" w:hAnsi="Times New Roman" w:cs="Times New Roman"/>
          <w:color w:val="000000"/>
          <w:sz w:val="23"/>
          <w:szCs w:val="23"/>
        </w:rPr>
        <w:t xml:space="preserve"> (5%) і пеню, а їх суми зазначають у відповідних рядках. Якщо завищили податкові зобов’язання — ані штрафу, ані пені.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Зауважимо</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Зміни до форми декларації внесені </w:t>
      </w:r>
      <w:hyperlink r:id="rId59" w:tgtFrame="_blank" w:history="1">
        <w:r w:rsidRPr="00A540BC">
          <w:rPr>
            <w:rFonts w:ascii="Times New Roman" w:eastAsia="Times New Roman" w:hAnsi="Times New Roman" w:cs="Times New Roman"/>
            <w:color w:val="306D9C"/>
            <w:sz w:val="23"/>
            <w:u w:val="single"/>
          </w:rPr>
          <w:t>Наказом № 481</w:t>
        </w:r>
      </w:hyperlink>
      <w:r w:rsidRPr="00A540BC">
        <w:rPr>
          <w:rFonts w:ascii="Times New Roman" w:eastAsia="Times New Roman" w:hAnsi="Times New Roman" w:cs="Times New Roman"/>
          <w:color w:val="000000"/>
          <w:sz w:val="23"/>
          <w:szCs w:val="23"/>
        </w:rPr>
        <w:t>, оновили й додаток ВП (якщо звітуватимете за 2019 рік за новою формою — зверніть на це увагу). Зокрема, його доповнили таблицею про наявність поданих до декларації додатків — форм фінансової звітності за звітний (податковий) період, що уточнюється: «Таблиця 3. Наявність поданих до Податкової декларації з податку на прибуток підприємств додатків - форм фінансової звітності за звітний (податковий) період, що уточнюється</w:t>
      </w:r>
      <w:r w:rsidRPr="00A540BC">
        <w:rPr>
          <w:rFonts w:ascii="Times New Roman" w:eastAsia="Times New Roman" w:hAnsi="Times New Roman" w:cs="Times New Roman"/>
          <w:color w:val="000000"/>
          <w:sz w:val="23"/>
          <w:szCs w:val="23"/>
          <w:vertAlign w:val="superscript"/>
        </w:rPr>
        <w:t>9</w:t>
      </w:r>
      <w:r w:rsidRPr="00A540BC">
        <w:rPr>
          <w:rFonts w:ascii="Times New Roman" w:eastAsia="Times New Roman" w:hAnsi="Times New Roman" w:cs="Times New Roman"/>
          <w:color w:val="000000"/>
          <w:sz w:val="23"/>
          <w:szCs w:val="23"/>
        </w:rPr>
        <w:t>».</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Тож, якщо потрібно виправити помилку за допомогою додатка ВП, слід подавати виправлену фінансову звітність за період, який уточнюється.</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Нові рядки 35–37</w:t>
      </w:r>
    </w:p>
    <w:p w:rsidR="00A540BC" w:rsidRPr="00A540BC" w:rsidRDefault="00A540BC" w:rsidP="00A540BC">
      <w:pPr>
        <w:spacing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Ці рядки додано Наказом </w:t>
      </w:r>
      <w:hyperlink r:id="rId60" w:tgtFrame="_blank" w:history="1">
        <w:r w:rsidRPr="00A540BC">
          <w:rPr>
            <w:rFonts w:ascii="Times New Roman" w:eastAsia="Times New Roman" w:hAnsi="Times New Roman" w:cs="Times New Roman"/>
            <w:color w:val="306D9C"/>
            <w:sz w:val="23"/>
            <w:u w:val="single"/>
          </w:rPr>
          <w:t>№ 481</w:t>
        </w:r>
      </w:hyperlink>
      <w:r w:rsidRPr="00A540BC">
        <w:rPr>
          <w:rFonts w:ascii="Times New Roman" w:eastAsia="Times New Roman" w:hAnsi="Times New Roman" w:cs="Times New Roman"/>
          <w:color w:val="000000"/>
          <w:sz w:val="23"/>
          <w:szCs w:val="23"/>
        </w:rPr>
        <w:t> (у старій формі їх немає).</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7669"/>
        <w:gridCol w:w="1163"/>
        <w:gridCol w:w="1257"/>
      </w:tblGrid>
      <w:tr w:rsidR="00A540BC" w:rsidRPr="00A540BC" w:rsidTr="00A540BC">
        <w:tc>
          <w:tcPr>
            <w:tcW w:w="9630" w:type="dxa"/>
            <w:gridSpan w:val="3"/>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Податкові зобов’язання, інші штрафні санкції та пені, визначені відповідно до Податкового кодексу України, не пов’язані з виправленням помилок</w:t>
            </w:r>
          </w:p>
        </w:tc>
      </w:tr>
      <w:tr w:rsidR="00A540BC" w:rsidRPr="00A540BC" w:rsidTr="00A540BC">
        <w:tc>
          <w:tcPr>
            <w:tcW w:w="732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Сума збільшення податкового зобов’язання за порушення вимог цільового використання вивільнених від оподаткування коштів відповідно до пунктів 142.1–142.3 статті 142 розділу III, пункту 41 підрозділу 4 розділу XX Податкового кодексу України</w:t>
            </w:r>
          </w:p>
        </w:tc>
        <w:tc>
          <w:tcPr>
            <w:tcW w:w="111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35</w:t>
            </w:r>
          </w:p>
        </w:tc>
        <w:tc>
          <w:tcPr>
            <w:tcW w:w="118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r>
      <w:tr w:rsidR="00A540BC" w:rsidRPr="00A540BC" w:rsidTr="00A540BC">
        <w:tc>
          <w:tcPr>
            <w:tcW w:w="732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Штрафні санкції за порушення положень пункту 41 підрозділу 4 розділу XX Податкового кодексу України</w:t>
            </w:r>
          </w:p>
        </w:tc>
        <w:tc>
          <w:tcPr>
            <w:tcW w:w="111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36</w:t>
            </w:r>
          </w:p>
        </w:tc>
        <w:tc>
          <w:tcPr>
            <w:tcW w:w="118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r>
      <w:tr w:rsidR="00A540BC" w:rsidRPr="00A540BC" w:rsidTr="00A540BC">
        <w:tc>
          <w:tcPr>
            <w:tcW w:w="732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Пеня, нарахована на виконання вимог статті 123</w:t>
            </w:r>
            <w:r w:rsidRPr="00A540BC">
              <w:rPr>
                <w:rFonts w:ascii="Times New Roman" w:eastAsia="Times New Roman" w:hAnsi="Times New Roman" w:cs="Times New Roman"/>
                <w:sz w:val="21"/>
                <w:szCs w:val="21"/>
                <w:vertAlign w:val="superscript"/>
              </w:rPr>
              <w:t>1</w:t>
            </w:r>
            <w:r w:rsidRPr="00A540BC">
              <w:rPr>
                <w:rFonts w:ascii="Times New Roman" w:eastAsia="Times New Roman" w:hAnsi="Times New Roman" w:cs="Times New Roman"/>
                <w:sz w:val="21"/>
                <w:szCs w:val="21"/>
              </w:rPr>
              <w:t> глави 11 розділу II, пунктів 142.1–142.3 статті 142 розділу III, пункту 41 підрозділу 4 розділу XX Податкового кодексу України</w:t>
            </w:r>
          </w:p>
        </w:tc>
        <w:tc>
          <w:tcPr>
            <w:tcW w:w="111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37</w:t>
            </w:r>
          </w:p>
        </w:tc>
        <w:tc>
          <w:tcPr>
            <w:tcW w:w="118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xml:space="preserve">Згідно з </w:t>
      </w:r>
      <w:proofErr w:type="spellStart"/>
      <w:r w:rsidRPr="00A540BC">
        <w:rPr>
          <w:rFonts w:ascii="Times New Roman" w:eastAsia="Times New Roman" w:hAnsi="Times New Roman" w:cs="Times New Roman"/>
          <w:i/>
          <w:iCs/>
          <w:color w:val="000000"/>
          <w:sz w:val="23"/>
        </w:rPr>
        <w:t>п.п</w:t>
      </w:r>
      <w:proofErr w:type="spellEnd"/>
      <w:r w:rsidRPr="00A540BC">
        <w:rPr>
          <w:rFonts w:ascii="Times New Roman" w:eastAsia="Times New Roman" w:hAnsi="Times New Roman" w:cs="Times New Roman"/>
          <w:i/>
          <w:iCs/>
          <w:color w:val="000000"/>
          <w:sz w:val="23"/>
        </w:rPr>
        <w:t>. 142.1–142.3 </w:t>
      </w:r>
      <w:hyperlink r:id="rId61"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i/>
          <w:iCs/>
          <w:color w:val="000000"/>
          <w:sz w:val="23"/>
        </w:rPr>
        <w:t> та п. 41 підрозділу 4 р. ХХ </w:t>
      </w:r>
      <w:hyperlink r:id="rId62"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i/>
          <w:iCs/>
          <w:color w:val="000000"/>
          <w:sz w:val="23"/>
        </w:rPr>
        <w:t> від оподаткування звільнені: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підприємства, засновані громадськими організаціями осіб з інвалідністю і є їхньою повною власністю, які займаються посередництвом (п. 142.1);</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прибуток Чорнобильської АС (п. 142.2);</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прибуток підприємств, отриманий за рахунок міжнародної технічної допомоги на виконання проекту «Укриття» для Чорнобильської АС (п. 142.3);</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прибуток підприємств — суб’єктів літакобудування (п. 41 підрозділу 4 р. ХХ </w:t>
      </w:r>
      <w:hyperlink r:id="rId63"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i/>
          <w:iCs/>
          <w:color w:val="000000"/>
          <w:sz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xml:space="preserve">У разі порушення вимог цільового використання коштів, вивільнених від оподаткування відповідно до </w:t>
      </w:r>
      <w:proofErr w:type="spellStart"/>
      <w:r w:rsidRPr="00A540BC">
        <w:rPr>
          <w:rFonts w:ascii="Times New Roman" w:eastAsia="Times New Roman" w:hAnsi="Times New Roman" w:cs="Times New Roman"/>
          <w:i/>
          <w:iCs/>
          <w:color w:val="000000"/>
          <w:sz w:val="23"/>
        </w:rPr>
        <w:t>п.п</w:t>
      </w:r>
      <w:proofErr w:type="spellEnd"/>
      <w:r w:rsidRPr="00A540BC">
        <w:rPr>
          <w:rFonts w:ascii="Times New Roman" w:eastAsia="Times New Roman" w:hAnsi="Times New Roman" w:cs="Times New Roman"/>
          <w:i/>
          <w:iCs/>
          <w:color w:val="000000"/>
          <w:sz w:val="23"/>
        </w:rPr>
        <w:t>. 142.1–142.3 </w:t>
      </w:r>
      <w:hyperlink r:id="rId64"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i/>
          <w:iCs/>
          <w:color w:val="000000"/>
          <w:sz w:val="23"/>
        </w:rPr>
        <w:t> та п. 41 підрозділу 4 р. ХХ ПКУ, платник податку зобов’язаний збільшити податкові зобов’язання з податку на прибуток за результатами податкового періоду, на який припадає таке порушення, а також сплатити </w:t>
      </w:r>
      <w:r w:rsidRPr="00A540BC">
        <w:rPr>
          <w:rFonts w:ascii="Times New Roman" w:eastAsia="Times New Roman" w:hAnsi="Times New Roman" w:cs="Times New Roman"/>
          <w:b/>
          <w:bCs/>
          <w:color w:val="000000"/>
          <w:sz w:val="23"/>
        </w:rPr>
        <w:t>пеню</w:t>
      </w:r>
      <w:r w:rsidRPr="00A540BC">
        <w:rPr>
          <w:rFonts w:ascii="Times New Roman" w:eastAsia="Times New Roman" w:hAnsi="Times New Roman" w:cs="Times New Roman"/>
          <w:i/>
          <w:iCs/>
          <w:color w:val="000000"/>
          <w:sz w:val="23"/>
        </w:rPr>
        <w:t>, нараховану відповідно до ПКУ.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Для суб’єктів літакобудування передбачено ще й нарахування </w:t>
      </w:r>
      <w:r w:rsidRPr="00A540BC">
        <w:rPr>
          <w:rFonts w:ascii="Times New Roman" w:eastAsia="Times New Roman" w:hAnsi="Times New Roman" w:cs="Times New Roman"/>
          <w:b/>
          <w:bCs/>
          <w:color w:val="000000"/>
          <w:sz w:val="23"/>
        </w:rPr>
        <w:t>штрафу</w:t>
      </w:r>
      <w:r w:rsidRPr="00A540BC">
        <w:rPr>
          <w:rFonts w:ascii="Times New Roman" w:eastAsia="Times New Roman" w:hAnsi="Times New Roman" w:cs="Times New Roman"/>
          <w:i/>
          <w:iCs/>
          <w:color w:val="000000"/>
          <w:sz w:val="23"/>
        </w:rPr>
        <w:t> (п. 41 підрозділу 4 р. ХХ </w:t>
      </w:r>
      <w:hyperlink r:id="rId65"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i/>
          <w:iCs/>
          <w:color w:val="000000"/>
          <w:sz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До </w:t>
      </w:r>
      <w:r w:rsidRPr="00A540BC">
        <w:rPr>
          <w:rFonts w:ascii="Times New Roman" w:eastAsia="Times New Roman" w:hAnsi="Times New Roman" w:cs="Times New Roman"/>
          <w:b/>
          <w:bCs/>
          <w:color w:val="000000"/>
          <w:sz w:val="23"/>
        </w:rPr>
        <w:t>рядка 37</w:t>
      </w:r>
      <w:r w:rsidRPr="00A540BC">
        <w:rPr>
          <w:rFonts w:ascii="Times New Roman" w:eastAsia="Times New Roman" w:hAnsi="Times New Roman" w:cs="Times New Roman"/>
          <w:color w:val="000000"/>
          <w:sz w:val="23"/>
          <w:szCs w:val="23"/>
        </w:rPr>
        <w:t> потрібно вносити також пеню, яку нараховує страхувальник згідно зі ст. 123</w:t>
      </w:r>
      <w:r w:rsidRPr="00A540BC">
        <w:rPr>
          <w:rFonts w:ascii="Times New Roman" w:eastAsia="Times New Roman" w:hAnsi="Times New Roman" w:cs="Times New Roman"/>
          <w:color w:val="000000"/>
          <w:sz w:val="23"/>
          <w:szCs w:val="23"/>
          <w:vertAlign w:val="superscript"/>
        </w:rPr>
        <w:t>1</w:t>
      </w:r>
      <w:r w:rsidRPr="00A540BC">
        <w:rPr>
          <w:rFonts w:ascii="Times New Roman" w:eastAsia="Times New Roman" w:hAnsi="Times New Roman" w:cs="Times New Roman"/>
          <w:color w:val="000000"/>
          <w:sz w:val="23"/>
          <w:szCs w:val="23"/>
        </w:rPr>
        <w:t> </w:t>
      </w:r>
      <w:proofErr w:type="spellStart"/>
      <w:r w:rsidRPr="00A540BC">
        <w:rPr>
          <w:rFonts w:ascii="Times New Roman" w:eastAsia="Times New Roman" w:hAnsi="Times New Roman" w:cs="Times New Roman"/>
          <w:color w:val="000000"/>
          <w:sz w:val="23"/>
          <w:szCs w:val="23"/>
        </w:rPr>
        <w:fldChar w:fldCharType="begin"/>
      </w:r>
      <w:r w:rsidRPr="00A540BC">
        <w:rPr>
          <w:rFonts w:ascii="Times New Roman" w:eastAsia="Times New Roman" w:hAnsi="Times New Roman" w:cs="Times New Roman"/>
          <w:color w:val="000000"/>
          <w:sz w:val="23"/>
          <w:szCs w:val="23"/>
        </w:rPr>
        <w:instrText xml:space="preserve"> HYPERLINK "https://interbuh.com.ua/ua/documents/oneanalytics/104248" \t "_blank" </w:instrText>
      </w:r>
      <w:r w:rsidRPr="00A540BC">
        <w:rPr>
          <w:rFonts w:ascii="Times New Roman" w:eastAsia="Times New Roman" w:hAnsi="Times New Roman" w:cs="Times New Roman"/>
          <w:color w:val="000000"/>
          <w:sz w:val="23"/>
          <w:szCs w:val="23"/>
        </w:rPr>
        <w:fldChar w:fldCharType="separate"/>
      </w:r>
      <w:r w:rsidRPr="00A540BC">
        <w:rPr>
          <w:rFonts w:ascii="Times New Roman" w:eastAsia="Times New Roman" w:hAnsi="Times New Roman" w:cs="Times New Roman"/>
          <w:color w:val="306D9C"/>
          <w:sz w:val="23"/>
          <w:u w:val="single"/>
        </w:rPr>
        <w:t>ПКУ</w:t>
      </w:r>
      <w:r w:rsidRPr="00A540BC">
        <w:rPr>
          <w:rFonts w:ascii="Times New Roman" w:eastAsia="Times New Roman" w:hAnsi="Times New Roman" w:cs="Times New Roman"/>
          <w:color w:val="000000"/>
          <w:sz w:val="23"/>
          <w:szCs w:val="23"/>
        </w:rPr>
        <w:fldChar w:fldCharType="end"/>
      </w:r>
      <w:r w:rsidRPr="00A540BC">
        <w:rPr>
          <w:rFonts w:ascii="Times New Roman" w:eastAsia="Times New Roman" w:hAnsi="Times New Roman" w:cs="Times New Roman"/>
          <w:color w:val="000000"/>
          <w:sz w:val="23"/>
          <w:szCs w:val="23"/>
        </w:rPr>
        <w:t>в</w:t>
      </w:r>
      <w:proofErr w:type="spellEnd"/>
      <w:r w:rsidRPr="00A540BC">
        <w:rPr>
          <w:rFonts w:ascii="Times New Roman" w:eastAsia="Times New Roman" w:hAnsi="Times New Roman" w:cs="Times New Roman"/>
          <w:color w:val="000000"/>
          <w:sz w:val="23"/>
          <w:szCs w:val="23"/>
        </w:rPr>
        <w:t xml:space="preserve"> разі дострокового розірвання договорів довгострокового страхування життя чи договорів страхування в межах недержавного пенсійного забезпечення, зокрема страхування додаткової пенсії, або порушення інших вимог, установлених ПКУ для таких договорів.</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Додатки</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lastRenderedPageBreak/>
        <w:t>Про заповнення додатків ми незабаром розповімо в окремих публікаціях нашого видання. Тим часом зауважимо, що нині їх 10, а з додатком ПП буде 11 (його подають зі звітних періодів 2020 року):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АВ</w:t>
      </w:r>
      <w:r w:rsidRPr="00A540BC">
        <w:rPr>
          <w:rFonts w:ascii="Times New Roman" w:eastAsia="Times New Roman" w:hAnsi="Times New Roman" w:cs="Times New Roman"/>
          <w:color w:val="000000"/>
          <w:sz w:val="23"/>
          <w:szCs w:val="23"/>
        </w:rPr>
        <w:t> — Розрахунок авансового внеску з податку на прибуток підприємств на суму виплачених дивідендів (прирівняних до них платежів);</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ЗП</w:t>
      </w:r>
      <w:r w:rsidRPr="00A540BC">
        <w:rPr>
          <w:rFonts w:ascii="Times New Roman" w:eastAsia="Times New Roman" w:hAnsi="Times New Roman" w:cs="Times New Roman"/>
          <w:color w:val="000000"/>
          <w:sz w:val="23"/>
          <w:szCs w:val="23"/>
        </w:rPr>
        <w:t> — Зменшення нарахованої суми податку;</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ПН</w:t>
      </w:r>
      <w:r w:rsidRPr="00A540BC">
        <w:rPr>
          <w:rFonts w:ascii="Times New Roman" w:eastAsia="Times New Roman" w:hAnsi="Times New Roman" w:cs="Times New Roman"/>
          <w:color w:val="000000"/>
          <w:sz w:val="23"/>
          <w:szCs w:val="23"/>
        </w:rPr>
        <w:t> — Розрахунок (звіт) податкових зобов’язань нерезидентів, якими отримано доходи із джерелом їх походження з України (таблиця 1). Розрахунок прибутку від операцій із безпроцентними (дисконтними) облігаціями чи казначейськими зобов’язаннями (рядок 16 таблиці 1) (таблиця 2);</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ТЦ</w:t>
      </w:r>
      <w:r w:rsidRPr="00A540BC">
        <w:rPr>
          <w:rFonts w:ascii="Times New Roman" w:eastAsia="Times New Roman" w:hAnsi="Times New Roman" w:cs="Times New Roman"/>
          <w:color w:val="000000"/>
          <w:sz w:val="23"/>
          <w:szCs w:val="23"/>
        </w:rPr>
        <w:t> — Самостійне коригування податкових зобов’язань платника податку з метою трансфертного ціноутворення;</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ВП</w:t>
      </w:r>
      <w:r w:rsidRPr="00A540BC">
        <w:rPr>
          <w:rFonts w:ascii="Times New Roman" w:eastAsia="Times New Roman" w:hAnsi="Times New Roman" w:cs="Times New Roman"/>
          <w:color w:val="000000"/>
          <w:sz w:val="23"/>
          <w:szCs w:val="23"/>
        </w:rPr>
        <w:t> — Розрахунок податкових зобов’язань за період, у якому виявлено помилку(и);</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РІ</w:t>
      </w:r>
      <w:r w:rsidRPr="00A540BC">
        <w:rPr>
          <w:rFonts w:ascii="Times New Roman" w:eastAsia="Times New Roman" w:hAnsi="Times New Roman" w:cs="Times New Roman"/>
          <w:color w:val="000000"/>
          <w:sz w:val="23"/>
          <w:szCs w:val="23"/>
        </w:rPr>
        <w:t> — Різниці;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ПЗ</w:t>
      </w:r>
      <w:r w:rsidRPr="00A540BC">
        <w:rPr>
          <w:rFonts w:ascii="Times New Roman" w:eastAsia="Times New Roman" w:hAnsi="Times New Roman" w:cs="Times New Roman"/>
          <w:color w:val="000000"/>
          <w:sz w:val="23"/>
          <w:szCs w:val="23"/>
        </w:rPr>
        <w:t> — Розрахунок прибутку, що звільняється від оподаткування (таблиця 1). Підстави для застосування пільги (таблиця 2);</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АМ</w:t>
      </w:r>
      <w:r w:rsidRPr="00A540BC">
        <w:rPr>
          <w:rFonts w:ascii="Times New Roman" w:eastAsia="Times New Roman" w:hAnsi="Times New Roman" w:cs="Times New Roman"/>
          <w:color w:val="000000"/>
          <w:sz w:val="23"/>
          <w:szCs w:val="23"/>
        </w:rPr>
        <w:t> — Інформація щодо нарахованої амортизації;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ЦП</w:t>
      </w:r>
      <w:r w:rsidRPr="00A540BC">
        <w:rPr>
          <w:rFonts w:ascii="Times New Roman" w:eastAsia="Times New Roman" w:hAnsi="Times New Roman" w:cs="Times New Roman"/>
          <w:color w:val="000000"/>
          <w:sz w:val="23"/>
          <w:szCs w:val="23"/>
        </w:rPr>
        <w:t> — Розрахунок фінансового результату від операцій із цінними паперами;</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ФЗ</w:t>
      </w:r>
      <w:r w:rsidRPr="00A540BC">
        <w:rPr>
          <w:rFonts w:ascii="Times New Roman" w:eastAsia="Times New Roman" w:hAnsi="Times New Roman" w:cs="Times New Roman"/>
          <w:color w:val="000000"/>
          <w:sz w:val="23"/>
          <w:szCs w:val="23"/>
        </w:rPr>
        <w:t> — Фінансова звітність.</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Три з перелічених вище додатків (а саме — додатки АМ, ЦП і ТЦ) є додатками до </w:t>
      </w:r>
      <w:hyperlink r:id="rId66" w:tgtFrame="_blank" w:history="1">
        <w:r w:rsidRPr="00A540BC">
          <w:rPr>
            <w:rFonts w:ascii="Times New Roman" w:eastAsia="Times New Roman" w:hAnsi="Times New Roman" w:cs="Times New Roman"/>
            <w:color w:val="306D9C"/>
            <w:sz w:val="23"/>
            <w:u w:val="single"/>
          </w:rPr>
          <w:t>додатка РІ</w:t>
        </w:r>
      </w:hyperlink>
      <w:r w:rsidRPr="00A540BC">
        <w:rPr>
          <w:rFonts w:ascii="Times New Roman" w:eastAsia="Times New Roman" w:hAnsi="Times New Roman" w:cs="Times New Roman"/>
          <w:color w:val="000000"/>
          <w:sz w:val="23"/>
          <w:szCs w:val="23"/>
        </w:rPr>
        <w:t>. Тому їх дані напряму не переносять до рядків декларації, а відображають у додатку РІ, та вже через нього — у рядку 03 РІ </w:t>
      </w:r>
      <w:hyperlink r:id="rId67" w:tgtFrame="_blank" w:history="1">
        <w:r w:rsidRPr="00A540BC">
          <w:rPr>
            <w:rFonts w:ascii="Times New Roman" w:eastAsia="Times New Roman" w:hAnsi="Times New Roman" w:cs="Times New Roman"/>
            <w:color w:val="306D9C"/>
            <w:sz w:val="23"/>
            <w:u w:val="single"/>
          </w:rPr>
          <w:t>декларації</w:t>
        </w:r>
      </w:hyperlink>
      <w:r w:rsidRPr="00A540BC">
        <w:rPr>
          <w:rFonts w:ascii="Times New Roman" w:eastAsia="Times New Roman" w:hAnsi="Times New Roman" w:cs="Times New Roman"/>
          <w:color w:val="000000"/>
          <w:sz w:val="23"/>
          <w:szCs w:val="23"/>
        </w:rPr>
        <w:t>.</w:t>
      </w:r>
    </w:p>
    <w:p w:rsidR="00A540BC" w:rsidRPr="00A540BC" w:rsidRDefault="00A540BC" w:rsidP="00A540BC">
      <w:pPr>
        <w:spacing w:before="192"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Про наявність додатків треба зазначити в окремому полі.</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1746"/>
        <w:gridCol w:w="834"/>
        <w:gridCol w:w="790"/>
        <w:gridCol w:w="835"/>
        <w:gridCol w:w="983"/>
        <w:gridCol w:w="834"/>
        <w:gridCol w:w="687"/>
        <w:gridCol w:w="790"/>
        <w:gridCol w:w="893"/>
        <w:gridCol w:w="835"/>
        <w:gridCol w:w="862"/>
      </w:tblGrid>
      <w:tr w:rsidR="00A540BC" w:rsidRPr="00A540BC" w:rsidTr="00A540BC">
        <w:tc>
          <w:tcPr>
            <w:tcW w:w="177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Наявність додатків</w:t>
            </w:r>
            <w:r w:rsidRPr="00A540BC">
              <w:rPr>
                <w:rFonts w:ascii="Times New Roman" w:eastAsia="Times New Roman" w:hAnsi="Times New Roman" w:cs="Times New Roman"/>
                <w:sz w:val="21"/>
                <w:szCs w:val="21"/>
                <w:vertAlign w:val="superscript"/>
              </w:rPr>
              <w:t>10</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АВ</w:t>
            </w:r>
          </w:p>
        </w:tc>
        <w:tc>
          <w:tcPr>
            <w:tcW w:w="79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ЗП</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ПН</w:t>
            </w:r>
          </w:p>
        </w:t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ТЦ</w:t>
            </w:r>
            <w:r w:rsidRPr="00A540BC">
              <w:rPr>
                <w:rFonts w:ascii="Times New Roman" w:eastAsia="Times New Roman" w:hAnsi="Times New Roman" w:cs="Times New Roman"/>
                <w:sz w:val="21"/>
                <w:szCs w:val="21"/>
                <w:vertAlign w:val="superscript"/>
              </w:rPr>
              <w:t>11</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ВП</w:t>
            </w:r>
          </w:p>
        </w:tc>
        <w:tc>
          <w:tcPr>
            <w:tcW w:w="6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РІ</w:t>
            </w:r>
          </w:p>
        </w:tc>
        <w:tc>
          <w:tcPr>
            <w:tcW w:w="79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ПЗ</w:t>
            </w:r>
          </w:p>
        </w:tc>
        <w:tc>
          <w:tcPr>
            <w:tcW w:w="90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АМ</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ЦП</w:t>
            </w:r>
          </w:p>
        </w:tc>
        <w:tc>
          <w:tcPr>
            <w:tcW w:w="27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ФЗ</w:t>
            </w:r>
            <w:r w:rsidRPr="00A540BC">
              <w:rPr>
                <w:rFonts w:ascii="Times New Roman" w:eastAsia="Times New Roman" w:hAnsi="Times New Roman" w:cs="Times New Roman"/>
                <w:sz w:val="21"/>
                <w:szCs w:val="21"/>
                <w:vertAlign w:val="superscript"/>
              </w:rPr>
              <w:t>12</w:t>
            </w:r>
          </w:p>
        </w:tc>
      </w:tr>
      <w:tr w:rsidR="00A540BC" w:rsidRPr="00A540BC" w:rsidTr="00A540B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79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6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79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90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27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У відповідних клітинках таблиці проставляють позначка «+», окрім клітинки під літерами «ПН», у якій зазначають кількість поданих додатків «ПН» до декларації. Про це свідчить виноска 10.</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Додаток ТЦ заповнюють платники податку на прибуток підприємств, які здійснювали самостійне коригування відповідно до ст. 39 р. I </w:t>
      </w:r>
      <w:hyperlink r:id="rId68"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 (виноска 11).</w:t>
      </w:r>
    </w:p>
    <w:p w:rsidR="00A540BC" w:rsidRPr="00A540BC" w:rsidRDefault="00A540BC" w:rsidP="00A540BC">
      <w:pPr>
        <w:spacing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У новій формі декларації (зі змінами, унесеними </w:t>
      </w:r>
      <w:hyperlink r:id="rId69" w:tgtFrame="_blank" w:history="1">
        <w:r w:rsidRPr="00A540BC">
          <w:rPr>
            <w:rFonts w:ascii="Times New Roman" w:eastAsia="Times New Roman" w:hAnsi="Times New Roman" w:cs="Times New Roman"/>
            <w:color w:val="306D9C"/>
            <w:sz w:val="23"/>
            <w:u w:val="single"/>
          </w:rPr>
          <w:t>Наказом № 481</w:t>
        </w:r>
      </w:hyperlink>
      <w:r w:rsidRPr="00A540BC">
        <w:rPr>
          <w:rFonts w:ascii="Times New Roman" w:eastAsia="Times New Roman" w:hAnsi="Times New Roman" w:cs="Times New Roman"/>
          <w:color w:val="000000"/>
          <w:sz w:val="23"/>
          <w:szCs w:val="23"/>
        </w:rPr>
        <w:t xml:space="preserve">) поле з додатками має ще графу для додатка ПП й окремі комірки для вказування, за якими стандартами складають </w:t>
      </w:r>
      <w:proofErr w:type="spellStart"/>
      <w:r w:rsidRPr="00A540BC">
        <w:rPr>
          <w:rFonts w:ascii="Times New Roman" w:eastAsia="Times New Roman" w:hAnsi="Times New Roman" w:cs="Times New Roman"/>
          <w:color w:val="000000"/>
          <w:sz w:val="23"/>
          <w:szCs w:val="23"/>
        </w:rPr>
        <w:t>фінзвітність</w:t>
      </w:r>
      <w:proofErr w:type="spellEnd"/>
      <w:r w:rsidRPr="00A540BC">
        <w:rPr>
          <w:rFonts w:ascii="Times New Roman" w:eastAsia="Times New Roman" w:hAnsi="Times New Roman" w:cs="Times New Roman"/>
          <w:color w:val="000000"/>
          <w:sz w:val="23"/>
          <w:szCs w:val="23"/>
        </w:rPr>
        <w:t xml:space="preserve"> — міжнародними чи національними. Це актуально для тих, хто й за 2019 рік вирішить дослухатися до рекомендацій податківців та відзвітувати за новою формою.</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1191"/>
        <w:gridCol w:w="690"/>
        <w:gridCol w:w="661"/>
        <w:gridCol w:w="700"/>
        <w:gridCol w:w="795"/>
        <w:gridCol w:w="690"/>
        <w:gridCol w:w="604"/>
        <w:gridCol w:w="661"/>
        <w:gridCol w:w="728"/>
        <w:gridCol w:w="700"/>
        <w:gridCol w:w="700"/>
        <w:gridCol w:w="1028"/>
        <w:gridCol w:w="941"/>
      </w:tblGrid>
      <w:tr w:rsidR="00A540BC" w:rsidRPr="00A540BC" w:rsidTr="00A540BC">
        <w:tc>
          <w:tcPr>
            <w:tcW w:w="97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Наявність додатків</w:t>
            </w:r>
            <w:r w:rsidRPr="00A540BC">
              <w:rPr>
                <w:rFonts w:ascii="Times New Roman" w:eastAsia="Times New Roman" w:hAnsi="Times New Roman" w:cs="Times New Roman"/>
                <w:sz w:val="21"/>
                <w:szCs w:val="21"/>
                <w:vertAlign w:val="superscript"/>
              </w:rPr>
              <w:t>10</w:t>
            </w:r>
          </w:p>
        </w:tc>
        <w:tc>
          <w:tcPr>
            <w:tcW w:w="63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АВ</w:t>
            </w:r>
          </w:p>
        </w:tc>
        <w:tc>
          <w:tcPr>
            <w:tcW w:w="61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ЗП</w:t>
            </w:r>
          </w:p>
        </w:tc>
        <w:tc>
          <w:tcPr>
            <w:tcW w:w="64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ПН</w:t>
            </w:r>
          </w:p>
        </w:tc>
        <w:tc>
          <w:tcPr>
            <w:tcW w:w="67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ТЦ</w:t>
            </w:r>
            <w:r w:rsidRPr="00A540BC">
              <w:rPr>
                <w:rFonts w:ascii="Times New Roman" w:eastAsia="Times New Roman" w:hAnsi="Times New Roman" w:cs="Times New Roman"/>
                <w:sz w:val="21"/>
                <w:szCs w:val="21"/>
                <w:vertAlign w:val="superscript"/>
              </w:rPr>
              <w:t>11</w:t>
            </w:r>
          </w:p>
        </w:tc>
        <w:tc>
          <w:tcPr>
            <w:tcW w:w="70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ВП</w:t>
            </w:r>
          </w:p>
        </w:tc>
        <w:tc>
          <w:tcPr>
            <w:tcW w:w="70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РІ</w:t>
            </w:r>
          </w:p>
        </w:tc>
        <w:tc>
          <w:tcPr>
            <w:tcW w:w="70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ПЗ</w:t>
            </w:r>
          </w:p>
        </w:tc>
        <w:tc>
          <w:tcPr>
            <w:tcW w:w="70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АМ</w:t>
            </w:r>
          </w:p>
        </w:tc>
        <w:tc>
          <w:tcPr>
            <w:tcW w:w="85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ЦП</w:t>
            </w:r>
          </w:p>
        </w:tc>
        <w:tc>
          <w:tcPr>
            <w:tcW w:w="70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ПП</w:t>
            </w:r>
          </w:p>
        </w:tc>
        <w:tc>
          <w:tcPr>
            <w:tcW w:w="1695" w:type="dxa"/>
            <w:gridSpan w:val="2"/>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ФЗ</w:t>
            </w:r>
            <w:r w:rsidRPr="00A540BC">
              <w:rPr>
                <w:rFonts w:ascii="Times New Roman" w:eastAsia="Times New Roman" w:hAnsi="Times New Roman" w:cs="Times New Roman"/>
                <w:sz w:val="21"/>
                <w:szCs w:val="21"/>
                <w:vertAlign w:val="superscript"/>
              </w:rPr>
              <w:t>12</w:t>
            </w:r>
          </w:p>
        </w:tc>
      </w:tr>
      <w:tr w:rsidR="00A540BC" w:rsidRPr="00A540BC" w:rsidTr="00A540B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85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П(С)БО</w:t>
            </w:r>
          </w:p>
        </w:tc>
        <w:tc>
          <w:tcPr>
            <w:tcW w:w="85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МСФЗ</w:t>
            </w:r>
          </w:p>
        </w:tc>
      </w:tr>
      <w:tr w:rsidR="00A540BC" w:rsidRPr="00A540BC" w:rsidTr="00A540B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63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61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64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6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70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70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70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70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85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70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85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c>
          <w:tcPr>
            <w:tcW w:w="85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r>
    </w:tbl>
    <w:p w:rsidR="00A540BC" w:rsidRPr="00A540BC" w:rsidRDefault="00A540BC" w:rsidP="00A540BC">
      <w:pPr>
        <w:spacing w:line="285" w:lineRule="atLeast"/>
        <w:ind w:firstLine="450"/>
        <w:jc w:val="center"/>
        <w:textAlignment w:val="baseline"/>
        <w:rPr>
          <w:rFonts w:ascii="Times New Roman" w:eastAsia="Times New Roman" w:hAnsi="Times New Roman" w:cs="Times New Roman"/>
          <w:color w:val="000000"/>
          <w:sz w:val="23"/>
          <w:szCs w:val="23"/>
        </w:rPr>
      </w:pPr>
      <w:proofErr w:type="spellStart"/>
      <w:r w:rsidRPr="00A540BC">
        <w:rPr>
          <w:rFonts w:ascii="Times New Roman" w:eastAsia="Times New Roman" w:hAnsi="Times New Roman" w:cs="Times New Roman"/>
          <w:b/>
          <w:bCs/>
          <w:color w:val="000000"/>
          <w:sz w:val="23"/>
        </w:rPr>
        <w:t>Фінзвітність</w:t>
      </w:r>
      <w:proofErr w:type="spellEnd"/>
      <w:r w:rsidRPr="00A540BC">
        <w:rPr>
          <w:rFonts w:ascii="Times New Roman" w:eastAsia="Times New Roman" w:hAnsi="Times New Roman" w:cs="Times New Roman"/>
          <w:b/>
          <w:bCs/>
          <w:color w:val="000000"/>
          <w:sz w:val="23"/>
        </w:rPr>
        <w:t>, яку подають із декларацією</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1145"/>
        <w:gridCol w:w="1095"/>
        <w:gridCol w:w="1059"/>
        <w:gridCol w:w="999"/>
        <w:gridCol w:w="946"/>
        <w:gridCol w:w="1057"/>
        <w:gridCol w:w="835"/>
        <w:gridCol w:w="1059"/>
        <w:gridCol w:w="835"/>
        <w:gridCol w:w="1059"/>
      </w:tblGrid>
      <w:tr w:rsidR="00A540BC" w:rsidRPr="00A540BC" w:rsidTr="00A540BC">
        <w:trPr>
          <w:trHeight w:val="540"/>
        </w:trPr>
        <w:tc>
          <w:tcPr>
            <w:tcW w:w="141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xml:space="preserve">Наявність поданих до </w:t>
            </w:r>
            <w:r w:rsidRPr="00A540BC">
              <w:rPr>
                <w:rFonts w:ascii="Times New Roman" w:eastAsia="Times New Roman" w:hAnsi="Times New Roman" w:cs="Times New Roman"/>
                <w:sz w:val="21"/>
                <w:szCs w:val="21"/>
              </w:rPr>
              <w:lastRenderedPageBreak/>
              <w:t>Податкової декларації з податку на прибуток підприємств додатків – форм фінансової звітності</w:t>
            </w:r>
            <w:r w:rsidRPr="00A540BC">
              <w:rPr>
                <w:rFonts w:ascii="Times New Roman" w:eastAsia="Times New Roman" w:hAnsi="Times New Roman" w:cs="Times New Roman"/>
                <w:sz w:val="21"/>
                <w:szCs w:val="21"/>
                <w:vertAlign w:val="superscript"/>
              </w:rPr>
              <w:t>12</w:t>
            </w:r>
          </w:p>
        </w:tc>
        <w:tc>
          <w:tcPr>
            <w:tcW w:w="99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Баланс (Звіт про фінанс</w:t>
            </w:r>
            <w:r w:rsidRPr="00A540BC">
              <w:rPr>
                <w:rFonts w:ascii="Times New Roman" w:eastAsia="Times New Roman" w:hAnsi="Times New Roman" w:cs="Times New Roman"/>
                <w:sz w:val="21"/>
                <w:szCs w:val="21"/>
              </w:rPr>
              <w:lastRenderedPageBreak/>
              <w:t>овий стан)</w:t>
            </w:r>
            <w:r w:rsidRPr="00A540BC">
              <w:rPr>
                <w:rFonts w:ascii="Times New Roman" w:eastAsia="Times New Roman" w:hAnsi="Times New Roman" w:cs="Times New Roman"/>
                <w:sz w:val="21"/>
                <w:szCs w:val="21"/>
                <w:vertAlign w:val="superscript"/>
              </w:rPr>
              <w:t>13</w:t>
            </w:r>
          </w:p>
        </w:tc>
        <w:tc>
          <w:tcPr>
            <w:tcW w:w="114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 xml:space="preserve">Звіт про фінансові </w:t>
            </w:r>
            <w:r w:rsidRPr="00A540BC">
              <w:rPr>
                <w:rFonts w:ascii="Times New Roman" w:eastAsia="Times New Roman" w:hAnsi="Times New Roman" w:cs="Times New Roman"/>
                <w:sz w:val="21"/>
                <w:szCs w:val="21"/>
              </w:rPr>
              <w:lastRenderedPageBreak/>
              <w:t>результати (Звіт про сукупний дохід)</w:t>
            </w:r>
            <w:r w:rsidRPr="00A540BC">
              <w:rPr>
                <w:rFonts w:ascii="Times New Roman" w:eastAsia="Times New Roman" w:hAnsi="Times New Roman" w:cs="Times New Roman"/>
                <w:sz w:val="21"/>
                <w:szCs w:val="21"/>
                <w:vertAlign w:val="superscript"/>
              </w:rPr>
              <w:t>13</w:t>
            </w:r>
          </w:p>
        </w:tc>
        <w:tc>
          <w:tcPr>
            <w:tcW w:w="99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Звіт про рух грош</w:t>
            </w:r>
            <w:r w:rsidRPr="00A540BC">
              <w:rPr>
                <w:rFonts w:ascii="Times New Roman" w:eastAsia="Times New Roman" w:hAnsi="Times New Roman" w:cs="Times New Roman"/>
                <w:sz w:val="21"/>
                <w:szCs w:val="21"/>
              </w:rPr>
              <w:lastRenderedPageBreak/>
              <w:t>ових коштів</w:t>
            </w:r>
            <w:r w:rsidRPr="00A540BC">
              <w:rPr>
                <w:rFonts w:ascii="Times New Roman" w:eastAsia="Times New Roman" w:hAnsi="Times New Roman" w:cs="Times New Roman"/>
                <w:sz w:val="21"/>
                <w:szCs w:val="21"/>
                <w:vertAlign w:val="superscript"/>
              </w:rPr>
              <w:t>13</w:t>
            </w:r>
          </w:p>
        </w:tc>
        <w:tc>
          <w:tcPr>
            <w:tcW w:w="82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 xml:space="preserve">Звіт про власний </w:t>
            </w:r>
            <w:r w:rsidRPr="00A540BC">
              <w:rPr>
                <w:rFonts w:ascii="Times New Roman" w:eastAsia="Times New Roman" w:hAnsi="Times New Roman" w:cs="Times New Roman"/>
                <w:sz w:val="21"/>
                <w:szCs w:val="21"/>
              </w:rPr>
              <w:lastRenderedPageBreak/>
              <w:t>капітал</w:t>
            </w:r>
            <w:r w:rsidRPr="00A540BC">
              <w:rPr>
                <w:rFonts w:ascii="Times New Roman" w:eastAsia="Times New Roman" w:hAnsi="Times New Roman" w:cs="Times New Roman"/>
                <w:sz w:val="21"/>
                <w:szCs w:val="21"/>
                <w:vertAlign w:val="superscript"/>
              </w:rPr>
              <w:t>13</w:t>
            </w:r>
          </w:p>
        </w:tc>
        <w:tc>
          <w:tcPr>
            <w:tcW w:w="990"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Примітки до річної фінанс</w:t>
            </w:r>
            <w:r w:rsidRPr="00A540BC">
              <w:rPr>
                <w:rFonts w:ascii="Times New Roman" w:eastAsia="Times New Roman" w:hAnsi="Times New Roman" w:cs="Times New Roman"/>
                <w:sz w:val="21"/>
                <w:szCs w:val="21"/>
              </w:rPr>
              <w:lastRenderedPageBreak/>
              <w:t>ової звітності</w:t>
            </w:r>
            <w:r w:rsidRPr="00A540BC">
              <w:rPr>
                <w:rFonts w:ascii="Times New Roman" w:eastAsia="Times New Roman" w:hAnsi="Times New Roman" w:cs="Times New Roman"/>
                <w:sz w:val="21"/>
                <w:szCs w:val="21"/>
                <w:vertAlign w:val="superscript"/>
              </w:rPr>
              <w:t>13</w:t>
            </w:r>
          </w:p>
        </w:tc>
        <w:tc>
          <w:tcPr>
            <w:tcW w:w="1725" w:type="dxa"/>
            <w:gridSpan w:val="2"/>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Фінансовий звіт суб’єкта малого підприємництв</w:t>
            </w:r>
            <w:r w:rsidRPr="00A540BC">
              <w:rPr>
                <w:rFonts w:ascii="Times New Roman" w:eastAsia="Times New Roman" w:hAnsi="Times New Roman" w:cs="Times New Roman"/>
                <w:sz w:val="21"/>
                <w:szCs w:val="21"/>
              </w:rPr>
              <w:lastRenderedPageBreak/>
              <w:t>а</w:t>
            </w:r>
          </w:p>
        </w:tc>
        <w:tc>
          <w:tcPr>
            <w:tcW w:w="1695" w:type="dxa"/>
            <w:gridSpan w:val="2"/>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lastRenderedPageBreak/>
              <w:t>Спрощений фінансовий звіт суб’єкта малого підприємництв</w:t>
            </w:r>
            <w:r w:rsidRPr="00A540BC">
              <w:rPr>
                <w:rFonts w:ascii="Times New Roman" w:eastAsia="Times New Roman" w:hAnsi="Times New Roman" w:cs="Times New Roman"/>
                <w:sz w:val="21"/>
                <w:szCs w:val="21"/>
              </w:rPr>
              <w:lastRenderedPageBreak/>
              <w:t>а</w:t>
            </w:r>
          </w:p>
        </w:tc>
      </w:tr>
      <w:tr w:rsidR="00A540BC" w:rsidRPr="00A540BC" w:rsidTr="00A540BC">
        <w:trPr>
          <w:trHeight w:val="84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Баланс</w:t>
            </w:r>
          </w:p>
        </w:tc>
        <w:tc>
          <w:tcPr>
            <w:tcW w:w="87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Звіт про фінансові результати</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Баланс</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Звіт про фінансові результати</w:t>
            </w:r>
          </w:p>
        </w:tc>
      </w:tr>
      <w:tr w:rsidR="00A540BC" w:rsidRPr="00A540BC" w:rsidTr="00A540BC">
        <w:trPr>
          <w:trHeight w:val="225"/>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11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2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7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4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Навпроти відповідної клітинки проставляють знак «+» (зазначено у виносці 12).</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У новій формі декларації (зі змінами, унесеними </w:t>
      </w:r>
      <w:hyperlink r:id="rId70" w:tgtFrame="_blank" w:history="1">
        <w:r w:rsidRPr="00A540BC">
          <w:rPr>
            <w:rFonts w:ascii="Times New Roman" w:eastAsia="Times New Roman" w:hAnsi="Times New Roman" w:cs="Times New Roman"/>
            <w:color w:val="306D9C"/>
            <w:sz w:val="23"/>
            <w:u w:val="single"/>
          </w:rPr>
          <w:t>Наказом № 481</w:t>
        </w:r>
      </w:hyperlink>
      <w:r w:rsidRPr="00A540BC">
        <w:rPr>
          <w:rFonts w:ascii="Times New Roman" w:eastAsia="Times New Roman" w:hAnsi="Times New Roman" w:cs="Times New Roman"/>
          <w:color w:val="000000"/>
          <w:sz w:val="23"/>
          <w:szCs w:val="23"/>
        </w:rPr>
        <w:t xml:space="preserve">), на жаль, назви форм </w:t>
      </w:r>
      <w:proofErr w:type="spellStart"/>
      <w:r w:rsidRPr="00A540BC">
        <w:rPr>
          <w:rFonts w:ascii="Times New Roman" w:eastAsia="Times New Roman" w:hAnsi="Times New Roman" w:cs="Times New Roman"/>
          <w:color w:val="000000"/>
          <w:sz w:val="23"/>
          <w:szCs w:val="23"/>
        </w:rPr>
        <w:t>фінзвітності</w:t>
      </w:r>
      <w:proofErr w:type="spellEnd"/>
      <w:r w:rsidRPr="00A540BC">
        <w:rPr>
          <w:rFonts w:ascii="Times New Roman" w:eastAsia="Times New Roman" w:hAnsi="Times New Roman" w:cs="Times New Roman"/>
          <w:color w:val="000000"/>
          <w:sz w:val="23"/>
          <w:szCs w:val="23"/>
        </w:rPr>
        <w:t xml:space="preserve"> не оновили. Адже для малих і мікропідприємств їх назви змінилися (див. </w:t>
      </w:r>
      <w:hyperlink r:id="rId71" w:tgtFrame="_blank" w:history="1">
        <w:r w:rsidRPr="00A540BC">
          <w:rPr>
            <w:rFonts w:ascii="Times New Roman" w:eastAsia="Times New Roman" w:hAnsi="Times New Roman" w:cs="Times New Roman"/>
            <w:color w:val="306D9C"/>
            <w:sz w:val="23"/>
            <w:u w:val="single"/>
          </w:rPr>
          <w:t>НП(С)БО 25</w:t>
        </w:r>
      </w:hyperlink>
      <w:r w:rsidRPr="00A540BC">
        <w:rPr>
          <w:rFonts w:ascii="Times New Roman" w:eastAsia="Times New Roman" w:hAnsi="Times New Roman" w:cs="Times New Roman"/>
          <w:color w:val="000000"/>
          <w:sz w:val="23"/>
          <w:szCs w:val="23"/>
        </w:rPr>
        <w:t>) і звучать як Фінансова звітність малого підприємства (№ 1-м та № 2-м) та Фінансова звітність мікропідприємства (№ 1-мс та № 2-мс).</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Та, безспірно, це не завадить проставити правильно відмітки щодо форм </w:t>
      </w:r>
      <w:proofErr w:type="spellStart"/>
      <w:r w:rsidRPr="00A540BC">
        <w:rPr>
          <w:rFonts w:ascii="Times New Roman" w:eastAsia="Times New Roman" w:hAnsi="Times New Roman" w:cs="Times New Roman"/>
          <w:color w:val="000000"/>
          <w:sz w:val="23"/>
          <w:szCs w:val="23"/>
        </w:rPr>
        <w:t>фінзвітності</w:t>
      </w:r>
      <w:proofErr w:type="spellEnd"/>
      <w:r w:rsidRPr="00A540BC">
        <w:rPr>
          <w:rFonts w:ascii="Times New Roman" w:eastAsia="Times New Roman" w:hAnsi="Times New Roman" w:cs="Times New Roman"/>
          <w:color w:val="000000"/>
          <w:sz w:val="23"/>
          <w:szCs w:val="23"/>
        </w:rPr>
        <w:t>, які подає підприємство.</w:t>
      </w:r>
    </w:p>
    <w:p w:rsidR="00A540BC" w:rsidRPr="00A540BC" w:rsidRDefault="00A540BC" w:rsidP="00A540BC">
      <w:pPr>
        <w:spacing w:line="285" w:lineRule="atLeast"/>
        <w:ind w:firstLine="450"/>
        <w:jc w:val="center"/>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Доповнення до декларації</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1698"/>
        <w:gridCol w:w="727"/>
        <w:gridCol w:w="7664"/>
      </w:tblGrid>
      <w:tr w:rsidR="00A540BC" w:rsidRPr="00A540BC" w:rsidTr="00A540BC">
        <w:tc>
          <w:tcPr>
            <w:tcW w:w="136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Наявність доповнення</w:t>
            </w:r>
            <w:r w:rsidRPr="00A540BC">
              <w:rPr>
                <w:rFonts w:ascii="Times New Roman" w:eastAsia="Times New Roman" w:hAnsi="Times New Roman" w:cs="Times New Roman"/>
                <w:sz w:val="21"/>
                <w:szCs w:val="21"/>
                <w:vertAlign w:val="superscript"/>
              </w:rPr>
              <w:t>14</w:t>
            </w:r>
          </w:p>
        </w:tc>
        <w:tc>
          <w:tcPr>
            <w:tcW w:w="7890" w:type="dxa"/>
            <w:gridSpan w:val="2"/>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Доповнення до Податкової декларації з податку на прибуток підприємств (заповнюється і подається відповідно до пункту 46.4 статті 46 розділу II Податкового кодексу України)</w:t>
            </w:r>
          </w:p>
        </w:tc>
      </w:tr>
      <w:tr w:rsidR="00A540BC" w:rsidRPr="00A540BC" w:rsidTr="00A540BC">
        <w:tc>
          <w:tcPr>
            <w:tcW w:w="1365" w:type="dxa"/>
            <w:vMerge w:val="restart"/>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46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з/п</w:t>
            </w:r>
          </w:p>
        </w:tc>
        <w:tc>
          <w:tcPr>
            <w:tcW w:w="69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Зміст доповнення</w:t>
            </w:r>
          </w:p>
        </w:tc>
      </w:tr>
      <w:tr w:rsidR="00A540BC" w:rsidRPr="00A540BC" w:rsidTr="00A540B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A540BC" w:rsidRPr="00A540BC" w:rsidRDefault="00A540BC" w:rsidP="00A540BC">
            <w:pPr>
              <w:spacing w:after="0" w:line="240" w:lineRule="auto"/>
              <w:rPr>
                <w:rFonts w:ascii="Times New Roman" w:eastAsia="Times New Roman" w:hAnsi="Times New Roman" w:cs="Times New Roman"/>
                <w:sz w:val="21"/>
                <w:szCs w:val="21"/>
              </w:rPr>
            </w:pPr>
          </w:p>
        </w:tc>
        <w:tc>
          <w:tcPr>
            <w:tcW w:w="46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697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r>
    </w:tbl>
    <w:p w:rsidR="00A540BC" w:rsidRPr="00A540BC" w:rsidRDefault="00A540BC" w:rsidP="00A540BC">
      <w:pPr>
        <w:spacing w:line="285" w:lineRule="atLeast"/>
        <w:jc w:val="both"/>
        <w:textAlignment w:val="baseline"/>
        <w:rPr>
          <w:rFonts w:ascii="Times New Roman" w:eastAsia="Times New Roman" w:hAnsi="Times New Roman" w:cs="Times New Roman"/>
          <w:vanish/>
          <w:color w:val="000000"/>
          <w:sz w:val="23"/>
          <w:szCs w:val="23"/>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10089"/>
      </w:tblGrid>
      <w:tr w:rsidR="00A540BC" w:rsidRPr="00A540BC" w:rsidTr="00A540BC">
        <w:tc>
          <w:tcPr>
            <w:tcW w:w="9735"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Додатки на ___ арк.</w:t>
            </w:r>
          </w:p>
        </w:tc>
      </w:tr>
    </w:tbl>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t>Нагадаємо</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Згідно з п. 46.4 </w:t>
      </w:r>
      <w:hyperlink r:id="rId72" w:tgtFrame="_blank" w:history="1">
        <w:r w:rsidRPr="00A540BC">
          <w:rPr>
            <w:rFonts w:ascii="Times New Roman" w:eastAsia="Times New Roman" w:hAnsi="Times New Roman" w:cs="Times New Roman"/>
            <w:color w:val="306D9C"/>
            <w:sz w:val="23"/>
            <w:u w:val="single"/>
          </w:rPr>
          <w:t>ПКУ</w:t>
        </w:r>
      </w:hyperlink>
      <w:r w:rsidRPr="00A540BC">
        <w:rPr>
          <w:rFonts w:ascii="Times New Roman" w:eastAsia="Times New Roman" w:hAnsi="Times New Roman" w:cs="Times New Roman"/>
          <w:color w:val="000000"/>
          <w:sz w:val="23"/>
          <w:szCs w:val="23"/>
        </w:rPr>
        <w:t>, якщо платник вважає, що форма податкової декларації збільшує чи зменшує його податкові зобов’язання, усупереч нормам він має право зазначити цей факт у спеціально відведеному місці в податковій декларації.</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За потреби платник податків може подати разом із такою податковою декларацією доповнення до цієї декларації, складене в довільній формі, що вважатиметься невід’ємною частиною податкової декларації.</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Таке </w:t>
      </w:r>
      <w:r w:rsidRPr="00A540BC">
        <w:rPr>
          <w:rFonts w:ascii="Times New Roman" w:eastAsia="Times New Roman" w:hAnsi="Times New Roman" w:cs="Times New Roman"/>
          <w:b/>
          <w:bCs/>
          <w:color w:val="000000"/>
          <w:sz w:val="23"/>
        </w:rPr>
        <w:t>доповнення подають із поясненням мотивів його подання</w:t>
      </w:r>
      <w:r w:rsidRPr="00A540BC">
        <w:rPr>
          <w:rFonts w:ascii="Times New Roman" w:eastAsia="Times New Roman" w:hAnsi="Times New Roman" w:cs="Times New Roman"/>
          <w:color w:val="000000"/>
          <w:sz w:val="23"/>
          <w:szCs w:val="23"/>
        </w:rPr>
        <w:t>. Платник податків, який подає звітність в електронній формі, подає таке доповнення в електронній формі.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Отже, </w:t>
      </w:r>
      <w:r w:rsidRPr="00A540BC">
        <w:rPr>
          <w:rFonts w:ascii="Times New Roman" w:eastAsia="Times New Roman" w:hAnsi="Times New Roman" w:cs="Times New Roman"/>
          <w:b/>
          <w:bCs/>
          <w:color w:val="000000"/>
          <w:sz w:val="23"/>
        </w:rPr>
        <w:t>якщо підприємство подає доповнення, воно нумерує їх і вказує суть, зміст доповнення в наведеному вище полі</w:t>
      </w:r>
      <w:r w:rsidRPr="00A540BC">
        <w:rPr>
          <w:rFonts w:ascii="Times New Roman" w:eastAsia="Times New Roman" w:hAnsi="Times New Roman" w:cs="Times New Roman"/>
          <w:color w:val="000000"/>
          <w:sz w:val="23"/>
          <w:szCs w:val="23"/>
        </w:rPr>
        <w:t>.</w:t>
      </w:r>
    </w:p>
    <w:p w:rsidR="00A540BC" w:rsidRPr="00A540BC" w:rsidRDefault="00A540BC" w:rsidP="00A540BC">
      <w:pPr>
        <w:spacing w:line="285" w:lineRule="atLeast"/>
        <w:ind w:firstLine="450"/>
        <w:jc w:val="center"/>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b/>
          <w:bCs/>
          <w:color w:val="000000"/>
          <w:sz w:val="23"/>
        </w:rPr>
        <w:lastRenderedPageBreak/>
        <w:t>Рішення про незастосування різниць</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tblPr>
      <w:tblGrid>
        <w:gridCol w:w="1412"/>
        <w:gridCol w:w="8677"/>
      </w:tblGrid>
      <w:tr w:rsidR="00A540BC" w:rsidRPr="00A540BC" w:rsidTr="00A540B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Наявність рішення</w:t>
            </w:r>
            <w:r w:rsidRPr="00A540BC">
              <w:rPr>
                <w:rFonts w:ascii="Times New Roman" w:eastAsia="Times New Roman" w:hAnsi="Times New Roman" w:cs="Times New Roman"/>
                <w:sz w:val="21"/>
                <w:szCs w:val="21"/>
                <w:vertAlign w:val="superscript"/>
              </w:rPr>
              <w:t>15</w:t>
            </w:r>
          </w:p>
        </w:tc>
        <w:tc>
          <w:tcPr>
            <w:tcW w:w="825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before="192" w:after="150" w:line="255" w:lineRule="atLeast"/>
              <w:jc w:val="center"/>
              <w:textAlignment w:val="baseline"/>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Прийнято рішення про незастосування коригувань фінансового результату до оподаткування на усі різниці</w:t>
            </w:r>
          </w:p>
        </w:tc>
      </w:tr>
      <w:tr w:rsidR="00A540BC" w:rsidRPr="00A540BC" w:rsidTr="00A540BC">
        <w:tc>
          <w:tcPr>
            <w:tcW w:w="99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r w:rsidRPr="00A540BC">
              <w:rPr>
                <w:rFonts w:ascii="Times New Roman" w:eastAsia="Times New Roman" w:hAnsi="Times New Roman" w:cs="Times New Roman"/>
                <w:sz w:val="21"/>
                <w:szCs w:val="21"/>
              </w:rPr>
              <w:t> </w:t>
            </w:r>
          </w:p>
        </w:tc>
        <w:tc>
          <w:tcPr>
            <w:tcW w:w="8250" w:type="dxa"/>
            <w:tcBorders>
              <w:top w:val="single" w:sz="6" w:space="0" w:color="CCCCCC"/>
              <w:left w:val="single" w:sz="6" w:space="0" w:color="CCCCCC"/>
              <w:bottom w:val="single" w:sz="6" w:space="0" w:color="CCCCCC"/>
              <w:right w:val="single" w:sz="6" w:space="0" w:color="CCCCCC"/>
            </w:tcBorders>
            <w:tcMar>
              <w:top w:w="0" w:type="dxa"/>
              <w:left w:w="225" w:type="dxa"/>
              <w:bottom w:w="0" w:type="dxa"/>
              <w:right w:w="225" w:type="dxa"/>
            </w:tcMar>
            <w:vAlign w:val="bottom"/>
            <w:hideMark/>
          </w:tcPr>
          <w:p w:rsidR="00A540BC" w:rsidRPr="00A540BC" w:rsidRDefault="00A540BC" w:rsidP="00A540BC">
            <w:pPr>
              <w:spacing w:after="0" w:line="255" w:lineRule="atLeast"/>
              <w:rPr>
                <w:rFonts w:ascii="Times New Roman" w:eastAsia="Times New Roman" w:hAnsi="Times New Roman" w:cs="Times New Roman"/>
                <w:sz w:val="21"/>
                <w:szCs w:val="21"/>
              </w:rPr>
            </w:pPr>
          </w:p>
        </w:tc>
      </w:tr>
    </w:tbl>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Якщо підприємство має дохід за останній рік не більш ніж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і не бажає використовувати різниці під час визначення податку на прибуток, потрібно:</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оформити таке рішення окремим наказом або розпорядженням;</w:t>
      </w:r>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зазначити про прийняте рішення в декларації в окремому полі. Водночас, у який спосіб проставлятимуть відмітку, ролі не відіграє, головне, аби однозначно було зрозуміло. Тому найвдалішим варіантом нам видається проставляння відмітки «+» і запис реквізитів документа, яким прийнято рішення про незастосування різниць, — ).</w:t>
      </w:r>
    </w:p>
    <w:p w:rsidR="00A540BC" w:rsidRPr="00A540BC" w:rsidRDefault="00A540BC" w:rsidP="00A540BC">
      <w:pPr>
        <w:spacing w:after="0" w:line="285" w:lineRule="atLeast"/>
        <w:jc w:val="both"/>
        <w:textAlignment w:val="baseline"/>
        <w:rPr>
          <w:rFonts w:ascii="Times New Roman" w:eastAsia="Times New Roman" w:hAnsi="Times New Roman" w:cs="Times New Roman"/>
          <w:b/>
          <w:bCs/>
          <w:i/>
          <w:iCs/>
          <w:color w:val="D2232A"/>
          <w:sz w:val="23"/>
          <w:szCs w:val="23"/>
        </w:rPr>
      </w:pPr>
      <w:r w:rsidRPr="00A540BC">
        <w:rPr>
          <w:rFonts w:ascii="Times New Roman" w:eastAsia="Times New Roman" w:hAnsi="Times New Roman" w:cs="Times New Roman"/>
          <w:b/>
          <w:bCs/>
          <w:i/>
          <w:iCs/>
          <w:color w:val="D2232A"/>
          <w:sz w:val="23"/>
        </w:rPr>
        <w:t>Завважимо</w:t>
      </w:r>
    </w:p>
    <w:p w:rsidR="00A540BC" w:rsidRPr="00A540BC" w:rsidRDefault="00A540BC" w:rsidP="00A540BC">
      <w:pPr>
        <w:spacing w:line="285" w:lineRule="atLeast"/>
        <w:jc w:val="both"/>
        <w:textAlignment w:val="baseline"/>
        <w:rPr>
          <w:rFonts w:ascii="Times New Roman" w:eastAsia="Times New Roman" w:hAnsi="Times New Roman" w:cs="Times New Roman"/>
          <w:i/>
          <w:iCs/>
          <w:color w:val="D2232A"/>
          <w:sz w:val="23"/>
          <w:szCs w:val="23"/>
        </w:rPr>
      </w:pPr>
      <w:r w:rsidRPr="00A540BC">
        <w:rPr>
          <w:rFonts w:ascii="Times New Roman" w:eastAsia="Times New Roman" w:hAnsi="Times New Roman" w:cs="Times New Roman"/>
          <w:i/>
          <w:iCs/>
          <w:color w:val="D2232A"/>
          <w:sz w:val="23"/>
          <w:szCs w:val="23"/>
        </w:rPr>
        <w:t>Рішення приймають не більш ніж раз протягом безперервної сукупності років, у кожному з яких виконують цей критерій щодо розміру доходу. Про прийняте рішення платник податку вказує в податковій звітності із цього податку, що подається за перший рік у такій безперервній сукупності років. Протягом наступних років такої сукупності коригування фінансового результату на різниці з р. ІІІ </w:t>
      </w:r>
      <w:hyperlink r:id="rId73" w:tgtFrame="_blank" w:history="1">
        <w:r w:rsidRPr="00A540BC">
          <w:rPr>
            <w:rFonts w:ascii="Times New Roman" w:eastAsia="Times New Roman" w:hAnsi="Times New Roman" w:cs="Times New Roman"/>
            <w:i/>
            <w:iCs/>
            <w:color w:val="306D9C"/>
            <w:sz w:val="23"/>
            <w:u w:val="single"/>
          </w:rPr>
          <w:t>ПКУ</w:t>
        </w:r>
      </w:hyperlink>
      <w:r w:rsidRPr="00A540BC">
        <w:rPr>
          <w:rFonts w:ascii="Times New Roman" w:eastAsia="Times New Roman" w:hAnsi="Times New Roman" w:cs="Times New Roman"/>
          <w:i/>
          <w:iCs/>
          <w:color w:val="D2232A"/>
          <w:sz w:val="23"/>
          <w:szCs w:val="23"/>
        </w:rPr>
        <w:t> також не застосовують (крім від’ємного значення об’єкта оподаткування минулих податкових (звітних) років) (пп. 134.1.1 </w:t>
      </w:r>
      <w:hyperlink r:id="rId74" w:tgtFrame="_blank" w:history="1">
        <w:r w:rsidRPr="00A540BC">
          <w:rPr>
            <w:rFonts w:ascii="Times New Roman" w:eastAsia="Times New Roman" w:hAnsi="Times New Roman" w:cs="Times New Roman"/>
            <w:i/>
            <w:iCs/>
            <w:color w:val="306D9C"/>
            <w:sz w:val="23"/>
            <w:u w:val="single"/>
          </w:rPr>
          <w:t>ПКУ</w:t>
        </w:r>
      </w:hyperlink>
      <w:r w:rsidRPr="00A540BC">
        <w:rPr>
          <w:rFonts w:ascii="Times New Roman" w:eastAsia="Times New Roman" w:hAnsi="Times New Roman" w:cs="Times New Roman"/>
          <w:i/>
          <w:iCs/>
          <w:color w:val="D2232A"/>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proofErr w:type="spellStart"/>
      <w:r w:rsidRPr="00A540BC">
        <w:rPr>
          <w:rFonts w:ascii="Times New Roman" w:eastAsia="Times New Roman" w:hAnsi="Times New Roman" w:cs="Times New Roman"/>
          <w:color w:val="000000"/>
          <w:sz w:val="23"/>
          <w:szCs w:val="23"/>
        </w:rPr>
        <w:t>Розлогіше</w:t>
      </w:r>
      <w:proofErr w:type="spellEnd"/>
      <w:r w:rsidRPr="00A540BC">
        <w:rPr>
          <w:rFonts w:ascii="Times New Roman" w:eastAsia="Times New Roman" w:hAnsi="Times New Roman" w:cs="Times New Roman"/>
          <w:color w:val="000000"/>
          <w:sz w:val="23"/>
          <w:szCs w:val="23"/>
        </w:rPr>
        <w:t xml:space="preserve"> про це див. у публікації </w:t>
      </w:r>
      <w:hyperlink r:id="rId75" w:tgtFrame="_blank" w:history="1">
        <w:r w:rsidRPr="00A540BC">
          <w:rPr>
            <w:rFonts w:ascii="Times New Roman" w:eastAsia="Times New Roman" w:hAnsi="Times New Roman" w:cs="Times New Roman"/>
            <w:b/>
            <w:bCs/>
            <w:color w:val="306D9C"/>
            <w:sz w:val="23"/>
            <w:u w:val="single"/>
          </w:rPr>
          <w:t>«Як у декларації з податку на прибуток правильно проставити відмітку про незастосування різниць»</w:t>
        </w:r>
        <w:r w:rsidRPr="00A540BC">
          <w:rPr>
            <w:rFonts w:ascii="Times New Roman" w:eastAsia="Times New Roman" w:hAnsi="Times New Roman" w:cs="Times New Roman"/>
            <w:color w:val="306D9C"/>
            <w:sz w:val="23"/>
            <w:u w:val="single"/>
          </w:rPr>
          <w:t>.</w:t>
        </w:r>
      </w:hyperlink>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Щоправда, варто сказати про підхід контролерів стосовно прийняття рішення про відмову від різниць. Вони вважають, що прийняти рішення про відмову можна в будь-якому році безперервної сукупності років, коли дохід не перевищує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а не обов’язково саме в першому в такій безперервній сукупності.</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У </w:t>
      </w:r>
      <w:hyperlink r:id="rId76" w:tgtFrame="_blank" w:history="1">
        <w:r w:rsidRPr="00A540BC">
          <w:rPr>
            <w:rFonts w:ascii="Times New Roman" w:eastAsia="Times New Roman" w:hAnsi="Times New Roman" w:cs="Times New Roman"/>
            <w:color w:val="306D9C"/>
            <w:sz w:val="23"/>
            <w:u w:val="single"/>
          </w:rPr>
          <w:t>роз’ясненні</w:t>
        </w:r>
      </w:hyperlink>
      <w:r w:rsidRPr="00A540BC">
        <w:rPr>
          <w:rFonts w:ascii="Times New Roman" w:eastAsia="Times New Roman" w:hAnsi="Times New Roman" w:cs="Times New Roman"/>
          <w:color w:val="000000"/>
          <w:sz w:val="23"/>
          <w:szCs w:val="23"/>
        </w:rPr>
        <w:t> з категорії 102.13 розділу «Запитання – відповіді з Бази знань» ЗІР (</w:t>
      </w:r>
      <w:proofErr w:type="spellStart"/>
      <w:r w:rsidRPr="00A540BC">
        <w:rPr>
          <w:rFonts w:ascii="Times New Roman" w:eastAsia="Times New Roman" w:hAnsi="Times New Roman" w:cs="Times New Roman"/>
          <w:color w:val="000000"/>
          <w:sz w:val="23"/>
          <w:szCs w:val="23"/>
        </w:rPr>
        <w:t>zir.tax.gov.ua</w:t>
      </w:r>
      <w:proofErr w:type="spellEnd"/>
      <w:r w:rsidRPr="00A540BC">
        <w:rPr>
          <w:rFonts w:ascii="Times New Roman" w:eastAsia="Times New Roman" w:hAnsi="Times New Roman" w:cs="Times New Roman"/>
          <w:color w:val="000000"/>
          <w:sz w:val="23"/>
          <w:szCs w:val="23"/>
        </w:rPr>
        <w:t xml:space="preserve">) щодо запитання «Чи має право платник податків, доходи якого не перевищували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але при цьому такий платник застосовував коригування фінансового результату до оподаткування на різниці, визначені відповідно до положень р. ІІІ Податкового кодексу України, прийняти рішення про незастосування коригувань фінансового результату на другий, третій рік у безперервній сукупності років, у кожному з яких розмір доходу не перевищує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 міститься така відповідь:</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xml:space="preserve">«Платник податків, доходи якого від будь-якої діяльності (за вирахуванням непрямих податків), визначені за правилами бухгалтерського обліку, не перевищували двадцяти мільйонів гривень, але при цьому такий платник застосовував коригування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w:t>
      </w:r>
      <w:proofErr w:type="spellStart"/>
      <w:r w:rsidRPr="00A540BC">
        <w:rPr>
          <w:rFonts w:ascii="Times New Roman" w:eastAsia="Times New Roman" w:hAnsi="Times New Roman" w:cs="Times New Roman"/>
          <w:i/>
          <w:iCs/>
          <w:color w:val="000000"/>
          <w:sz w:val="23"/>
        </w:rPr>
        <w:t>розд</w:t>
      </w:r>
      <w:proofErr w:type="spellEnd"/>
      <w:r w:rsidRPr="00A540BC">
        <w:rPr>
          <w:rFonts w:ascii="Times New Roman" w:eastAsia="Times New Roman" w:hAnsi="Times New Roman" w:cs="Times New Roman"/>
          <w:i/>
          <w:iCs/>
          <w:color w:val="000000"/>
          <w:sz w:val="23"/>
        </w:rPr>
        <w:t>. ІІІ Податкового кодексу України (далі — ПКУ), має право один раз у будь-якому році безперервної сукупності років, у кожному з яких розмір доходу не перевищує двадцяти мільйонів гривень, прийняти рішення про незастосування коригувань фінансового результату до оподаткування, та зазначити про прийняття такого рішення у податковій декларації з податку на прибуток підприємств за такий податковий (звітний) рік»</w:t>
      </w:r>
      <w:r w:rsidRPr="00A540BC">
        <w:rPr>
          <w:rFonts w:ascii="Times New Roman" w:eastAsia="Times New Roman" w:hAnsi="Times New Roman" w:cs="Times New Roman"/>
          <w:color w:val="000000"/>
          <w:sz w:val="23"/>
          <w:szCs w:val="23"/>
        </w:rPr>
        <w:t>.</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 xml:space="preserve">Додамо: якщо ви раніше прийняли рішення про відмову від різниць (скажімо, у минулорічній декларації за 2018 рік), і в 2019 році у вас дохід не перевищив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контролери воліють, аби у такій декларації було </w:t>
      </w:r>
      <w:proofErr w:type="spellStart"/>
      <w:r w:rsidRPr="00A540BC">
        <w:rPr>
          <w:rFonts w:ascii="Times New Roman" w:eastAsia="Times New Roman" w:hAnsi="Times New Roman" w:cs="Times New Roman"/>
          <w:color w:val="000000"/>
          <w:sz w:val="23"/>
          <w:szCs w:val="23"/>
        </w:rPr>
        <w:t>продубльовано</w:t>
      </w:r>
      <w:proofErr w:type="spellEnd"/>
      <w:r w:rsidRPr="00A540BC">
        <w:rPr>
          <w:rFonts w:ascii="Times New Roman" w:eastAsia="Times New Roman" w:hAnsi="Times New Roman" w:cs="Times New Roman"/>
          <w:color w:val="000000"/>
          <w:sz w:val="23"/>
          <w:szCs w:val="23"/>
        </w:rPr>
        <w:t xml:space="preserve"> прийняте рішення про відмову від різниць (див. публікацію </w:t>
      </w:r>
      <w:hyperlink r:id="rId77" w:tgtFrame="_blank" w:history="1">
        <w:r w:rsidRPr="00A540BC">
          <w:rPr>
            <w:rFonts w:ascii="Times New Roman" w:eastAsia="Times New Roman" w:hAnsi="Times New Roman" w:cs="Times New Roman"/>
            <w:b/>
            <w:bCs/>
            <w:color w:val="306D9C"/>
            <w:sz w:val="23"/>
            <w:u w:val="single"/>
          </w:rPr>
          <w:t>«Чи треба щороку дублювати рішення про незастосування різниць»).</w:t>
        </w:r>
      </w:hyperlink>
    </w:p>
    <w:p w:rsidR="00A540BC" w:rsidRPr="00A540BC" w:rsidRDefault="00A540BC" w:rsidP="00A540BC">
      <w:pPr>
        <w:spacing w:before="192" w:after="15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lastRenderedPageBreak/>
        <w:t xml:space="preserve">І ще один нюанс: якщо у вашого підприємства вперше у 2019 році дохід вийшов не більш ніж 20 </w:t>
      </w:r>
      <w:proofErr w:type="spellStart"/>
      <w:r w:rsidRPr="00A540BC">
        <w:rPr>
          <w:rFonts w:ascii="Times New Roman" w:eastAsia="Times New Roman" w:hAnsi="Times New Roman" w:cs="Times New Roman"/>
          <w:color w:val="000000"/>
          <w:sz w:val="23"/>
          <w:szCs w:val="23"/>
        </w:rPr>
        <w:t>млн</w:t>
      </w:r>
      <w:proofErr w:type="spellEnd"/>
      <w:r w:rsidRPr="00A540BC">
        <w:rPr>
          <w:rFonts w:ascii="Times New Roman" w:eastAsia="Times New Roman" w:hAnsi="Times New Roman" w:cs="Times New Roman"/>
          <w:color w:val="000000"/>
          <w:sz w:val="23"/>
          <w:szCs w:val="23"/>
        </w:rPr>
        <w:t xml:space="preserve"> </w:t>
      </w:r>
      <w:proofErr w:type="spellStart"/>
      <w:r w:rsidRPr="00A540BC">
        <w:rPr>
          <w:rFonts w:ascii="Times New Roman" w:eastAsia="Times New Roman" w:hAnsi="Times New Roman" w:cs="Times New Roman"/>
          <w:color w:val="000000"/>
          <w:sz w:val="23"/>
          <w:szCs w:val="23"/>
        </w:rPr>
        <w:t>грн</w:t>
      </w:r>
      <w:proofErr w:type="spellEnd"/>
      <w:r w:rsidRPr="00A540BC">
        <w:rPr>
          <w:rFonts w:ascii="Times New Roman" w:eastAsia="Times New Roman" w:hAnsi="Times New Roman" w:cs="Times New Roman"/>
          <w:color w:val="000000"/>
          <w:sz w:val="23"/>
          <w:szCs w:val="23"/>
        </w:rPr>
        <w:t xml:space="preserve"> і декларацію ви подавали до цього щокварталу та із застосуванням різниць — ви маєте право уже за 2019 рік прийняти рішення про відмову від різниць із р. ІІІ ПКУ, і річну декларацію скласти без них. При цьому уточнювати періоди 2019 року не доведеться.</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color w:val="000000"/>
          <w:sz w:val="23"/>
          <w:szCs w:val="23"/>
        </w:rPr>
        <w:t>Зокрема, у </w:t>
      </w:r>
      <w:hyperlink r:id="rId78" w:tgtFrame="_blank" w:history="1">
        <w:r w:rsidRPr="00A540BC">
          <w:rPr>
            <w:rFonts w:ascii="Times New Roman" w:eastAsia="Times New Roman" w:hAnsi="Times New Roman" w:cs="Times New Roman"/>
            <w:color w:val="306D9C"/>
            <w:sz w:val="23"/>
            <w:u w:val="single"/>
          </w:rPr>
          <w:t>роз’ясненні</w:t>
        </w:r>
      </w:hyperlink>
      <w:r w:rsidRPr="00A540BC">
        <w:rPr>
          <w:rFonts w:ascii="Times New Roman" w:eastAsia="Times New Roman" w:hAnsi="Times New Roman" w:cs="Times New Roman"/>
          <w:color w:val="000000"/>
          <w:sz w:val="23"/>
          <w:szCs w:val="23"/>
        </w:rPr>
        <w:t> з категорії 102.12 розділу «Запитання – відповіді з Бази знань» ЗІР (</w:t>
      </w:r>
      <w:proofErr w:type="spellStart"/>
      <w:r w:rsidRPr="00A540BC">
        <w:rPr>
          <w:rFonts w:ascii="Times New Roman" w:eastAsia="Times New Roman" w:hAnsi="Times New Roman" w:cs="Times New Roman"/>
          <w:color w:val="000000"/>
          <w:sz w:val="23"/>
          <w:szCs w:val="23"/>
        </w:rPr>
        <w:t>zir.tax.gov.ua</w:t>
      </w:r>
      <w:proofErr w:type="spellEnd"/>
      <w:r w:rsidRPr="00A540BC">
        <w:rPr>
          <w:rFonts w:ascii="Times New Roman" w:eastAsia="Times New Roman" w:hAnsi="Times New Roman" w:cs="Times New Roman"/>
          <w:color w:val="000000"/>
          <w:sz w:val="23"/>
          <w:szCs w:val="23"/>
        </w:rPr>
        <w:t>) податківці підтверджують:</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 xml:space="preserve">«Платник податку, який за результатами попереднього (звітного) року мав дохід, що перевищував 20 млн. грн. та який подавав податкові декларації з податку на прибуток підприємств (далі — Декларація) за звітний квартал, півріччя, три квартали та здійснював коригування фінансового результату до оподаткування за ці періоди, у разі </w:t>
      </w:r>
      <w:proofErr w:type="spellStart"/>
      <w:r w:rsidRPr="00A540BC">
        <w:rPr>
          <w:rFonts w:ascii="Times New Roman" w:eastAsia="Times New Roman" w:hAnsi="Times New Roman" w:cs="Times New Roman"/>
          <w:i/>
          <w:iCs/>
          <w:color w:val="000000"/>
          <w:sz w:val="23"/>
        </w:rPr>
        <w:t>неперевищення</w:t>
      </w:r>
      <w:proofErr w:type="spellEnd"/>
      <w:r w:rsidRPr="00A540BC">
        <w:rPr>
          <w:rFonts w:ascii="Times New Roman" w:eastAsia="Times New Roman" w:hAnsi="Times New Roman" w:cs="Times New Roman"/>
          <w:i/>
          <w:iCs/>
          <w:color w:val="000000"/>
          <w:sz w:val="23"/>
        </w:rPr>
        <w:t xml:space="preserve"> за результатами року граничної межі обсягу доходів (20 млн. грн.) має право задекларувати в річній Декларації рішення про незастосування коригувань фінансового результату до оподаткування та відповідно не визначати податкові різниці (крім від’ємного значення об’єкта оподаткування минулих податкових (звітних) років) за такий податковий (звітний) рік.</w:t>
      </w:r>
    </w:p>
    <w:p w:rsidR="00A540BC" w:rsidRPr="00A540BC" w:rsidRDefault="00A540BC" w:rsidP="00A540BC">
      <w:pPr>
        <w:spacing w:after="0"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Уточнюючі декларації при цьому за 1 квартал, півріччя та три квартали подавати не потрібно.</w:t>
      </w:r>
    </w:p>
    <w:p w:rsidR="00A540BC" w:rsidRPr="00A540BC" w:rsidRDefault="00A540BC" w:rsidP="00A540BC">
      <w:pPr>
        <w:spacing w:line="285" w:lineRule="atLeast"/>
        <w:ind w:firstLine="450"/>
        <w:jc w:val="both"/>
        <w:textAlignment w:val="baseline"/>
        <w:rPr>
          <w:rFonts w:ascii="Times New Roman" w:eastAsia="Times New Roman" w:hAnsi="Times New Roman" w:cs="Times New Roman"/>
          <w:color w:val="000000"/>
          <w:sz w:val="23"/>
          <w:szCs w:val="23"/>
        </w:rPr>
      </w:pPr>
      <w:r w:rsidRPr="00A540BC">
        <w:rPr>
          <w:rFonts w:ascii="Times New Roman" w:eastAsia="Times New Roman" w:hAnsi="Times New Roman" w:cs="Times New Roman"/>
          <w:i/>
          <w:iCs/>
          <w:color w:val="000000"/>
          <w:sz w:val="23"/>
        </w:rPr>
        <w:t>На підставі п. 46.4 ст. 46 Податкового кодексу України платник податків може подати разом з такою податковою декларацією доповнення до неї, складене за довільною формою з поясненням мотивів подання»</w:t>
      </w:r>
      <w:r w:rsidRPr="00A540BC">
        <w:rPr>
          <w:rFonts w:ascii="Times New Roman" w:eastAsia="Times New Roman" w:hAnsi="Times New Roman" w:cs="Times New Roman"/>
          <w:color w:val="000000"/>
          <w:sz w:val="23"/>
          <w:szCs w:val="23"/>
        </w:rPr>
        <w:t>.</w:t>
      </w:r>
    </w:p>
    <w:p w:rsidR="00906B60" w:rsidRDefault="00906B60"/>
    <w:sectPr w:rsidR="00906B60" w:rsidSect="00906B6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D4D"/>
    <w:multiLevelType w:val="multilevel"/>
    <w:tmpl w:val="A0008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540BC"/>
    <w:rsid w:val="000A685A"/>
    <w:rsid w:val="00157114"/>
    <w:rsid w:val="0074593D"/>
    <w:rsid w:val="00906B60"/>
    <w:rsid w:val="00A540BC"/>
    <w:rsid w:val="00DC0D0A"/>
    <w:rsid w:val="00E621F9"/>
    <w:rsid w:val="00E77FF9"/>
  </w:rsids>
  <m:mathPr>
    <m:mathFont m:val="Cambria Math"/>
    <m:brkBin m:val="before"/>
    <m:brkBinSub m:val="--"/>
    <m:smallFrac m:val="off"/>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B60"/>
  </w:style>
  <w:style w:type="paragraph" w:styleId="1">
    <w:name w:val="heading 1"/>
    <w:basedOn w:val="a"/>
    <w:link w:val="10"/>
    <w:uiPriority w:val="9"/>
    <w:qFormat/>
    <w:rsid w:val="00A540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0BC"/>
    <w:rPr>
      <w:rFonts w:ascii="Times New Roman" w:eastAsia="Times New Roman" w:hAnsi="Times New Roman" w:cs="Times New Roman"/>
      <w:b/>
      <w:bCs/>
      <w:kern w:val="36"/>
      <w:sz w:val="48"/>
      <w:szCs w:val="48"/>
    </w:rPr>
  </w:style>
  <w:style w:type="character" w:styleId="a3">
    <w:name w:val="Strong"/>
    <w:basedOn w:val="a0"/>
    <w:uiPriority w:val="22"/>
    <w:qFormat/>
    <w:rsid w:val="00A540BC"/>
    <w:rPr>
      <w:b/>
      <w:bCs/>
    </w:rPr>
  </w:style>
  <w:style w:type="character" w:styleId="a4">
    <w:name w:val="Hyperlink"/>
    <w:basedOn w:val="a0"/>
    <w:uiPriority w:val="99"/>
    <w:semiHidden/>
    <w:unhideWhenUsed/>
    <w:rsid w:val="00A540BC"/>
    <w:rPr>
      <w:color w:val="0000FF"/>
      <w:u w:val="single"/>
    </w:rPr>
  </w:style>
  <w:style w:type="character" w:styleId="a5">
    <w:name w:val="FollowedHyperlink"/>
    <w:basedOn w:val="a0"/>
    <w:uiPriority w:val="99"/>
    <w:semiHidden/>
    <w:unhideWhenUsed/>
    <w:rsid w:val="00A540BC"/>
    <w:rPr>
      <w:color w:val="800080"/>
      <w:u w:val="single"/>
    </w:rPr>
  </w:style>
  <w:style w:type="character" w:customStyle="1" w:styleId="oneedition">
    <w:name w:val="oneedition"/>
    <w:basedOn w:val="a0"/>
    <w:rsid w:val="00A540BC"/>
  </w:style>
  <w:style w:type="paragraph" w:customStyle="1" w:styleId="about">
    <w:name w:val="about"/>
    <w:basedOn w:val="a"/>
    <w:rsid w:val="00A540BC"/>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A540BC"/>
    <w:rPr>
      <w:i/>
      <w:iCs/>
    </w:rPr>
  </w:style>
  <w:style w:type="paragraph" w:styleId="a7">
    <w:name w:val="Normal (Web)"/>
    <w:basedOn w:val="a"/>
    <w:uiPriority w:val="99"/>
    <w:unhideWhenUsed/>
    <w:rsid w:val="00A540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5168066">
      <w:bodyDiv w:val="1"/>
      <w:marLeft w:val="0"/>
      <w:marRight w:val="0"/>
      <w:marTop w:val="0"/>
      <w:marBottom w:val="0"/>
      <w:divBdr>
        <w:top w:val="none" w:sz="0" w:space="0" w:color="auto"/>
        <w:left w:val="none" w:sz="0" w:space="0" w:color="auto"/>
        <w:bottom w:val="none" w:sz="0" w:space="0" w:color="auto"/>
        <w:right w:val="none" w:sz="0" w:space="0" w:color="auto"/>
      </w:divBdr>
      <w:divsChild>
        <w:div w:id="882130909">
          <w:marLeft w:val="0"/>
          <w:marRight w:val="0"/>
          <w:marTop w:val="0"/>
          <w:marBottom w:val="0"/>
          <w:divBdr>
            <w:top w:val="none" w:sz="0" w:space="0" w:color="auto"/>
            <w:left w:val="none" w:sz="0" w:space="0" w:color="auto"/>
            <w:bottom w:val="none" w:sz="0" w:space="0" w:color="auto"/>
            <w:right w:val="none" w:sz="0" w:space="0" w:color="auto"/>
          </w:divBdr>
        </w:div>
        <w:div w:id="763769447">
          <w:marLeft w:val="0"/>
          <w:marRight w:val="0"/>
          <w:marTop w:val="105"/>
          <w:marBottom w:val="0"/>
          <w:divBdr>
            <w:top w:val="none" w:sz="0" w:space="0" w:color="auto"/>
            <w:left w:val="none" w:sz="0" w:space="0" w:color="auto"/>
            <w:bottom w:val="none" w:sz="0" w:space="0" w:color="auto"/>
            <w:right w:val="none" w:sz="0" w:space="0" w:color="auto"/>
          </w:divBdr>
          <w:divsChild>
            <w:div w:id="541014451">
              <w:marLeft w:val="0"/>
              <w:marRight w:val="0"/>
              <w:marTop w:val="75"/>
              <w:marBottom w:val="0"/>
              <w:divBdr>
                <w:top w:val="none" w:sz="0" w:space="0" w:color="auto"/>
                <w:left w:val="none" w:sz="0" w:space="0" w:color="auto"/>
                <w:bottom w:val="none" w:sz="0" w:space="0" w:color="auto"/>
                <w:right w:val="none" w:sz="0" w:space="0" w:color="auto"/>
              </w:divBdr>
            </w:div>
          </w:divsChild>
        </w:div>
        <w:div w:id="603071362">
          <w:marLeft w:val="0"/>
          <w:marRight w:val="0"/>
          <w:marTop w:val="300"/>
          <w:marBottom w:val="750"/>
          <w:divBdr>
            <w:top w:val="none" w:sz="0" w:space="0" w:color="auto"/>
            <w:left w:val="none" w:sz="0" w:space="0" w:color="auto"/>
            <w:bottom w:val="none" w:sz="0" w:space="0" w:color="auto"/>
            <w:right w:val="none" w:sz="0" w:space="0" w:color="auto"/>
          </w:divBdr>
          <w:divsChild>
            <w:div w:id="249386957">
              <w:marLeft w:val="0"/>
              <w:marRight w:val="0"/>
              <w:marTop w:val="0"/>
              <w:marBottom w:val="150"/>
              <w:divBdr>
                <w:top w:val="single" w:sz="6" w:space="0" w:color="EFEFEF"/>
                <w:left w:val="none" w:sz="0" w:space="0" w:color="auto"/>
                <w:bottom w:val="single" w:sz="6" w:space="0" w:color="EFEFEF"/>
                <w:right w:val="none" w:sz="0" w:space="0" w:color="auto"/>
              </w:divBdr>
              <w:divsChild>
                <w:div w:id="993872785">
                  <w:marLeft w:val="0"/>
                  <w:marRight w:val="0"/>
                  <w:marTop w:val="75"/>
                  <w:marBottom w:val="0"/>
                  <w:divBdr>
                    <w:top w:val="none" w:sz="0" w:space="0" w:color="auto"/>
                    <w:left w:val="none" w:sz="0" w:space="0" w:color="auto"/>
                    <w:bottom w:val="none" w:sz="0" w:space="0" w:color="auto"/>
                    <w:right w:val="none" w:sz="0" w:space="0" w:color="auto"/>
                  </w:divBdr>
                </w:div>
                <w:div w:id="117530524">
                  <w:marLeft w:val="0"/>
                  <w:marRight w:val="0"/>
                  <w:marTop w:val="0"/>
                  <w:marBottom w:val="0"/>
                  <w:divBdr>
                    <w:top w:val="none" w:sz="0" w:space="0" w:color="auto"/>
                    <w:left w:val="none" w:sz="0" w:space="0" w:color="auto"/>
                    <w:bottom w:val="none" w:sz="0" w:space="0" w:color="auto"/>
                    <w:right w:val="none" w:sz="0" w:space="0" w:color="auto"/>
                  </w:divBdr>
                </w:div>
              </w:divsChild>
            </w:div>
            <w:div w:id="1443306562">
              <w:marLeft w:val="0"/>
              <w:marRight w:val="0"/>
              <w:marTop w:val="0"/>
              <w:marBottom w:val="0"/>
              <w:divBdr>
                <w:top w:val="none" w:sz="0" w:space="0" w:color="auto"/>
                <w:left w:val="none" w:sz="0" w:space="0" w:color="auto"/>
                <w:bottom w:val="none" w:sz="0" w:space="0" w:color="auto"/>
                <w:right w:val="none" w:sz="0" w:space="0" w:color="auto"/>
              </w:divBdr>
              <w:divsChild>
                <w:div w:id="1146434379">
                  <w:marLeft w:val="0"/>
                  <w:marRight w:val="0"/>
                  <w:marTop w:val="0"/>
                  <w:marBottom w:val="0"/>
                  <w:divBdr>
                    <w:top w:val="none" w:sz="0" w:space="0" w:color="auto"/>
                    <w:left w:val="none" w:sz="0" w:space="0" w:color="auto"/>
                    <w:bottom w:val="none" w:sz="0" w:space="0" w:color="auto"/>
                    <w:right w:val="none" w:sz="0" w:space="0" w:color="auto"/>
                  </w:divBdr>
                  <w:divsChild>
                    <w:div w:id="2124106893">
                      <w:marLeft w:val="300"/>
                      <w:marRight w:val="300"/>
                      <w:marTop w:val="300"/>
                      <w:marBottom w:val="300"/>
                      <w:divBdr>
                        <w:top w:val="none" w:sz="0" w:space="0" w:color="auto"/>
                        <w:left w:val="none" w:sz="0" w:space="0" w:color="auto"/>
                        <w:bottom w:val="none" w:sz="0" w:space="0" w:color="auto"/>
                        <w:right w:val="none" w:sz="0" w:space="0" w:color="auto"/>
                      </w:divBdr>
                    </w:div>
                    <w:div w:id="1627004287">
                      <w:marLeft w:val="300"/>
                      <w:marRight w:val="300"/>
                      <w:marTop w:val="300"/>
                      <w:marBottom w:val="300"/>
                      <w:divBdr>
                        <w:top w:val="none" w:sz="0" w:space="0" w:color="auto"/>
                        <w:left w:val="none" w:sz="0" w:space="0" w:color="auto"/>
                        <w:bottom w:val="none" w:sz="0" w:space="0" w:color="auto"/>
                        <w:right w:val="none" w:sz="0" w:space="0" w:color="auto"/>
                      </w:divBdr>
                    </w:div>
                    <w:div w:id="504900422">
                      <w:marLeft w:val="300"/>
                      <w:marRight w:val="300"/>
                      <w:marTop w:val="300"/>
                      <w:marBottom w:val="300"/>
                      <w:divBdr>
                        <w:top w:val="none" w:sz="0" w:space="0" w:color="auto"/>
                        <w:left w:val="none" w:sz="0" w:space="0" w:color="auto"/>
                        <w:bottom w:val="none" w:sz="0" w:space="0" w:color="auto"/>
                        <w:right w:val="none" w:sz="0" w:space="0" w:color="auto"/>
                      </w:divBdr>
                    </w:div>
                    <w:div w:id="587428884">
                      <w:marLeft w:val="300"/>
                      <w:marRight w:val="300"/>
                      <w:marTop w:val="300"/>
                      <w:marBottom w:val="300"/>
                      <w:divBdr>
                        <w:top w:val="none" w:sz="0" w:space="0" w:color="auto"/>
                        <w:left w:val="none" w:sz="0" w:space="0" w:color="auto"/>
                        <w:bottom w:val="none" w:sz="0" w:space="0" w:color="auto"/>
                        <w:right w:val="none" w:sz="0" w:space="0" w:color="auto"/>
                      </w:divBdr>
                    </w:div>
                    <w:div w:id="1506556279">
                      <w:marLeft w:val="300"/>
                      <w:marRight w:val="300"/>
                      <w:marTop w:val="300"/>
                      <w:marBottom w:val="300"/>
                      <w:divBdr>
                        <w:top w:val="none" w:sz="0" w:space="0" w:color="auto"/>
                        <w:left w:val="none" w:sz="0" w:space="0" w:color="auto"/>
                        <w:bottom w:val="none" w:sz="0" w:space="0" w:color="auto"/>
                        <w:right w:val="none" w:sz="0" w:space="0" w:color="auto"/>
                      </w:divBdr>
                    </w:div>
                    <w:div w:id="302321304">
                      <w:marLeft w:val="300"/>
                      <w:marRight w:val="300"/>
                      <w:marTop w:val="300"/>
                      <w:marBottom w:val="300"/>
                      <w:divBdr>
                        <w:top w:val="none" w:sz="0" w:space="0" w:color="auto"/>
                        <w:left w:val="none" w:sz="0" w:space="0" w:color="auto"/>
                        <w:bottom w:val="none" w:sz="0" w:space="0" w:color="auto"/>
                        <w:right w:val="none" w:sz="0" w:space="0" w:color="auto"/>
                      </w:divBdr>
                    </w:div>
                    <w:div w:id="1691760306">
                      <w:marLeft w:val="300"/>
                      <w:marRight w:val="300"/>
                      <w:marTop w:val="300"/>
                      <w:marBottom w:val="300"/>
                      <w:divBdr>
                        <w:top w:val="none" w:sz="0" w:space="0" w:color="auto"/>
                        <w:left w:val="none" w:sz="0" w:space="0" w:color="auto"/>
                        <w:bottom w:val="none" w:sz="0" w:space="0" w:color="auto"/>
                        <w:right w:val="none" w:sz="0" w:space="0" w:color="auto"/>
                      </w:divBdr>
                    </w:div>
                    <w:div w:id="1474443669">
                      <w:marLeft w:val="300"/>
                      <w:marRight w:val="300"/>
                      <w:marTop w:val="300"/>
                      <w:marBottom w:val="300"/>
                      <w:divBdr>
                        <w:top w:val="none" w:sz="0" w:space="0" w:color="auto"/>
                        <w:left w:val="none" w:sz="0" w:space="0" w:color="auto"/>
                        <w:bottom w:val="none" w:sz="0" w:space="0" w:color="auto"/>
                        <w:right w:val="none" w:sz="0" w:space="0" w:color="auto"/>
                      </w:divBdr>
                    </w:div>
                    <w:div w:id="641271869">
                      <w:marLeft w:val="300"/>
                      <w:marRight w:val="300"/>
                      <w:marTop w:val="300"/>
                      <w:marBottom w:val="300"/>
                      <w:divBdr>
                        <w:top w:val="none" w:sz="0" w:space="0" w:color="auto"/>
                        <w:left w:val="none" w:sz="0" w:space="0" w:color="auto"/>
                        <w:bottom w:val="none" w:sz="0" w:space="0" w:color="auto"/>
                        <w:right w:val="none" w:sz="0" w:space="0" w:color="auto"/>
                      </w:divBdr>
                    </w:div>
                    <w:div w:id="1601789250">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terbuh.com.ua/ua/documents/oneregulations/136370" TargetMode="External"/><Relationship Id="rId18" Type="http://schemas.openxmlformats.org/officeDocument/2006/relationships/hyperlink" Target="https://interbuh.com.ua/ua/documents/oneregulations/108884" TargetMode="External"/><Relationship Id="rId26" Type="http://schemas.openxmlformats.org/officeDocument/2006/relationships/hyperlink" Target="ftp://ftp.sta.gov.ua/reestr_form_zvitnyh_dokymentiv/j0100118.arj" TargetMode="External"/><Relationship Id="rId39" Type="http://schemas.openxmlformats.org/officeDocument/2006/relationships/hyperlink" Target="https://interbuh.com.ua/ua/documents/oneanalytics/104248" TargetMode="External"/><Relationship Id="rId21" Type="http://schemas.openxmlformats.org/officeDocument/2006/relationships/hyperlink" Target="https://interbuh.com.ua/ua/documents/oneanalytics/104248" TargetMode="External"/><Relationship Id="rId34" Type="http://schemas.openxmlformats.org/officeDocument/2006/relationships/hyperlink" Target="https://interbuh.com.ua/ua/documents/oneanalytics/104248" TargetMode="External"/><Relationship Id="rId42" Type="http://schemas.openxmlformats.org/officeDocument/2006/relationships/hyperlink" Target="https://interbuh.com.ua/ua/documents/oneanalytics/104248" TargetMode="External"/><Relationship Id="rId47" Type="http://schemas.openxmlformats.org/officeDocument/2006/relationships/hyperlink" Target="https://interbuh.com.ua/ua/documents/oneanalytics/104248" TargetMode="External"/><Relationship Id="rId50" Type="http://schemas.openxmlformats.org/officeDocument/2006/relationships/hyperlink" Target="https://interbuh.com.ua/ua/documents/oneforms/127327" TargetMode="External"/><Relationship Id="rId55" Type="http://schemas.openxmlformats.org/officeDocument/2006/relationships/hyperlink" Target="https://interbuh.com.ua/ua/documents/oneanalytics/90630" TargetMode="External"/><Relationship Id="rId63" Type="http://schemas.openxmlformats.org/officeDocument/2006/relationships/hyperlink" Target="https://interbuh.com.ua/ua/documents/oneanalytics/104248" TargetMode="External"/><Relationship Id="rId68" Type="http://schemas.openxmlformats.org/officeDocument/2006/relationships/hyperlink" Target="https://interbuh.com.ua/ua/documents/oneanalytics/104248" TargetMode="External"/><Relationship Id="rId76" Type="http://schemas.openxmlformats.org/officeDocument/2006/relationships/hyperlink" Target="https://interbuh.com.ua/ua/documents/oneregulations/115134" TargetMode="External"/><Relationship Id="rId7" Type="http://schemas.openxmlformats.org/officeDocument/2006/relationships/hyperlink" Target="https://interbuh.com.ua/ua/documents/oneregulations/108884" TargetMode="External"/><Relationship Id="rId71" Type="http://schemas.openxmlformats.org/officeDocument/2006/relationships/hyperlink" Target="https://interbuh.com.ua/ua/documents/oneregulations/74293" TargetMode="External"/><Relationship Id="rId2" Type="http://schemas.openxmlformats.org/officeDocument/2006/relationships/styles" Target="styles.xml"/><Relationship Id="rId16" Type="http://schemas.openxmlformats.org/officeDocument/2006/relationships/hyperlink" Target="https://interbuh.com.ua/ua/documents/oneregulations/89917" TargetMode="External"/><Relationship Id="rId29" Type="http://schemas.openxmlformats.org/officeDocument/2006/relationships/hyperlink" Target="https://interbuh.com.ua/ua/documents/oneanalytics/104248" TargetMode="External"/><Relationship Id="rId11" Type="http://schemas.openxmlformats.org/officeDocument/2006/relationships/hyperlink" Target="https://interbuh.com.ua/ua/documents/oneanalytics/104248" TargetMode="External"/><Relationship Id="rId24" Type="http://schemas.openxmlformats.org/officeDocument/2006/relationships/hyperlink" Target="https://tax.gov.ua/data/material/000/006/58768/Forms_deklar.htm" TargetMode="External"/><Relationship Id="rId32" Type="http://schemas.openxmlformats.org/officeDocument/2006/relationships/hyperlink" Target="https://interbuh.com.ua/ua/documents/oneregulations/74293" TargetMode="External"/><Relationship Id="rId37" Type="http://schemas.openxmlformats.org/officeDocument/2006/relationships/hyperlink" Target="https://interbuh.com.ua/ua/documents/oneanalytics/105113" TargetMode="External"/><Relationship Id="rId40" Type="http://schemas.openxmlformats.org/officeDocument/2006/relationships/hyperlink" Target="https://interbuh.com.ua/ua/documents/oneanalytics/104248" TargetMode="External"/><Relationship Id="rId45" Type="http://schemas.openxmlformats.org/officeDocument/2006/relationships/hyperlink" Target="https://interbuh.com.ua/ua/documents/oneanalytics/104248" TargetMode="External"/><Relationship Id="rId53" Type="http://schemas.openxmlformats.org/officeDocument/2006/relationships/hyperlink" Target="https://interbuh.com.ua/ua/documents/oneanalytics/84171" TargetMode="External"/><Relationship Id="rId58" Type="http://schemas.openxmlformats.org/officeDocument/2006/relationships/hyperlink" Target="https://interbuh.com.ua/ua/documents/oneforms/14687" TargetMode="External"/><Relationship Id="rId66" Type="http://schemas.openxmlformats.org/officeDocument/2006/relationships/hyperlink" Target="https://interbuh.com.ua/ua/documents/oneforms/100602" TargetMode="External"/><Relationship Id="rId74" Type="http://schemas.openxmlformats.org/officeDocument/2006/relationships/hyperlink" Target="https://interbuh.com.ua/ua/documents/oneanalytics/104248" TargetMode="External"/><Relationship Id="rId79" Type="http://schemas.openxmlformats.org/officeDocument/2006/relationships/fontTable" Target="fontTable.xml"/><Relationship Id="rId5" Type="http://schemas.openxmlformats.org/officeDocument/2006/relationships/hyperlink" Target="https://interbuh.com.ua/ua/documents/oneanalytics/104248" TargetMode="External"/><Relationship Id="rId61" Type="http://schemas.openxmlformats.org/officeDocument/2006/relationships/hyperlink" Target="https://interbuh.com.ua/ua/documents/oneanalytics/104248" TargetMode="External"/><Relationship Id="rId10" Type="http://schemas.openxmlformats.org/officeDocument/2006/relationships/hyperlink" Target="https://interbuh.com.ua/ua/documents/oneregulations/135652" TargetMode="External"/><Relationship Id="rId19" Type="http://schemas.openxmlformats.org/officeDocument/2006/relationships/hyperlink" Target="https://interbuh.com.ua/ua/documents/oneregulations/99841" TargetMode="External"/><Relationship Id="rId31" Type="http://schemas.openxmlformats.org/officeDocument/2006/relationships/hyperlink" Target="https://interbuh.com.ua/ua/documents/oneregulations/94293" TargetMode="External"/><Relationship Id="rId44" Type="http://schemas.openxmlformats.org/officeDocument/2006/relationships/hyperlink" Target="https://interbuh.com.ua/ua/documents/oneanalytics/104248" TargetMode="External"/><Relationship Id="rId52" Type="http://schemas.openxmlformats.org/officeDocument/2006/relationships/hyperlink" Target="https://interbuh.com.ua/ua/documents/oneanalytics/307" TargetMode="External"/><Relationship Id="rId60" Type="http://schemas.openxmlformats.org/officeDocument/2006/relationships/hyperlink" Target="https://interbuh.com.ua/ua/documents/oneregulations/135652" TargetMode="External"/><Relationship Id="rId65" Type="http://schemas.openxmlformats.org/officeDocument/2006/relationships/hyperlink" Target="https://interbuh.com.ua/ua/documents/oneanalytics/104248" TargetMode="External"/><Relationship Id="rId73" Type="http://schemas.openxmlformats.org/officeDocument/2006/relationships/hyperlink" Target="https://interbuh.com.ua/ua/documents/oneanalytics/104248" TargetMode="External"/><Relationship Id="rId78" Type="http://schemas.openxmlformats.org/officeDocument/2006/relationships/hyperlink" Target="https://interbuh.com.ua/ua/documents/oneregulations/135793" TargetMode="External"/><Relationship Id="rId4" Type="http://schemas.openxmlformats.org/officeDocument/2006/relationships/webSettings" Target="webSettings.xml"/><Relationship Id="rId9" Type="http://schemas.openxmlformats.org/officeDocument/2006/relationships/hyperlink" Target="https://interbuh.com.ua/ua/documents/oneforms/127231" TargetMode="External"/><Relationship Id="rId14" Type="http://schemas.openxmlformats.org/officeDocument/2006/relationships/hyperlink" Target="https://interbuh.com.ua/ua/documents/oneregulations/136370" TargetMode="External"/><Relationship Id="rId22" Type="http://schemas.openxmlformats.org/officeDocument/2006/relationships/hyperlink" Target="https://interbuh.com.ua/ua/documents/oneanalytics/104248" TargetMode="External"/><Relationship Id="rId27" Type="http://schemas.openxmlformats.org/officeDocument/2006/relationships/hyperlink" Target="https://interbuh.com.ua/ua/documents/oneregulations/89917" TargetMode="External"/><Relationship Id="rId30" Type="http://schemas.openxmlformats.org/officeDocument/2006/relationships/hyperlink" Target="https://interbuh.com.ua/ua/documents/oneregulations/93467" TargetMode="External"/><Relationship Id="rId35" Type="http://schemas.openxmlformats.org/officeDocument/2006/relationships/hyperlink" Target="https://interbuh.com.ua/ua/documents/oneanalytics/104248" TargetMode="External"/><Relationship Id="rId43" Type="http://schemas.openxmlformats.org/officeDocument/2006/relationships/hyperlink" Target="https://interbuh.com.ua/ua/documents/oneanalytics/104248" TargetMode="External"/><Relationship Id="rId48" Type="http://schemas.openxmlformats.org/officeDocument/2006/relationships/hyperlink" Target="https://interbuh.com.ua/ua/documents/oneanalytics/104248" TargetMode="External"/><Relationship Id="rId56" Type="http://schemas.openxmlformats.org/officeDocument/2006/relationships/hyperlink" Target="https://interbuh.com.ua/ua/documents/oneanalytics/76811" TargetMode="External"/><Relationship Id="rId64" Type="http://schemas.openxmlformats.org/officeDocument/2006/relationships/hyperlink" Target="https://interbuh.com.ua/ua/documents/oneanalytics/104248" TargetMode="External"/><Relationship Id="rId69" Type="http://schemas.openxmlformats.org/officeDocument/2006/relationships/hyperlink" Target="https://interbuh.com.ua/ua/documents/oneregulations/135652" TargetMode="External"/><Relationship Id="rId77" Type="http://schemas.openxmlformats.org/officeDocument/2006/relationships/hyperlink" Target="https://interbuh.com.ua/ua/documents/oneanalytics/115143" TargetMode="External"/><Relationship Id="rId8" Type="http://schemas.openxmlformats.org/officeDocument/2006/relationships/hyperlink" Target="https://interbuh.com.ua/ua/documents/oneanalytics/104248" TargetMode="External"/><Relationship Id="rId51" Type="http://schemas.openxmlformats.org/officeDocument/2006/relationships/hyperlink" Target="https://interbuh.com.ua/ua/documents/oneanalytics/91110" TargetMode="External"/><Relationship Id="rId72" Type="http://schemas.openxmlformats.org/officeDocument/2006/relationships/hyperlink" Target="https://interbuh.com.ua/ua/documents/oneanalytics/10424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interbuh.com.ua/ua/documents/oneanalytics/104248" TargetMode="External"/><Relationship Id="rId17" Type="http://schemas.openxmlformats.org/officeDocument/2006/relationships/hyperlink" Target="https://interbuh.com.ua/ua/documents/oneregulations/99889" TargetMode="External"/><Relationship Id="rId25" Type="http://schemas.openxmlformats.org/officeDocument/2006/relationships/hyperlink" Target="ftp://ftp.sta.gov.ua/reestr_form_zvitnyh_dokymentiv/j0100117.arj" TargetMode="External"/><Relationship Id="rId33" Type="http://schemas.openxmlformats.org/officeDocument/2006/relationships/hyperlink" Target="https://interbuh.com.ua/ua/documents/oneanalytics/104248" TargetMode="External"/><Relationship Id="rId38" Type="http://schemas.openxmlformats.org/officeDocument/2006/relationships/hyperlink" Target="https://interbuh.com.ua/ua/documents/oneanalytics/104248" TargetMode="External"/><Relationship Id="rId46" Type="http://schemas.openxmlformats.org/officeDocument/2006/relationships/hyperlink" Target="https://interbuh.com.ua/ua/documents/oneanalytics/104248" TargetMode="External"/><Relationship Id="rId59" Type="http://schemas.openxmlformats.org/officeDocument/2006/relationships/hyperlink" Target="https://interbuh.com.ua/ua/documents/oneregulations/135652" TargetMode="External"/><Relationship Id="rId67" Type="http://schemas.openxmlformats.org/officeDocument/2006/relationships/hyperlink" Target="https://interbuh.com.ua/ua/documents/oneforms/127231" TargetMode="External"/><Relationship Id="rId20" Type="http://schemas.openxmlformats.org/officeDocument/2006/relationships/hyperlink" Target="https://interbuh.com.ua/ua/documents/oneregulations/108708" TargetMode="External"/><Relationship Id="rId41" Type="http://schemas.openxmlformats.org/officeDocument/2006/relationships/hyperlink" Target="https://interbuh.com.ua/ua/documents/oneanalytics/104248" TargetMode="External"/><Relationship Id="rId54" Type="http://schemas.openxmlformats.org/officeDocument/2006/relationships/hyperlink" Target="https://interbuh.com.ua/ua/documents/oneforms/127326" TargetMode="External"/><Relationship Id="rId62" Type="http://schemas.openxmlformats.org/officeDocument/2006/relationships/hyperlink" Target="https://interbuh.com.ua/ua/documents/oneanalytics/104248" TargetMode="External"/><Relationship Id="rId70" Type="http://schemas.openxmlformats.org/officeDocument/2006/relationships/hyperlink" Target="https://interbuh.com.ua/ua/documents/oneregulations/135652" TargetMode="External"/><Relationship Id="rId75" Type="http://schemas.openxmlformats.org/officeDocument/2006/relationships/hyperlink" Target="https://interbuh.com.ua/ua/documents/onenews/91017" TargetMode="External"/><Relationship Id="rId1" Type="http://schemas.openxmlformats.org/officeDocument/2006/relationships/numbering" Target="numbering.xml"/><Relationship Id="rId6" Type="http://schemas.openxmlformats.org/officeDocument/2006/relationships/hyperlink" Target="https://interbuh.com.ua/ua/documents/oneregulations/99889" TargetMode="External"/><Relationship Id="rId15" Type="http://schemas.openxmlformats.org/officeDocument/2006/relationships/hyperlink" Target="https://interbuh.com.ua/ua/documents/ib/9856/135644" TargetMode="External"/><Relationship Id="rId23" Type="http://schemas.openxmlformats.org/officeDocument/2006/relationships/hyperlink" Target="https://interbuh.com.ua/ua/documents/oneanalytics/104248" TargetMode="External"/><Relationship Id="rId28" Type="http://schemas.openxmlformats.org/officeDocument/2006/relationships/hyperlink" Target="https://interbuh.com.ua/ua/documents/oneregulations/104096" TargetMode="External"/><Relationship Id="rId36" Type="http://schemas.openxmlformats.org/officeDocument/2006/relationships/hyperlink" Target="https://interbuh.com.ua/ua/documents/oneanalytics/104248" TargetMode="External"/><Relationship Id="rId49" Type="http://schemas.openxmlformats.org/officeDocument/2006/relationships/hyperlink" Target="https://interbuh.com.ua/ua/documents/oneanalytics/104248" TargetMode="External"/><Relationship Id="rId57" Type="http://schemas.openxmlformats.org/officeDocument/2006/relationships/hyperlink" Target="https://interbuh.com.ua/ua/documents/oneforms/14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26379</Words>
  <Characters>15037</Characters>
  <Application>Microsoft Office Word</Application>
  <DocSecurity>0</DocSecurity>
  <Lines>125</Lines>
  <Paragraphs>82</Paragraphs>
  <ScaleCrop>false</ScaleCrop>
  <Company/>
  <LinksUpToDate>false</LinksUpToDate>
  <CharactersWithSpaces>41334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2020-10-06T05:43:00Z</dcterms:created>
  <dcterms:modified xsi:type="dcterms:W3CDTF">2020-10-06T05:51:00Z</dcterms:modified>
</cp:coreProperties>
</file>