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43" w:type="dxa"/>
        <w:tblInd w:w="-5" w:type="dxa"/>
        <w:tblLook w:val="04A0" w:firstRow="1" w:lastRow="0" w:firstColumn="1" w:lastColumn="0" w:noHBand="0" w:noVBand="1"/>
      </w:tblPr>
      <w:tblGrid>
        <w:gridCol w:w="4104"/>
        <w:gridCol w:w="5639"/>
      </w:tblGrid>
      <w:tr w:rsidR="00A8189C" w:rsidRPr="00093864" w:rsidTr="00DD13B9">
        <w:trPr>
          <w:trHeight w:val="2106"/>
        </w:trPr>
        <w:tc>
          <w:tcPr>
            <w:tcW w:w="9743" w:type="dxa"/>
            <w:gridSpan w:val="2"/>
          </w:tcPr>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Державний університет «Житомирська політехніка»</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Гірничо-екологічний факультет</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Кафедра екології</w:t>
            </w:r>
          </w:p>
          <w:p w:rsidR="00A8189C"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Спеціальність: 101 «Екологія»</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183 «Технології захисту навколишнього середовища»</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Освітній ступінь: «БАКАЛАВР»</w:t>
            </w:r>
          </w:p>
        </w:tc>
      </w:tr>
      <w:tr w:rsidR="00A8189C" w:rsidRPr="00093864" w:rsidTr="00DD13B9">
        <w:trPr>
          <w:trHeight w:val="1676"/>
        </w:trPr>
        <w:tc>
          <w:tcPr>
            <w:tcW w:w="4104" w:type="dxa"/>
          </w:tcPr>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«ЗАТВЕРДЖУЮ»</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Проректор з НПР</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_______А.В. Морозов</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________2020 р.</w:t>
            </w:r>
          </w:p>
        </w:tc>
        <w:tc>
          <w:tcPr>
            <w:tcW w:w="5639" w:type="dxa"/>
          </w:tcPr>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Затверджено на засіданні кафедри екології</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 7 від «</w:t>
            </w:r>
            <w:r w:rsidR="00B656BF">
              <w:rPr>
                <w:rFonts w:ascii="Times New Roman" w:eastAsia="Times New Roman" w:hAnsi="Times New Roman" w:cs="Times New Roman"/>
                <w:sz w:val="24"/>
                <w:szCs w:val="28"/>
                <w:lang w:eastAsia="ru-RU"/>
              </w:rPr>
              <w:t>2</w:t>
            </w:r>
            <w:bookmarkStart w:id="0" w:name="_GoBack"/>
            <w:bookmarkEnd w:id="0"/>
            <w:r>
              <w:rPr>
                <w:rFonts w:ascii="Times New Roman" w:eastAsia="Times New Roman" w:hAnsi="Times New Roman" w:cs="Times New Roman"/>
                <w:sz w:val="24"/>
                <w:szCs w:val="28"/>
                <w:lang w:eastAsia="ru-RU"/>
              </w:rPr>
              <w:t>8</w:t>
            </w:r>
            <w:r w:rsidRPr="0009386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серпня</w:t>
            </w:r>
            <w:r w:rsidRPr="00093864">
              <w:rPr>
                <w:rFonts w:ascii="Times New Roman" w:eastAsia="Times New Roman" w:hAnsi="Times New Roman" w:cs="Times New Roman"/>
                <w:sz w:val="24"/>
                <w:szCs w:val="28"/>
                <w:lang w:eastAsia="ru-RU"/>
              </w:rPr>
              <w:t xml:space="preserve"> 2020 р.</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Завідувач кафедри ___________І.Г. Коцюба</w:t>
            </w:r>
          </w:p>
          <w:p w:rsidR="00A8189C" w:rsidRPr="00093864" w:rsidRDefault="00A8189C" w:rsidP="00DD13B9">
            <w:pPr>
              <w:overflowPunct w:val="0"/>
              <w:autoSpaceDE w:val="0"/>
              <w:autoSpaceDN w:val="0"/>
              <w:adjustRightInd w:val="0"/>
              <w:rPr>
                <w:rFonts w:ascii="Times New Roman" w:eastAsia="Times New Roman" w:hAnsi="Times New Roman" w:cs="Times New Roman"/>
                <w:sz w:val="24"/>
                <w:szCs w:val="28"/>
                <w:lang w:eastAsia="ru-RU"/>
              </w:rPr>
            </w:pPr>
            <w:r w:rsidRPr="00093864">
              <w:rPr>
                <w:rFonts w:ascii="Times New Roman" w:eastAsia="Times New Roman" w:hAnsi="Times New Roman" w:cs="Times New Roman"/>
                <w:sz w:val="24"/>
                <w:szCs w:val="28"/>
                <w:lang w:eastAsia="ru-RU"/>
              </w:rPr>
              <w:t>«__» ___________2020 р.</w:t>
            </w:r>
          </w:p>
        </w:tc>
      </w:tr>
      <w:tr w:rsidR="00A8189C" w:rsidRPr="00093864" w:rsidTr="00DD13B9">
        <w:trPr>
          <w:trHeight w:val="855"/>
        </w:trPr>
        <w:tc>
          <w:tcPr>
            <w:tcW w:w="9743" w:type="dxa"/>
            <w:gridSpan w:val="2"/>
          </w:tcPr>
          <w:p w:rsidR="00A8189C" w:rsidRPr="00093864" w:rsidRDefault="00A8189C" w:rsidP="00DD13B9">
            <w:pPr>
              <w:overflowPunct w:val="0"/>
              <w:autoSpaceDE w:val="0"/>
              <w:autoSpaceDN w:val="0"/>
              <w:adjustRightInd w:val="0"/>
              <w:jc w:val="center"/>
              <w:rPr>
                <w:rFonts w:ascii="Times New Roman" w:eastAsia="Times New Roman" w:hAnsi="Times New Roman" w:cs="Times New Roman"/>
                <w:sz w:val="24"/>
                <w:szCs w:val="24"/>
                <w:lang w:eastAsia="ru-RU"/>
              </w:rPr>
            </w:pPr>
            <w:r w:rsidRPr="00093864">
              <w:rPr>
                <w:rFonts w:ascii="Times New Roman" w:eastAsia="Times New Roman" w:hAnsi="Times New Roman" w:cs="Times New Roman"/>
                <w:sz w:val="24"/>
                <w:szCs w:val="24"/>
                <w:lang w:eastAsia="ru-RU"/>
              </w:rPr>
              <w:t xml:space="preserve">ТЕСТОВІ ЗАВДАННЯ </w:t>
            </w:r>
          </w:p>
          <w:p w:rsidR="00A8189C" w:rsidRPr="00093864" w:rsidRDefault="00A8189C" w:rsidP="00DD13B9">
            <w:pPr>
              <w:overflowPunct w:val="0"/>
              <w:autoSpaceDE w:val="0"/>
              <w:autoSpaceDN w:val="0"/>
              <w:adjustRightInd w:val="0"/>
              <w:jc w:val="center"/>
              <w:rPr>
                <w:rFonts w:ascii="Times New Roman" w:eastAsia="Times New Roman" w:hAnsi="Times New Roman" w:cs="Times New Roman"/>
                <w:b/>
                <w:sz w:val="24"/>
                <w:szCs w:val="24"/>
                <w:lang w:eastAsia="ru-RU"/>
              </w:rPr>
            </w:pPr>
            <w:r w:rsidRPr="00A8189C">
              <w:rPr>
                <w:rFonts w:ascii="Times New Roman" w:eastAsia="Times New Roman" w:hAnsi="Times New Roman" w:cs="Times New Roman"/>
                <w:b/>
                <w:sz w:val="24"/>
                <w:szCs w:val="24"/>
                <w:lang w:eastAsia="ru-RU"/>
              </w:rPr>
              <w:t>ЕКОЛОГІЧНИЙ СУПРОВІД ГОСПОДАРСЬКОЇ ДІЯЛЬНОСТІ</w:t>
            </w:r>
          </w:p>
        </w:tc>
      </w:tr>
    </w:tbl>
    <w:p w:rsidR="00F3276A" w:rsidRDefault="00F3276A">
      <w:pPr>
        <w:rPr>
          <w:rFonts w:ascii="Times New Roman" w:hAnsi="Times New Roman" w:cs="Times New Roman"/>
          <w:sz w:val="28"/>
        </w:rPr>
      </w:pPr>
    </w:p>
    <w:tbl>
      <w:tblPr>
        <w:tblStyle w:val="a3"/>
        <w:tblW w:w="9776" w:type="dxa"/>
        <w:tblLook w:val="04A0" w:firstRow="1" w:lastRow="0" w:firstColumn="1" w:lastColumn="0" w:noHBand="0" w:noVBand="1"/>
      </w:tblPr>
      <w:tblGrid>
        <w:gridCol w:w="704"/>
        <w:gridCol w:w="9072"/>
      </w:tblGrid>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w:t>
            </w:r>
          </w:p>
        </w:tc>
        <w:tc>
          <w:tcPr>
            <w:tcW w:w="9072"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Зміст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Специфічний суб'єкт господарської діяльності, який спрямований на вирішення комплексних проблем за різними напрямками – економічному, екологічному та соціальному</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Які є основні напрями, що забезпечують розвиток екологічного підприємництва в Україні?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Що є чинником раціонального використання природних ресурсів, покращення якості продукції, зниження та усунення негативного впливу на стан навколишнього середовища, реалізації принципів сталого розвитку? </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4</w:t>
            </w:r>
          </w:p>
        </w:tc>
        <w:tc>
          <w:tcPr>
            <w:tcW w:w="9072" w:type="dxa"/>
          </w:tcPr>
          <w:p w:rsidR="00C4764C" w:rsidRPr="001B18FB" w:rsidRDefault="00C4764C" w:rsidP="00B13040">
            <w:pPr>
              <w:jc w:val="both"/>
              <w:rPr>
                <w:rFonts w:ascii="Times New Roman" w:hAnsi="Times New Roman" w:cs="Times New Roman"/>
                <w:sz w:val="24"/>
                <w:szCs w:val="24"/>
              </w:rPr>
            </w:pPr>
            <w:r w:rsidRPr="001B18FB">
              <w:rPr>
                <w:rFonts w:ascii="Times New Roman" w:hAnsi="Times New Roman" w:cs="Times New Roman"/>
                <w:sz w:val="24"/>
                <w:szCs w:val="24"/>
              </w:rPr>
              <w:t>Метою співробітництва України та Європейського союзу є боротьба з погіршенням стану навколишнього середовища, яка охоплює такі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5</w:t>
            </w:r>
          </w:p>
        </w:tc>
        <w:tc>
          <w:tcPr>
            <w:tcW w:w="9072" w:type="dxa"/>
          </w:tcPr>
          <w:p w:rsidR="00C4764C" w:rsidRPr="001B18FB" w:rsidRDefault="00C4764C" w:rsidP="00B13040">
            <w:pPr>
              <w:jc w:val="both"/>
              <w:rPr>
                <w:rFonts w:ascii="Times New Roman" w:hAnsi="Times New Roman" w:cs="Times New Roman"/>
                <w:sz w:val="24"/>
                <w:szCs w:val="24"/>
              </w:rPr>
            </w:pPr>
            <w:r w:rsidRPr="001B18FB">
              <w:rPr>
                <w:rFonts w:ascii="Times New Roman" w:hAnsi="Times New Roman" w:cs="Times New Roman"/>
                <w:sz w:val="24"/>
                <w:szCs w:val="24"/>
              </w:rPr>
              <w:t>Метою співробітництва України та Європейського союзу є боротьба з погіршенням стану навколишнього середовища, яка охоплює такі питання:</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проблем, з якими пов’язане впровадження екологічно чистого виробництва належать:</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Основні переваги ринку екологічно чистих товарів та послуг в Україні </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екологічної зумовленості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гласності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економічної доцільності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Принцип системності</w:t>
            </w:r>
          </w:p>
        </w:tc>
      </w:tr>
      <w:tr w:rsidR="00C4764C" w:rsidRPr="001B18FB" w:rsidTr="00C4764C">
        <w:tc>
          <w:tcPr>
            <w:tcW w:w="704" w:type="dxa"/>
          </w:tcPr>
          <w:p w:rsidR="00C4764C" w:rsidRPr="001B18FB" w:rsidRDefault="00C4764C">
            <w:pPr>
              <w:rPr>
                <w:rFonts w:ascii="Times New Roman" w:hAnsi="Times New Roman" w:cs="Times New Roman"/>
                <w:sz w:val="24"/>
                <w:szCs w:val="24"/>
              </w:rPr>
            </w:pPr>
            <w:r w:rsidRPr="001B18FB">
              <w:rPr>
                <w:rFonts w:ascii="Times New Roman" w:hAnsi="Times New Roman" w:cs="Times New Roman"/>
                <w:sz w:val="24"/>
                <w:szCs w:val="24"/>
              </w:rPr>
              <w:t>12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напрямами, які забезпечать розвиток екологічного підприємництва в Україні, 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Виробництво чистої продукції, як критерій оцінки підприємства з точки зору його екологічної чистоти включає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Впровадження чистих виробничих процесів,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Технології переробки та регенерації відходів,</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Заміна виробництва,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Скорочення затрат на виробництво,</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18</w:t>
            </w:r>
          </w:p>
        </w:tc>
        <w:tc>
          <w:tcPr>
            <w:tcW w:w="9072" w:type="dxa"/>
          </w:tcPr>
          <w:p w:rsidR="00C4764C" w:rsidRPr="001B18FB" w:rsidRDefault="00C4764C" w:rsidP="00997F76">
            <w:pPr>
              <w:jc w:val="both"/>
              <w:rPr>
                <w:rFonts w:ascii="Times New Roman" w:hAnsi="Times New Roman" w:cs="Times New Roman"/>
                <w:sz w:val="24"/>
                <w:szCs w:val="24"/>
              </w:rPr>
            </w:pPr>
            <w:r w:rsidRPr="001B18FB">
              <w:rPr>
                <w:rFonts w:ascii="Times New Roman" w:hAnsi="Times New Roman" w:cs="Times New Roman"/>
                <w:sz w:val="24"/>
                <w:szCs w:val="24"/>
              </w:rPr>
              <w:t>Впровадження енергозберігаючих технологій</w:t>
            </w:r>
            <w:r w:rsidRPr="001B18FB">
              <w:rPr>
                <w:sz w:val="24"/>
                <w:szCs w:val="24"/>
              </w:rPr>
              <w:t xml:space="preserve">, </w:t>
            </w:r>
            <w:r w:rsidRPr="001B18FB">
              <w:rPr>
                <w:rFonts w:ascii="Times New Roman" w:hAnsi="Times New Roman" w:cs="Times New Roman"/>
                <w:sz w:val="24"/>
                <w:szCs w:val="24"/>
              </w:rPr>
              <w:t>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lastRenderedPageBreak/>
              <w:t>19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Випуск чистої продукції, як критерій оцінки підприємства з точки зору його екологічної чистоти включає</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Систематизація інформації про розміщення джерел забруднення атмосфери на території, види і кількісний склад забруднюючих речовин, що викидаються у атмосферне повітря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 завдання інвентаризації викидів входить:</w:t>
            </w:r>
          </w:p>
        </w:tc>
      </w:tr>
      <w:tr w:rsidR="00C4764C" w:rsidRPr="001B18FB" w:rsidTr="00C4764C">
        <w:tc>
          <w:tcPr>
            <w:tcW w:w="704" w:type="dxa"/>
          </w:tcPr>
          <w:p w:rsidR="00C4764C" w:rsidRPr="001B18FB" w:rsidRDefault="00C4764C" w:rsidP="00FB4EF0">
            <w:pPr>
              <w:rPr>
                <w:rFonts w:ascii="Times New Roman" w:hAnsi="Times New Roman" w:cs="Times New Roman"/>
                <w:sz w:val="24"/>
                <w:szCs w:val="24"/>
              </w:rPr>
            </w:pPr>
            <w:r w:rsidRPr="001B18FB">
              <w:rPr>
                <w:rFonts w:ascii="Times New Roman" w:hAnsi="Times New Roman" w:cs="Times New Roman"/>
                <w:sz w:val="24"/>
                <w:szCs w:val="24"/>
              </w:rPr>
              <w:t>22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Матеріали інвентаризації використовуються для: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етапів проведення Інвентаризації джерел викидів:</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На скільки груп розділяються об’єкти впливу на атмосферне повітря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які взяті на державний облік і мають виробництва або технологічне устаткування, на яких повинні впроваджуватись найкращі доступні технології та методи керування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які взяті на державний облік і не мають виробництв або технологічного устаткування, на яких повинні впроваджуватись найкращі доступні технології та методи керування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до першої групи, суб’єкту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становить </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другої групи становить</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29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Термін дії дозволу на викиди забруднюючих речовин в атмосферне повітря стаціонарними джерелами, виданого суб’єкту господарювання, об’єкт якого належить до третьої групи становить</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30</w:t>
            </w:r>
          </w:p>
        </w:tc>
        <w:tc>
          <w:tcPr>
            <w:tcW w:w="9072" w:type="dxa"/>
          </w:tcPr>
          <w:p w:rsidR="00C4764C" w:rsidRPr="001B18FB" w:rsidRDefault="00C4764C" w:rsidP="00801C66">
            <w:pPr>
              <w:jc w:val="both"/>
              <w:rPr>
                <w:rFonts w:ascii="Times New Roman" w:hAnsi="Times New Roman" w:cs="Times New Roman"/>
                <w:sz w:val="24"/>
                <w:szCs w:val="24"/>
              </w:rPr>
            </w:pPr>
            <w:r w:rsidRPr="001B18FB">
              <w:rPr>
                <w:rFonts w:ascii="Times New Roman" w:hAnsi="Times New Roman" w:cs="Times New Roman"/>
                <w:sz w:val="24"/>
                <w:szCs w:val="24"/>
              </w:rPr>
              <w:t>Підсумковий документ, що фіксує натуральні показники і їх відхилення від нормативних та показує наскільки ефективно працює вентиляційна установка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Викид забруднюючих речовин в атмосферне повітря, який стався внаслідок промислової аварії, на стаціонарному джерелі викиду при виходу з ладу пилогазоочисної установки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Надходження в атмосферне повітря забруднюючих речовин або суміші таких речовин</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Кількість забруднюючої речовини, що надходить в атмосферне повітря за одиницю часу, визначається як добуток масової концентрації цієї речовини та об’ємної витрати газопилового потоку, г/с</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Викид, який надходить в атмосферу через спеціально споруджені газоходи, труби та інші споруди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35</w:t>
            </w:r>
          </w:p>
        </w:tc>
        <w:tc>
          <w:tcPr>
            <w:tcW w:w="9072" w:type="dxa"/>
          </w:tcPr>
          <w:p w:rsidR="00C4764C" w:rsidRPr="001B18FB" w:rsidRDefault="00C4764C" w:rsidP="00801C66">
            <w:pPr>
              <w:jc w:val="both"/>
              <w:rPr>
                <w:rFonts w:ascii="Times New Roman" w:hAnsi="Times New Roman" w:cs="Times New Roman"/>
                <w:sz w:val="24"/>
                <w:szCs w:val="24"/>
              </w:rPr>
            </w:pPr>
            <w:r w:rsidRPr="001B18FB">
              <w:rPr>
                <w:rFonts w:ascii="Times New Roman" w:hAnsi="Times New Roman" w:cs="Times New Roman"/>
                <w:sz w:val="24"/>
                <w:szCs w:val="24"/>
              </w:rPr>
              <w:t>Газ, що містить забруднюючу речовину або забруднюючі речовини в будь-якому агрегатному стані й організовано відводиться від джерела утворення забруднюючих речовин та (або) стаціонарного джерела забруднення атмосфери</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Складова технологічної або вентиляційної системи для транспортування газового потоку, виготовлена з різного матеріалу і різної форми поперечного перерізу (труба, повітропровід, димовий або вентиляційний канал, димова труба, вентиляційна шахта)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 у якому відбувається утворення забруднюючих речовин, в ході технологічного процесу</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Речовина хімічного або біологічного походження, що присутня або надходить в атмосферне повітря і може прямо або опосередковано справляти негативний вплив на здоров’я та стан навколишнього природного середовища</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39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Кількість забруднюючої речовини в певному об’ємі або ваговій одиниці в газах, що відходять в атмосферне повітря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40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lastRenderedPageBreak/>
              <w:t>41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Наднормативними викидами забруднюючих речовин в атмосферне повітря вважаються:</w:t>
            </w:r>
          </w:p>
        </w:tc>
      </w:tr>
      <w:tr w:rsidR="00C4764C" w:rsidRPr="001B18FB" w:rsidTr="00C4764C">
        <w:tc>
          <w:tcPr>
            <w:tcW w:w="704" w:type="dxa"/>
          </w:tcPr>
          <w:p w:rsidR="00C4764C" w:rsidRPr="001B18FB" w:rsidRDefault="00C4764C" w:rsidP="0024647D">
            <w:pPr>
              <w:rPr>
                <w:rFonts w:ascii="Times New Roman" w:hAnsi="Times New Roman" w:cs="Times New Roman"/>
                <w:sz w:val="24"/>
                <w:szCs w:val="24"/>
              </w:rPr>
            </w:pPr>
            <w:r w:rsidRPr="001B18FB">
              <w:rPr>
                <w:rFonts w:ascii="Times New Roman" w:hAnsi="Times New Roman" w:cs="Times New Roman"/>
                <w:sz w:val="24"/>
                <w:szCs w:val="24"/>
              </w:rPr>
              <w:t>42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Максимальна кількість води належної якості, яка необхідна для виробництва одиниці товару чи продукції за визначених умов виробництва</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Найбільша кількість стічних вод, що приходиться на одиницю виробленого товару чи продукції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Балансові норми призначені для: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Підставами для переоформлення нормативів ГДС є:</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У складі скількох поясів організовується зони санітарної охорони </w:t>
            </w:r>
          </w:p>
          <w:p w:rsidR="00C4764C" w:rsidRPr="001B18FB" w:rsidRDefault="00C4764C" w:rsidP="00F3276A">
            <w:pPr>
              <w:jc w:val="both"/>
              <w:rPr>
                <w:rFonts w:ascii="Times New Roman" w:hAnsi="Times New Roman" w:cs="Times New Roman"/>
                <w:sz w:val="24"/>
                <w:szCs w:val="24"/>
              </w:rPr>
            </w:pP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Територія розташування водозаборів, майданчиків розташування всіх водопровідних споруд і </w:t>
            </w:r>
            <w:proofErr w:type="spellStart"/>
            <w:r w:rsidRPr="001B18FB">
              <w:rPr>
                <w:rFonts w:ascii="Times New Roman" w:hAnsi="Times New Roman" w:cs="Times New Roman"/>
                <w:sz w:val="24"/>
                <w:szCs w:val="24"/>
              </w:rPr>
              <w:t>водопідвідний</w:t>
            </w:r>
            <w:proofErr w:type="spellEnd"/>
            <w:r w:rsidRPr="001B18FB">
              <w:rPr>
                <w:rFonts w:ascii="Times New Roman" w:hAnsi="Times New Roman" w:cs="Times New Roman"/>
                <w:sz w:val="24"/>
                <w:szCs w:val="24"/>
              </w:rPr>
              <w:t xml:space="preserve"> каналу належить до </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Територія, призначена для охорони від забруднення джерел водопостачання належить до</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49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Отримання дозволу на спеціальне водокористування є обов’язковим для тих суб'єктів, які використовують воду в об’ємі від </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Методика</w:t>
            </w:r>
            <w:r w:rsidRPr="001B18FB">
              <w:rPr>
                <w:sz w:val="24"/>
                <w:szCs w:val="24"/>
              </w:rPr>
              <w:t xml:space="preserve"> </w:t>
            </w:r>
            <w:r w:rsidRPr="001B18FB">
              <w:rPr>
                <w:rFonts w:ascii="Times New Roman" w:hAnsi="Times New Roman" w:cs="Times New Roman"/>
                <w:sz w:val="24"/>
                <w:szCs w:val="24"/>
              </w:rPr>
              <w:t>відшкодування збитків, заподіяних державі внаслідок порушення законодавства про охорону та раціональне використання водних ресурсів не застосовується у випадках оцінки шкоди, заподіяної: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Методика не поширюється на розрахунки збитків, заподіяних державі внаслідок:</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Скид забруднюючих речовин із зворотними водами, який стався внаслідок промислової чи транспортної аварії</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рибництва, водного, повітряного транспорту та інших потреб</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Використання вод (водних об'єктів) для задоволення потреб населення, промисловості, сільського господарства, транспорту та інших галузей господарства, включаючи право на забір води, скидання стічних вод та інші види використання вод (водних об'єктів)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Штучна водойма місткістю більше 1 млн.м</w:t>
            </w:r>
            <w:r w:rsidRPr="001B18FB">
              <w:rPr>
                <w:rFonts w:ascii="Times New Roman" w:hAnsi="Times New Roman" w:cs="Times New Roman"/>
                <w:sz w:val="24"/>
                <w:szCs w:val="24"/>
                <w:vertAlign w:val="superscript"/>
              </w:rPr>
              <w:t>-3</w:t>
            </w:r>
            <w:r w:rsidRPr="001B18FB">
              <w:rPr>
                <w:rFonts w:ascii="Times New Roman" w:hAnsi="Times New Roman" w:cs="Times New Roman"/>
                <w:sz w:val="24"/>
                <w:szCs w:val="24"/>
              </w:rPr>
              <w:t>, збудована для створення запасу води та регулювання її стоку</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Штучно створена водойма місткістю не більше 1 млн.м</w:t>
            </w:r>
            <w:r w:rsidRPr="001B18FB">
              <w:rPr>
                <w:rFonts w:ascii="Times New Roman" w:hAnsi="Times New Roman" w:cs="Times New Roman"/>
                <w:sz w:val="24"/>
                <w:szCs w:val="24"/>
                <w:vertAlign w:val="superscript"/>
              </w:rPr>
              <w:t>-3</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яка профільтрувалася з певної території та відводиться за допомогою дренажної системи з метою пониження рівня ґрунтових вод</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59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що повертається за допомогою технічних споруд і засобів з господарської ланки кругообігу води в його природні ланки у вигляді стічної, шахтної, кар'єрної чи дренажної води</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випадання атмосферних опадів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Води, що знаходяться нижче рівня земної поверхні в товщах гірських порід верхньої частини земної кори в усіх фізичних станах</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Води різних водних об'єктів, що знаходяться на земній поверхні</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Природний або створений штучно елемент довкілля, в якому зосереджуються води (море, річка, озеро, водосховище, ставок, канал, водоносний горизонт)</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Встановлений рівень концентрації речовини у воді, вище якого вода вважається не придатною для конкретних цілей водокористування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Маса речовини у зворотній воді, що є максимально допустимою для відведення за встановленим режимом для цього пункту водного об'єкта за одиницю часу</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lastRenderedPageBreak/>
              <w:t>66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Речовина, яка привноситься у водний об'єкт в результаті господарської діяльності людини та спричиняє погіршення якості води</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Частина маси фактично скинутої речовини у зворотних водах, що перевищує масу речовини, максимально допустиму для відведення за розрахунковий період</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Використання водних ресурсів за відсутності дозвільних документів (дозволу на спеціальне водокористування та/або спеціального дозволу на користування надрами (підземні води)), у разі перевищення встановлених у дозволі на спеціальне водокористування лімітів</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69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Місця контролю якості води водного об'єкта, в яких мають дотримуватись встановлені норми якості води виходячи з цільового використання водного об'єкта</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70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Концентрація речовини у воді водного об'єкта, що сформувалася під впливом усіх джерел домішок, за винятком впливу джерела, щодо якого визначається фонова концентрація</w:t>
            </w:r>
          </w:p>
        </w:tc>
      </w:tr>
      <w:tr w:rsidR="00C4764C" w:rsidRPr="001B18FB" w:rsidTr="00C4764C">
        <w:tc>
          <w:tcPr>
            <w:tcW w:w="704" w:type="dxa"/>
          </w:tcPr>
          <w:p w:rsidR="00C4764C" w:rsidRPr="001B18FB" w:rsidRDefault="00C4764C" w:rsidP="00132A43">
            <w:pPr>
              <w:rPr>
                <w:rFonts w:ascii="Times New Roman" w:hAnsi="Times New Roman" w:cs="Times New Roman"/>
                <w:sz w:val="24"/>
                <w:szCs w:val="24"/>
              </w:rPr>
            </w:pPr>
            <w:r w:rsidRPr="001B18FB">
              <w:rPr>
                <w:rFonts w:ascii="Times New Roman" w:hAnsi="Times New Roman" w:cs="Times New Roman"/>
                <w:sz w:val="24"/>
                <w:szCs w:val="24"/>
              </w:rPr>
              <w:t>71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Обсяг зворотних вод, відведених у водний об'єкт</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Наднормативними скидами забруднюючих речовин у водний об'єкт з перевищенням ГДС вважаються: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 моменту встановлення факту скиду зворотних вод з перевищенням встановлених нормативів ГДС до повного його припинення проби води відбираються не менше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74</w:t>
            </w:r>
          </w:p>
        </w:tc>
        <w:tc>
          <w:tcPr>
            <w:tcW w:w="9072" w:type="dxa"/>
          </w:tcPr>
          <w:p w:rsidR="00C4764C" w:rsidRPr="001B18FB" w:rsidRDefault="00C4764C" w:rsidP="00F3693A">
            <w:pPr>
              <w:jc w:val="both"/>
              <w:rPr>
                <w:rFonts w:ascii="Times New Roman" w:hAnsi="Times New Roman" w:cs="Times New Roman"/>
                <w:sz w:val="24"/>
                <w:szCs w:val="24"/>
              </w:rPr>
            </w:pPr>
            <w:r w:rsidRPr="001B18FB">
              <w:rPr>
                <w:rFonts w:ascii="Times New Roman" w:hAnsi="Times New Roman" w:cs="Times New Roman"/>
                <w:sz w:val="24"/>
                <w:szCs w:val="24"/>
              </w:rPr>
              <w:t>Поверхневі водні об'єкти рибогосподарського використання поділяються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Дозвіл надається на такі види користування надрами:</w:t>
            </w:r>
          </w:p>
        </w:tc>
      </w:tr>
      <w:tr w:rsidR="00C4764C" w:rsidRPr="001B18FB" w:rsidTr="00C4764C">
        <w:trPr>
          <w:trHeight w:val="1473"/>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Дозволи на створення геологічних територій та об’єктів, які мають важливе наукове, культурне, санітарно-оздоровче значення, надаються</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геологічне вивчення надр, у тому числі дослідно-промислова розробка родовищ строк дії дозволу становить</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видобування корисних копалин (промислова розробка родовищ)</w:t>
            </w:r>
            <w:r w:rsidRPr="001B18FB">
              <w:rPr>
                <w:sz w:val="24"/>
                <w:szCs w:val="24"/>
              </w:rPr>
              <w:t xml:space="preserve"> </w:t>
            </w:r>
            <w:r w:rsidRPr="001B18FB">
              <w:rPr>
                <w:rFonts w:ascii="Times New Roman" w:hAnsi="Times New Roman" w:cs="Times New Roman"/>
                <w:sz w:val="24"/>
                <w:szCs w:val="24"/>
              </w:rPr>
              <w:t xml:space="preserve">строк дії дозволу становить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79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Спорудження та експлуатація підземних споруд, не пов’язаних з видобуванням корисних копалин, у тому числі підземних сховищ нафти чи газу строк дії дозволу становить</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Через який термін </w:t>
            </w:r>
            <w:proofErr w:type="spellStart"/>
            <w:r w:rsidRPr="001B18FB">
              <w:rPr>
                <w:rFonts w:ascii="Times New Roman" w:hAnsi="Times New Roman" w:cs="Times New Roman"/>
                <w:sz w:val="24"/>
                <w:szCs w:val="24"/>
              </w:rPr>
              <w:t>надрокористувач</w:t>
            </w:r>
            <w:proofErr w:type="spellEnd"/>
            <w:r w:rsidRPr="001B18FB">
              <w:rPr>
                <w:rFonts w:ascii="Times New Roman" w:hAnsi="Times New Roman" w:cs="Times New Roman"/>
                <w:sz w:val="24"/>
                <w:szCs w:val="24"/>
              </w:rPr>
              <w:t>, який отримав дозвіл на користування нафтогазоносними надрами, повинен розпочати діяльність, пов’язану з користуванням нафтогазоносними надрами</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 разі проведення конкурсу дозвіл надається його переможцю не пізніше ніж через _____ з моменту визначення переможця конкурсу</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Через скільки днів уповноважений орган виконавчої влади з геологічного вивчення та забезпечення раціонального використання надр повідомляє про відмову у наданні дозволу</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В яких випадках продовження строку дії дозволу на </w:t>
            </w:r>
            <w:proofErr w:type="spellStart"/>
            <w:r w:rsidRPr="001B18FB">
              <w:rPr>
                <w:rFonts w:ascii="Times New Roman" w:hAnsi="Times New Roman" w:cs="Times New Roman"/>
                <w:sz w:val="24"/>
                <w:szCs w:val="24"/>
              </w:rPr>
              <w:t>надрокористування</w:t>
            </w:r>
            <w:proofErr w:type="spellEnd"/>
            <w:r w:rsidRPr="001B18FB">
              <w:rPr>
                <w:rFonts w:ascii="Times New Roman" w:hAnsi="Times New Roman" w:cs="Times New Roman"/>
                <w:sz w:val="24"/>
                <w:szCs w:val="24"/>
              </w:rPr>
              <w:t xml:space="preserve"> може бути відмовлено у разі:</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Дія дозволу на користування надрами, у тому числі нафтогазоносними, може бути тимчасово зупинена спеціально уповноваженим центральним органом виконавчої влади з геологічного вивчення та забезпечення раціонального використання надр безпосередньо або за поданням органів державного гірничого та санітарно-епідеміологічного нагляду і екологічного контролю та органів місцевого самоврядування у разі:</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lastRenderedPageBreak/>
              <w:t>85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горючих надр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металевих надр</w:t>
            </w:r>
            <w:r w:rsidRPr="001B18FB">
              <w:rPr>
                <w:sz w:val="24"/>
                <w:szCs w:val="24"/>
              </w:rPr>
              <w:t xml:space="preserve"> </w:t>
            </w:r>
            <w:r w:rsidRPr="001B18FB">
              <w:rPr>
                <w:rFonts w:ascii="Times New Roman" w:hAnsi="Times New Roman" w:cs="Times New Roman"/>
                <w:sz w:val="24"/>
                <w:szCs w:val="24"/>
              </w:rPr>
              <w:t>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сировини нерудних для металургії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До </w:t>
            </w:r>
            <w:proofErr w:type="spellStart"/>
            <w:r w:rsidRPr="001B18FB">
              <w:rPr>
                <w:rFonts w:ascii="Times New Roman" w:hAnsi="Times New Roman" w:cs="Times New Roman"/>
                <w:sz w:val="24"/>
                <w:szCs w:val="24"/>
              </w:rPr>
              <w:t>гірничохімічної</w:t>
            </w:r>
            <w:proofErr w:type="spellEnd"/>
            <w:r w:rsidRPr="001B18FB">
              <w:rPr>
                <w:rFonts w:ascii="Times New Roman" w:hAnsi="Times New Roman" w:cs="Times New Roman"/>
                <w:sz w:val="24"/>
                <w:szCs w:val="24"/>
              </w:rPr>
              <w:t xml:space="preserve"> сировини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89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гірничорудної сировини належить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lastRenderedPageBreak/>
              <w:t>90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ювелірної, ювелірно-виробничої, виробної сировини для облицювальних матеріалів належать</w:t>
            </w:r>
          </w:p>
        </w:tc>
      </w:tr>
      <w:tr w:rsidR="00C4764C" w:rsidRPr="001B18FB" w:rsidTr="00C4764C">
        <w:trPr>
          <w:trHeight w:val="2731"/>
        </w:trPr>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До будівельної сировини належать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 скількох форм складається реєстрова карта об’єктів утворення, оброблення та утилізації відходів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Скільки разів на рік подається паперова та електронна форма Декларації про відходи подається </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днів дозвільний орган з дня отримання декларації розглядає та здійснює її реєстрацію або надсилає повідомлення із вичерпним переліком зауважень щодо необхідності виправлення/ уточнення наданих відомостей</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Комплекс разових організаційно-технічних заходів з виявлення, ідентифікації, опису і реєстрації відходів, обліку обсягів їх утворення, утилізації та видалення, а також виявлення і обстеження місць утворення відходів і об’єктів поводження з ними</w:t>
            </w:r>
          </w:p>
        </w:tc>
      </w:tr>
      <w:tr w:rsidR="00C4764C" w:rsidRPr="001B18FB" w:rsidTr="00C4764C">
        <w:tc>
          <w:tcPr>
            <w:tcW w:w="704" w:type="dxa"/>
          </w:tcPr>
          <w:p w:rsidR="00C4764C" w:rsidRPr="001B18FB" w:rsidRDefault="00C4764C" w:rsidP="00670400">
            <w:pPr>
              <w:rPr>
                <w:rFonts w:ascii="Times New Roman" w:hAnsi="Times New Roman" w:cs="Times New Roman"/>
                <w:sz w:val="24"/>
                <w:szCs w:val="24"/>
              </w:rPr>
            </w:pPr>
            <w:r w:rsidRPr="001B18FB">
              <w:rPr>
                <w:rFonts w:ascii="Times New Roman" w:hAnsi="Times New Roman" w:cs="Times New Roman"/>
                <w:sz w:val="24"/>
                <w:szCs w:val="24"/>
              </w:rPr>
              <w:t>96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Територія, яка відділяє підприємства, їх окремі споруди з технологічними процесами, які є джерелами впливу на середовище перебування людини, від житлової забудови, </w:t>
            </w:r>
            <w:proofErr w:type="spellStart"/>
            <w:r w:rsidRPr="001B18FB">
              <w:rPr>
                <w:rFonts w:ascii="Times New Roman" w:hAnsi="Times New Roman" w:cs="Times New Roman"/>
                <w:sz w:val="24"/>
                <w:szCs w:val="24"/>
              </w:rPr>
              <w:t>ландшафтно</w:t>
            </w:r>
            <w:proofErr w:type="spellEnd"/>
            <w:r w:rsidRPr="001B18FB">
              <w:rPr>
                <w:rFonts w:ascii="Times New Roman" w:hAnsi="Times New Roman" w:cs="Times New Roman"/>
                <w:sz w:val="24"/>
                <w:szCs w:val="24"/>
              </w:rPr>
              <w:t>-рекреаційної зони, зон відпочинку, курорту</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Скільки класів санітарно захисних зон виділяють відповідно до санітарних норм проектування промислових підприємств</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першого класу санітарно-захисної зони завширшки 3000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99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першого класу санітарно-захисної зони завширшки 1000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другого класу санітарно-захисної зони завширшки 500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третього класу санітарно-захисної зони завширшки 300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четвертого класу санітарно-захисної зони завширшки 100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п’ятого класу санітарно-захисної зони завширшки 50 м відносять</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Хімічні, нафтопереробні, паперово-целюлозні та металургійні заводи й підприємства, що займаються випалюванням коксу, вторинною переробкою кольорових металів, видобутком нафти, природного газу та кам’яного вугілля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Цементні, гіпсові, вапнякові та азбестові заводи і підприємства, що виробляють свинцеві акумулятори, пластичні маси, видобувають горючі сланці, кам’яне, буре та інше вугілля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з виробництва скловати, </w:t>
            </w:r>
            <w:proofErr w:type="spellStart"/>
            <w:r w:rsidRPr="001B18FB">
              <w:rPr>
                <w:rFonts w:ascii="Times New Roman" w:hAnsi="Times New Roman" w:cs="Times New Roman"/>
                <w:sz w:val="24"/>
                <w:szCs w:val="24"/>
              </w:rPr>
              <w:t>карамзиту</w:t>
            </w:r>
            <w:proofErr w:type="spellEnd"/>
            <w:r w:rsidRPr="001B18FB">
              <w:rPr>
                <w:rFonts w:ascii="Times New Roman" w:hAnsi="Times New Roman" w:cs="Times New Roman"/>
                <w:sz w:val="24"/>
                <w:szCs w:val="24"/>
              </w:rPr>
              <w:t xml:space="preserve">, толю й </w:t>
            </w:r>
            <w:proofErr w:type="spellStart"/>
            <w:r w:rsidRPr="001B18FB">
              <w:rPr>
                <w:rFonts w:ascii="Times New Roman" w:hAnsi="Times New Roman" w:cs="Times New Roman"/>
                <w:sz w:val="24"/>
                <w:szCs w:val="24"/>
              </w:rPr>
              <w:t>рубероїду</w:t>
            </w:r>
            <w:proofErr w:type="spellEnd"/>
            <w:r w:rsidRPr="001B18FB">
              <w:rPr>
                <w:rFonts w:ascii="Times New Roman" w:hAnsi="Times New Roman" w:cs="Times New Roman"/>
                <w:sz w:val="24"/>
                <w:szCs w:val="24"/>
              </w:rPr>
              <w:t xml:space="preserve">, вугільних виробів для </w:t>
            </w:r>
            <w:proofErr w:type="spellStart"/>
            <w:r w:rsidRPr="001B18FB">
              <w:rPr>
                <w:rFonts w:ascii="Times New Roman" w:hAnsi="Times New Roman" w:cs="Times New Roman"/>
                <w:sz w:val="24"/>
                <w:szCs w:val="24"/>
              </w:rPr>
              <w:t>електропросисловості</w:t>
            </w:r>
            <w:proofErr w:type="spellEnd"/>
            <w:r w:rsidRPr="001B18FB">
              <w:rPr>
                <w:rFonts w:ascii="Times New Roman" w:hAnsi="Times New Roman" w:cs="Times New Roman"/>
                <w:sz w:val="24"/>
                <w:szCs w:val="24"/>
              </w:rPr>
              <w:t>, різних лаків та оліфи, ТЕЦ, заводи залізобетонних виробів, асфальтобетонні, кабельні заводи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t>107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металообробної промисловості, машинобудівні заводи, </w:t>
            </w:r>
            <w:proofErr w:type="spellStart"/>
            <w:r w:rsidRPr="001B18FB">
              <w:rPr>
                <w:rFonts w:ascii="Times New Roman" w:hAnsi="Times New Roman" w:cs="Times New Roman"/>
                <w:sz w:val="24"/>
                <w:szCs w:val="24"/>
              </w:rPr>
              <w:t>електропросмисловість</w:t>
            </w:r>
            <w:proofErr w:type="spellEnd"/>
            <w:r w:rsidRPr="001B18FB">
              <w:rPr>
                <w:rFonts w:ascii="Times New Roman" w:hAnsi="Times New Roman" w:cs="Times New Roman"/>
                <w:sz w:val="24"/>
                <w:szCs w:val="24"/>
              </w:rPr>
              <w:t xml:space="preserve"> з невеликими ливарними цехами, виробництво неізольованого кабелю, котлів, цегли, металевих електродів, будівельних матеріалів з відходів ТЕС мають СЗЗ розміром</w:t>
            </w:r>
          </w:p>
        </w:tc>
      </w:tr>
      <w:tr w:rsidR="00C4764C" w:rsidRPr="001B18FB" w:rsidTr="00C4764C">
        <w:tc>
          <w:tcPr>
            <w:tcW w:w="704" w:type="dxa"/>
          </w:tcPr>
          <w:p w:rsidR="00C4764C" w:rsidRPr="001B18FB" w:rsidRDefault="00C4764C" w:rsidP="00F441F4">
            <w:pPr>
              <w:rPr>
                <w:rFonts w:ascii="Times New Roman" w:hAnsi="Times New Roman" w:cs="Times New Roman"/>
                <w:sz w:val="24"/>
                <w:szCs w:val="24"/>
              </w:rPr>
            </w:pPr>
            <w:r w:rsidRPr="001B18FB">
              <w:rPr>
                <w:rFonts w:ascii="Times New Roman" w:hAnsi="Times New Roman" w:cs="Times New Roman"/>
                <w:sz w:val="24"/>
                <w:szCs w:val="24"/>
              </w:rPr>
              <w:lastRenderedPageBreak/>
              <w:t>108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Підприємства легкої та харчової промисловості, металообробні промисловості з термічною обробкою без ливарних </w:t>
            </w:r>
            <w:proofErr w:type="spellStart"/>
            <w:r w:rsidRPr="001B18FB">
              <w:rPr>
                <w:rFonts w:ascii="Times New Roman" w:hAnsi="Times New Roman" w:cs="Times New Roman"/>
                <w:sz w:val="24"/>
                <w:szCs w:val="24"/>
              </w:rPr>
              <w:t>цехів</w:t>
            </w:r>
            <w:proofErr w:type="spellEnd"/>
            <w:r w:rsidRPr="001B18FB">
              <w:rPr>
                <w:rFonts w:ascii="Times New Roman" w:hAnsi="Times New Roman" w:cs="Times New Roman"/>
                <w:sz w:val="24"/>
                <w:szCs w:val="24"/>
              </w:rPr>
              <w:t>, виробництво лужних акумуляторів, друкарні, виробництво стиснутих і зріджених продуктів розділення повітря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109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Призначена для виявлення характеру, інтенсивності і ступеня небезпеки впливу будь-якого виду планованої господарської діяльності на стан довкілля і здоров'я населення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Закон України «Про оцінку впливу на довкілля» прийнято</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Через який період часу Закон України «Про оцінку впливу на довкілля» вступив в дію</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Учасниками оцінки впливу на довкілля 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скільки категорій поділяються види планової діяльності та об’єктів, які можуть мати значний вплив на довкілля і підлягають оцінці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Оцінці впливу на довкілля не підлягає планова діяльність:</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Особи, які планують провадити діяльність, яка підлягає оцінці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119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Перша категорія видів планованої діяльності та об’єктів, які можуть мати значний вплив на довкілля і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Друга категорія видів планованої діяльності та об’єктів, які можуть мати значний вплив на довкілля та підлягають оцінці впливу на довкілля, </w:t>
            </w:r>
            <w:r w:rsidRPr="001B18FB">
              <w:rPr>
                <w:rFonts w:ascii="Times New Roman" w:hAnsi="Times New Roman" w:cs="Times New Roman"/>
                <w:b/>
                <w:sz w:val="24"/>
                <w:szCs w:val="24"/>
              </w:rPr>
              <w:t>не включає</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Оцінці впливу на довкілля не підлягають розширення і зміни діяльності та об’єктів, а саме:</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Будівництва об’єктів військового та оборонного призначення, які використовуватимуться виключно для забезпечення оборони держави та на які поширюється законодавство про державну таємницю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якому етапі оцінки впливу на довкілля суб’єкт господарювання, що вирішив займатися певною господарською діяльністю має визначити чи така діяльність потребує процедури</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моменту отримання зауважень уповноважений орган повідомляє про них суб’єкта господарювання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оприлюднення Повідомлення на вимогу суб’єкта господарювання уповноважений орган надає умови щодо обсягу досліджень та рівня деталізації інформації, що підлягає включенню до Звіту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129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моменту офіційного оприлюднення Повідомлення Громадськість може подати уповноваженому органу зауваження і пропозиції до планової діяльності, обсягу деталізації та рівня деталізації інформації, що підлягає включенню до звіту з оцінки впливу на довкілля</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отримання Звіту з ОВД уповноважений орган публікує Оголошення про початок громадського обговорення та Звіту з ОВД у Єдиному реєстрі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Громадське обговорення, яке розпочинається з дня оприлюднення Оголошення про початок громадського обговорення та надання громадськості доступу до Звіту з ОВД для ознайомлення та триває не менше –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Протягом скількох робочих днів з дня завершення громадського обговорення Уповноважений орган видає Висновок з ОВД</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lastRenderedPageBreak/>
              <w:t>133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Комплексна система спостережень, оцінки і прогнозу змін стану навколишнього середовища під впливом антропогенних факторів, моніторинг є інформаційною системою спостережень з визначеною оптимальною кількістю параметрів для оцінки і прогнозу змін стану природного середовища</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етапі впровадження стратегічних ініціатив</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можна здійснювати на таких рівнях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основних переваг стратегічної екологічної оцінки відносять</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 якій країні першими застосували оцінки впливу на навколишнє середовище</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Яка країна першою застосувала повноцінну стратегічну екологічну оцінку</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139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Закону України «Про стратегічну екологічну оцінку» ухвалено </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140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Розрізняють такі основні форми проведення стратегічної екологічної оцінки</w:t>
            </w:r>
          </w:p>
        </w:tc>
      </w:tr>
      <w:tr w:rsidR="00C4764C" w:rsidRPr="001B18FB" w:rsidTr="00C4764C">
        <w:tc>
          <w:tcPr>
            <w:tcW w:w="704" w:type="dxa"/>
          </w:tcPr>
          <w:p w:rsidR="00C4764C" w:rsidRPr="001B18FB" w:rsidRDefault="00C4764C" w:rsidP="000B0847">
            <w:pPr>
              <w:rPr>
                <w:rFonts w:ascii="Times New Roman" w:hAnsi="Times New Roman" w:cs="Times New Roman"/>
                <w:sz w:val="24"/>
                <w:szCs w:val="24"/>
              </w:rPr>
            </w:pPr>
            <w:r w:rsidRPr="001B18FB">
              <w:rPr>
                <w:rFonts w:ascii="Times New Roman" w:hAnsi="Times New Roman" w:cs="Times New Roman"/>
                <w:sz w:val="24"/>
                <w:szCs w:val="24"/>
              </w:rPr>
              <w:t>141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Здійснення стратегічної екологічної оцінки за спрощеною формою зазвичай триває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за детальною формою зазвичай триває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Здійснення стратегічної екологічної оцінки за частково деталізована формою зазвичай триває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чинниками, які є ключовими під час проведення стратегічної екологічної оцінки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Кому належить функція в процесі щодо забезпечення здійснення СЕО проекту стратегії, програми чи плану розвитку територіальної громади</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Підготовчий етап СЕО передбачає наступний алгоритм дій  </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визначення сфери охоплення СЕО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оцінки екологічної ситуації на території міста чи регіону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149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На етапі розробки документації із СЕО та передання її на затвердження здійснюється</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Документально оформлений системний незалежний процес оцінювання об'єкта екологічного аудиту, що включає збирання та об'єктивне оцінювання доказів для встановлення відповідності визначених видів діяльності, заходів, умов, системи управління навколишнім природним середовищем та інформації з цих питань вимогам законодавства України про охорону навколишнього природного середовища та іншим критеріям екологічного аудиту</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Основними завданнями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Об’єкти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Суб’єктами екологічного аудиту є:</w:t>
            </w:r>
          </w:p>
        </w:tc>
      </w:tr>
      <w:tr w:rsidR="00C4764C" w:rsidRPr="001B18FB" w:rsidTr="00C4764C">
        <w:tc>
          <w:tcPr>
            <w:tcW w:w="704" w:type="dxa"/>
          </w:tcPr>
          <w:p w:rsidR="00C4764C" w:rsidRPr="001B18FB" w:rsidRDefault="00C4764C" w:rsidP="009338EA">
            <w:pPr>
              <w:rPr>
                <w:rFonts w:ascii="Times New Roman" w:hAnsi="Times New Roman" w:cs="Times New Roman"/>
                <w:sz w:val="24"/>
                <w:szCs w:val="24"/>
              </w:rPr>
            </w:pPr>
            <w:r w:rsidRPr="001B18FB">
              <w:rPr>
                <w:rFonts w:ascii="Times New Roman" w:hAnsi="Times New Roman" w:cs="Times New Roman"/>
                <w:sz w:val="24"/>
                <w:szCs w:val="24"/>
              </w:rPr>
              <w:t>154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Аудит здійснюється стосовно будь-яких об’єктів екологічного аудиту на замовлення заінтересованого суб’єкта за згодою керівника чи власника об’єкта екологічного аудиту</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У яких випадках здійснюється обов’язковий аудит</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Замовник екологічного аудиту має право:</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Замовник екологічного аудиту зобов’язаний:</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159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Виконавець екологічного аудиту має право:</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Виконавець екологічного аудиту зобов’язаний:</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161</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 xml:space="preserve">Сертифікація на право проведення екологічного аудиту дійсний </w:t>
            </w:r>
          </w:p>
        </w:tc>
      </w:tr>
      <w:tr w:rsidR="00C4764C" w:rsidRPr="001B18FB" w:rsidTr="00C4764C">
        <w:tc>
          <w:tcPr>
            <w:tcW w:w="704" w:type="dxa"/>
          </w:tcPr>
          <w:p w:rsidR="00C4764C" w:rsidRPr="001B18FB" w:rsidRDefault="00C4764C" w:rsidP="00D40F5D">
            <w:pPr>
              <w:rPr>
                <w:rFonts w:ascii="Times New Roman" w:hAnsi="Times New Roman" w:cs="Times New Roman"/>
                <w:sz w:val="24"/>
                <w:szCs w:val="24"/>
              </w:rPr>
            </w:pPr>
            <w:r w:rsidRPr="001B18FB">
              <w:rPr>
                <w:rFonts w:ascii="Times New Roman" w:hAnsi="Times New Roman" w:cs="Times New Roman"/>
                <w:sz w:val="24"/>
                <w:szCs w:val="24"/>
              </w:rPr>
              <w:t>162</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з високим ступенем ризику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163</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із середнім ступенем ризику не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164</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з високим ступенем ризику 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lastRenderedPageBreak/>
              <w:t>165</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із середнім ступенем ризику</w:t>
            </w:r>
            <w:r w:rsidRPr="001B18FB">
              <w:rPr>
                <w:sz w:val="24"/>
                <w:szCs w:val="24"/>
              </w:rPr>
              <w:t xml:space="preserve"> </w:t>
            </w:r>
            <w:r w:rsidRPr="001B18FB">
              <w:rPr>
                <w:rFonts w:ascii="Times New Roman" w:hAnsi="Times New Roman" w:cs="Times New Roman"/>
                <w:sz w:val="24"/>
                <w:szCs w:val="24"/>
              </w:rPr>
              <w:t>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166</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Планові заходи державного нагляду (контролю) за додержанням суб’єктами господарювання законодавства у сфері техногенної та пожежної безпеки з високим ступенем ризику з незначним ступенем ризику</w:t>
            </w:r>
            <w:r w:rsidRPr="001B18FB">
              <w:rPr>
                <w:sz w:val="24"/>
                <w:szCs w:val="24"/>
              </w:rPr>
              <w:t xml:space="preserve"> </w:t>
            </w:r>
            <w:r w:rsidRPr="001B18FB">
              <w:rPr>
                <w:rFonts w:ascii="Times New Roman" w:hAnsi="Times New Roman" w:cs="Times New Roman"/>
                <w:sz w:val="24"/>
                <w:szCs w:val="24"/>
              </w:rPr>
              <w:t>здійснюються з такою періодичністю</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167</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До суб’єктів господарювання з високим ступенем ризику не відносяться суб’єкти:</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168</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Відповідальність за порушення законодавства про охорону навколишнього природного середовища несуть особи, винні у:</w:t>
            </w:r>
          </w:p>
        </w:tc>
      </w:tr>
      <w:tr w:rsidR="00C4764C" w:rsidRPr="001B18FB" w:rsidTr="00C4764C">
        <w:tc>
          <w:tcPr>
            <w:tcW w:w="704" w:type="dxa"/>
          </w:tcPr>
          <w:p w:rsidR="00C4764C" w:rsidRPr="001B18FB" w:rsidRDefault="00C4764C" w:rsidP="0055504D">
            <w:pPr>
              <w:rPr>
                <w:rFonts w:ascii="Times New Roman" w:hAnsi="Times New Roman" w:cs="Times New Roman"/>
                <w:sz w:val="24"/>
                <w:szCs w:val="24"/>
              </w:rPr>
            </w:pPr>
            <w:r w:rsidRPr="001B18FB">
              <w:rPr>
                <w:rFonts w:ascii="Times New Roman" w:hAnsi="Times New Roman" w:cs="Times New Roman"/>
                <w:sz w:val="24"/>
                <w:szCs w:val="24"/>
              </w:rPr>
              <w:t>169</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Різновид юридичної відповідальності, яка застосовується до винних осіб за протиправні дії, які у процесі виконання своїх функціональних обов’язків порушують екологічні норми та вимоги</w:t>
            </w:r>
          </w:p>
        </w:tc>
      </w:tr>
      <w:tr w:rsidR="00C4764C" w:rsidRPr="001B18FB" w:rsidTr="00C4764C">
        <w:tc>
          <w:tcPr>
            <w:tcW w:w="704" w:type="dxa"/>
          </w:tcPr>
          <w:p w:rsidR="00C4764C" w:rsidRPr="001B18FB" w:rsidRDefault="00C4764C" w:rsidP="00B23E29">
            <w:pPr>
              <w:rPr>
                <w:rFonts w:ascii="Times New Roman" w:hAnsi="Times New Roman" w:cs="Times New Roman"/>
                <w:sz w:val="24"/>
                <w:szCs w:val="24"/>
              </w:rPr>
            </w:pPr>
            <w:r w:rsidRPr="001B18FB">
              <w:rPr>
                <w:rFonts w:ascii="Times New Roman" w:hAnsi="Times New Roman" w:cs="Times New Roman"/>
                <w:sz w:val="24"/>
                <w:szCs w:val="24"/>
              </w:rPr>
              <w:t>170</w:t>
            </w:r>
          </w:p>
        </w:tc>
        <w:tc>
          <w:tcPr>
            <w:tcW w:w="9072" w:type="dxa"/>
          </w:tcPr>
          <w:p w:rsidR="00C4764C" w:rsidRPr="001B18FB" w:rsidRDefault="00C4764C" w:rsidP="00F3276A">
            <w:pPr>
              <w:jc w:val="both"/>
              <w:rPr>
                <w:rFonts w:ascii="Times New Roman" w:hAnsi="Times New Roman" w:cs="Times New Roman"/>
                <w:sz w:val="24"/>
                <w:szCs w:val="24"/>
              </w:rPr>
            </w:pPr>
            <w:r w:rsidRPr="001B18FB">
              <w:rPr>
                <w:rFonts w:ascii="Times New Roman" w:hAnsi="Times New Roman" w:cs="Times New Roman"/>
                <w:sz w:val="24"/>
                <w:szCs w:val="24"/>
              </w:rPr>
              <w:t>Відповідальність за порушення екологічного законодавства передбачає, що шкода, заподіяна внаслідок порушення законодавства про охорону навколишнього природного середовища, підлягає компенсації в повному обсязі</w:t>
            </w:r>
          </w:p>
        </w:tc>
      </w:tr>
    </w:tbl>
    <w:p w:rsidR="000B0847" w:rsidRDefault="000B0847">
      <w:pPr>
        <w:rPr>
          <w:rFonts w:ascii="Times New Roman" w:hAnsi="Times New Roman" w:cs="Times New Roman"/>
          <w:sz w:val="28"/>
        </w:rPr>
      </w:pPr>
    </w:p>
    <w:p w:rsidR="001E2D81" w:rsidRDefault="001E2D81">
      <w:pPr>
        <w:rPr>
          <w:rFonts w:ascii="Times New Roman" w:hAnsi="Times New Roman" w:cs="Times New Roman"/>
          <w:sz w:val="28"/>
        </w:rPr>
      </w:pPr>
    </w:p>
    <w:p w:rsidR="001E2D81" w:rsidRPr="003646D1" w:rsidRDefault="001E2D81">
      <w:pPr>
        <w:rPr>
          <w:rFonts w:ascii="Times New Roman" w:hAnsi="Times New Roman" w:cs="Times New Roman"/>
          <w:sz w:val="28"/>
        </w:rPr>
      </w:pPr>
    </w:p>
    <w:sectPr w:rsidR="001E2D81" w:rsidRPr="003646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48"/>
    <w:rsid w:val="000B0847"/>
    <w:rsid w:val="001109DB"/>
    <w:rsid w:val="00132A43"/>
    <w:rsid w:val="0013797D"/>
    <w:rsid w:val="001A0747"/>
    <w:rsid w:val="001B18FB"/>
    <w:rsid w:val="001B4090"/>
    <w:rsid w:val="001E2D81"/>
    <w:rsid w:val="00223A7C"/>
    <w:rsid w:val="00231718"/>
    <w:rsid w:val="0024647D"/>
    <w:rsid w:val="0025156E"/>
    <w:rsid w:val="002B3AD9"/>
    <w:rsid w:val="00302BC9"/>
    <w:rsid w:val="003646D1"/>
    <w:rsid w:val="00373C9A"/>
    <w:rsid w:val="003C6E54"/>
    <w:rsid w:val="003F0FCE"/>
    <w:rsid w:val="0043729F"/>
    <w:rsid w:val="00442D5A"/>
    <w:rsid w:val="0045230B"/>
    <w:rsid w:val="00491684"/>
    <w:rsid w:val="004E61C9"/>
    <w:rsid w:val="00553E18"/>
    <w:rsid w:val="0055504D"/>
    <w:rsid w:val="005949B0"/>
    <w:rsid w:val="005F1315"/>
    <w:rsid w:val="00670400"/>
    <w:rsid w:val="006E61F2"/>
    <w:rsid w:val="00725A65"/>
    <w:rsid w:val="00734E13"/>
    <w:rsid w:val="00754691"/>
    <w:rsid w:val="00761EE9"/>
    <w:rsid w:val="007707BA"/>
    <w:rsid w:val="0077799A"/>
    <w:rsid w:val="007A046D"/>
    <w:rsid w:val="007C0CA7"/>
    <w:rsid w:val="00801C66"/>
    <w:rsid w:val="0087189D"/>
    <w:rsid w:val="00891F50"/>
    <w:rsid w:val="00892F8D"/>
    <w:rsid w:val="009338EA"/>
    <w:rsid w:val="009455A8"/>
    <w:rsid w:val="00997F76"/>
    <w:rsid w:val="009F61F8"/>
    <w:rsid w:val="00A00126"/>
    <w:rsid w:val="00A15798"/>
    <w:rsid w:val="00A326F1"/>
    <w:rsid w:val="00A73BF8"/>
    <w:rsid w:val="00A8189C"/>
    <w:rsid w:val="00AF3D35"/>
    <w:rsid w:val="00B13040"/>
    <w:rsid w:val="00B23E29"/>
    <w:rsid w:val="00B656BF"/>
    <w:rsid w:val="00B67AEE"/>
    <w:rsid w:val="00B75249"/>
    <w:rsid w:val="00C07585"/>
    <w:rsid w:val="00C15202"/>
    <w:rsid w:val="00C4764C"/>
    <w:rsid w:val="00CF3214"/>
    <w:rsid w:val="00D40F5D"/>
    <w:rsid w:val="00D72F83"/>
    <w:rsid w:val="00DA52B0"/>
    <w:rsid w:val="00DD0EA4"/>
    <w:rsid w:val="00E43F5D"/>
    <w:rsid w:val="00E85796"/>
    <w:rsid w:val="00EC77FE"/>
    <w:rsid w:val="00F3276A"/>
    <w:rsid w:val="00F3693A"/>
    <w:rsid w:val="00F441F4"/>
    <w:rsid w:val="00F85A48"/>
    <w:rsid w:val="00FB0685"/>
    <w:rsid w:val="00FB4EF0"/>
    <w:rsid w:val="00FC7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65A2"/>
  <w15:chartTrackingRefBased/>
  <w15:docId w15:val="{78A5B38F-1543-47EE-B873-6B593A7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9</Pages>
  <Words>14436</Words>
  <Characters>8229</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Мельник Вікторія Вікторівна</cp:lastModifiedBy>
  <cp:revision>42</cp:revision>
  <dcterms:created xsi:type="dcterms:W3CDTF">2021-02-24T13:08:00Z</dcterms:created>
  <dcterms:modified xsi:type="dcterms:W3CDTF">2021-03-12T14:00:00Z</dcterms:modified>
</cp:coreProperties>
</file>