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50B" w:rsidRPr="00103A49" w:rsidRDefault="0016350B" w:rsidP="00163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A49">
        <w:rPr>
          <w:rFonts w:ascii="Times New Roman" w:hAnsi="Times New Roman" w:cs="Times New Roman"/>
          <w:b/>
          <w:sz w:val="28"/>
          <w:szCs w:val="28"/>
        </w:rPr>
        <w:t xml:space="preserve">Перелік 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r w:rsidRPr="00103A49">
        <w:rPr>
          <w:rFonts w:ascii="Times New Roman" w:hAnsi="Times New Roman" w:cs="Times New Roman"/>
          <w:b/>
          <w:sz w:val="28"/>
          <w:szCs w:val="28"/>
        </w:rPr>
        <w:t>питань</w:t>
      </w:r>
    </w:p>
    <w:p w:rsidR="0016350B" w:rsidRDefault="0016350B" w:rsidP="00163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тестові завдання для складання заліку</w:t>
      </w:r>
    </w:p>
    <w:p w:rsidR="0016350B" w:rsidRDefault="0016350B" w:rsidP="00163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навчальної дисципліни «</w:t>
      </w:r>
      <w:r w:rsidR="002D6245" w:rsidRPr="002D6245">
        <w:rPr>
          <w:rFonts w:ascii="Times New Roman" w:hAnsi="Times New Roman" w:cs="Times New Roman"/>
          <w:sz w:val="28"/>
          <w:szCs w:val="28"/>
        </w:rPr>
        <w:t>Технологія видобування корисних копалин (</w:t>
      </w:r>
      <w:proofErr w:type="spellStart"/>
      <w:r w:rsidR="002D6245" w:rsidRPr="002D6245">
        <w:rPr>
          <w:rFonts w:ascii="Times New Roman" w:hAnsi="Times New Roman" w:cs="Times New Roman"/>
          <w:sz w:val="28"/>
          <w:szCs w:val="28"/>
        </w:rPr>
        <w:t>гідромеханізованим</w:t>
      </w:r>
      <w:proofErr w:type="spellEnd"/>
      <w:r w:rsidR="002D6245" w:rsidRPr="002D6245">
        <w:rPr>
          <w:rFonts w:ascii="Times New Roman" w:hAnsi="Times New Roman" w:cs="Times New Roman"/>
          <w:sz w:val="28"/>
          <w:szCs w:val="28"/>
        </w:rPr>
        <w:t xml:space="preserve"> способом</w:t>
      </w:r>
      <w:r w:rsidR="002D6245" w:rsidRPr="002D624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6350B" w:rsidRDefault="0016350B" w:rsidP="00163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спеціальністю 184 «Гірництво», освітньо-професійної програми «Розробка родовищ та видобування корисних копалин» освітнього рівня «магістр»</w:t>
      </w:r>
    </w:p>
    <w:p w:rsidR="00201F48" w:rsidRPr="00E10AF4" w:rsidRDefault="00201F48">
      <w:pPr>
        <w:rPr>
          <w:rFonts w:ascii="Times New Roman" w:hAnsi="Times New Roman" w:cs="Times New Roman"/>
          <w:sz w:val="28"/>
          <w:szCs w:val="28"/>
        </w:rPr>
      </w:pPr>
      <w:r w:rsidRPr="00E10AF4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9810" w:type="dxa"/>
        <w:tblInd w:w="108" w:type="dxa"/>
        <w:tblLook w:val="04A0" w:firstRow="1" w:lastRow="0" w:firstColumn="1" w:lastColumn="0" w:noHBand="0" w:noVBand="1"/>
      </w:tblPr>
      <w:tblGrid>
        <w:gridCol w:w="674"/>
        <w:gridCol w:w="9136"/>
      </w:tblGrid>
      <w:tr w:rsidR="002D6245" w:rsidRPr="002D6245" w:rsidTr="002D6245">
        <w:tc>
          <w:tcPr>
            <w:tcW w:w="674" w:type="dxa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9136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/>
                <w:bCs/>
                <w:sz w:val="28"/>
                <w:szCs w:val="28"/>
              </w:rPr>
              <w:t>Особливостями гідравлічних розробок 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D6245">
              <w:rPr>
                <w:rFonts w:ascii="Times New Roman" w:hAnsi="Times New Roman"/>
                <w:bCs/>
                <w:sz w:val="28"/>
                <w:szCs w:val="28"/>
              </w:rPr>
              <w:t>На рисунку зображено: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01C21D18" wp14:editId="0EE2D02D">
                  <wp:extent cx="1955155" cy="1883391"/>
                  <wp:effectExtent l="0" t="0" r="762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99" cy="190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D6245">
              <w:rPr>
                <w:rFonts w:ascii="Times New Roman" w:hAnsi="Times New Roman"/>
                <w:bCs/>
                <w:sz w:val="28"/>
                <w:szCs w:val="28"/>
              </w:rPr>
              <w:t>На рисунку зображено: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2E591981" wp14:editId="2B343B76">
                  <wp:extent cx="1487805" cy="14605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D6245">
              <w:rPr>
                <w:rFonts w:ascii="Times New Roman" w:hAnsi="Times New Roman"/>
                <w:bCs/>
                <w:sz w:val="28"/>
                <w:szCs w:val="28"/>
              </w:rPr>
              <w:t>На рисунку зображено:</w:t>
            </w:r>
          </w:p>
          <w:p w:rsidR="002D6245" w:rsidRPr="002D6245" w:rsidRDefault="002D6245" w:rsidP="002D6245">
            <w:pPr>
              <w:shd w:val="clear" w:color="auto" w:fill="FFFFFF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uk-UA"/>
              </w:rPr>
            </w:pPr>
            <w:r w:rsidRPr="002D6245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8"/>
                <w:szCs w:val="48"/>
                <w:lang w:eastAsia="uk-UA"/>
              </w:rPr>
              <w:drawing>
                <wp:inline distT="0" distB="0" distL="0" distR="0" wp14:anchorId="0DD9F04B" wp14:editId="7CE4193A">
                  <wp:extent cx="1214651" cy="2518918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002" cy="254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D6245">
              <w:rPr>
                <w:rFonts w:ascii="Times New Roman" w:hAnsi="Times New Roman"/>
                <w:bCs/>
                <w:sz w:val="28"/>
                <w:szCs w:val="28"/>
              </w:rPr>
              <w:t>На рисунку зображено:</w:t>
            </w:r>
          </w:p>
          <w:p w:rsidR="002D6245" w:rsidRPr="002D6245" w:rsidRDefault="002D6245" w:rsidP="002D6245">
            <w:pPr>
              <w:spacing w:after="200" w:line="276" w:lineRule="auto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lastRenderedPageBreak/>
              <w:drawing>
                <wp:inline distT="0" distB="0" distL="0" distR="0" wp14:anchorId="55A8B7CF" wp14:editId="44A07636">
                  <wp:extent cx="1269441" cy="2696824"/>
                  <wp:effectExtent l="0" t="0" r="698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83" cy="271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D6245">
              <w:rPr>
                <w:rFonts w:ascii="Times New Roman" w:hAnsi="Times New Roman"/>
                <w:bCs/>
                <w:sz w:val="28"/>
                <w:szCs w:val="28"/>
              </w:rPr>
              <w:t>На рисунку зображено:</w:t>
            </w:r>
          </w:p>
          <w:p w:rsidR="002D6245" w:rsidRPr="002D6245" w:rsidRDefault="002D6245" w:rsidP="002D6245">
            <w:pPr>
              <w:autoSpaceDE w:val="0"/>
              <w:autoSpaceDN w:val="0"/>
              <w:spacing w:after="200" w:line="276" w:lineRule="auto"/>
              <w:ind w:firstLine="3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5AE3D2AD" wp14:editId="7116279D">
                  <wp:extent cx="832514" cy="2015953"/>
                  <wp:effectExtent l="0" t="0" r="571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00" cy="20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D6245">
              <w:rPr>
                <w:rFonts w:ascii="Times New Roman" w:hAnsi="Times New Roman"/>
                <w:bCs/>
                <w:sz w:val="28"/>
                <w:szCs w:val="28"/>
              </w:rPr>
              <w:t>На рисунку зображено: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79FA9A08" wp14:editId="1DF4299B">
                  <wp:extent cx="1132764" cy="18707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52" cy="188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Який параметр знаходять за формулою</w:t>
            </w:r>
            <w:r w:rsidRPr="002D624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  <w:r w:rsidRPr="002D6245">
              <w:rPr>
                <w:position w:val="-16"/>
                <w:sz w:val="20"/>
                <w:szCs w:val="20"/>
              </w:rPr>
              <w:object w:dxaOrig="250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70" type="#_x0000_t75" style="width:116.6pt;height:22.05pt" o:ole="">
                  <v:imagedata r:id="rId11" o:title=""/>
                </v:shape>
                <o:OLEObject Type="Embed" ProgID="Equation.3" ShapeID="_x0000_i1270" DrawAspect="Content" ObjectID="_1638273188" r:id="rId12"/>
              </w:object>
            </w:r>
            <w:r w:rsidRPr="002D624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параматр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lmax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у формулі </w: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object w:dxaOrig="2500" w:dyaOrig="480">
                <v:shape id="_x0000_i1271" type="#_x0000_t75" style="width:116.6pt;height:29.55pt" o:ole="">
                  <v:imagedata r:id="rId11" o:title=""/>
                </v:shape>
                <o:OLEObject Type="Embed" ProgID="Equation.3" ShapeID="_x0000_i1271" DrawAspect="Content" ObjectID="_1638273189" r:id="rId13"/>
              </w:objec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рисунку зображено схему розмивання порід 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3AECED29" wp14:editId="2E530D2C">
                  <wp:extent cx="2664726" cy="1576317"/>
                  <wp:effectExtent l="0" t="0" r="254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99" cy="158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рисунку зображено схему розмивання порід 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432D0B34" wp14:editId="3213A8E7">
                  <wp:extent cx="2703383" cy="1357952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13" cy="137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рисунку зображено схему розмивання порід 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374365AF" wp14:editId="2FA0B428">
                  <wp:extent cx="2375788" cy="1487606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84" cy="150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 схему гідромоніторного розмивання породи, попередньо розрихленої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432C243E" wp14:editId="0F7743D4">
                  <wp:extent cx="3316406" cy="107132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047" cy="109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 схему гідромоніторного розмивання породи, попередньо розрихленої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lastRenderedPageBreak/>
              <w:drawing>
                <wp:inline distT="0" distB="0" distL="0" distR="0" wp14:anchorId="6D71E5AB" wp14:editId="4584C02A">
                  <wp:extent cx="3364348" cy="1105469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934" cy="111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параметр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Δh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при визначенні кроку пересування гідромоніторної установки </w:t>
            </w:r>
            <w:r w:rsidRPr="002D6245">
              <w:rPr>
                <w:position w:val="-24"/>
                <w:sz w:val="20"/>
                <w:szCs w:val="20"/>
              </w:rPr>
              <w:object w:dxaOrig="820" w:dyaOrig="620">
                <v:shape id="_x0000_i1272" type="#_x0000_t75" style="width:38.15pt;height:28.5pt" o:ole="">
                  <v:imagedata r:id="rId19" o:title=""/>
                </v:shape>
                <o:OLEObject Type="Embed" ProgID="Equation.3" ShapeID="_x0000_i1272" DrawAspect="Content" ObjectID="_1638273190" r:id="rId20"/>
              </w:objec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параметр </w:t>
            </w:r>
            <w:r w:rsidRPr="002D6245">
              <w:rPr>
                <w:rFonts w:ascii="Times New Roman" w:hAnsi="Times New Roman" w:cs="Times New Roman"/>
                <w:i/>
                <w:sz w:val="28"/>
                <w:szCs w:val="28"/>
              </w:rPr>
              <w:t>i</w: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при визначенні кроку пересування гідромоніторної установки </w:t>
            </w:r>
            <w:r w:rsidRPr="002D6245">
              <w:rPr>
                <w:position w:val="-24"/>
                <w:sz w:val="20"/>
                <w:szCs w:val="20"/>
              </w:rPr>
              <w:object w:dxaOrig="820" w:dyaOrig="620">
                <v:shape id="_x0000_i1273" type="#_x0000_t75" style="width:38.15pt;height:28.5pt" o:ole="">
                  <v:imagedata r:id="rId19" o:title=""/>
                </v:shape>
                <o:OLEObject Type="Embed" ProgID="Equation.3" ShapeID="_x0000_i1273" DrawAspect="Content" ObjectID="_1638273191" r:id="rId21"/>
              </w:objec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параметр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2D624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max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при визначенні мінімального шляху осадження частинок породи </w:t>
            </w:r>
            <w:r w:rsidRPr="002D6245">
              <w:rPr>
                <w:position w:val="-24"/>
              </w:rPr>
              <w:object w:dxaOrig="2160" w:dyaOrig="600">
                <v:shape id="_x0000_i1274" type="#_x0000_t75" style="width:93.5pt;height:25.8pt" o:ole="">
                  <v:imagedata r:id="rId22" o:title=""/>
                </v:shape>
                <o:OLEObject Type="Embed" ProgID="Equation.3" ShapeID="_x0000_i1274" DrawAspect="Content" ObjectID="_1638273192" r:id="rId23"/>
              </w:objec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autoSpaceDE w:val="0"/>
              <w:autoSpaceDN w:val="0"/>
              <w:spacing w:after="200" w:line="276" w:lineRule="auto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Що означає параметр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2D624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min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при визначенні максимального шляху осадження частинок породи </w:t>
            </w:r>
            <w:r w:rsidRPr="002D6245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120" w:dyaOrig="600">
                <v:shape id="_x0000_i1275" type="#_x0000_t75" style="width:91.9pt;height:25.8pt" o:ole="">
                  <v:imagedata r:id="rId24" o:title=""/>
                </v:shape>
                <o:OLEObject Type="Embed" ProgID="Equation.3" ShapeID="_x0000_i1275" DrawAspect="Content" ObjectID="_1638273193" r:id="rId25"/>
              </w:objec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на рисунку?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0CCEC98" wp14:editId="209D34D3">
                  <wp:extent cx="1917510" cy="2286603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05" cy="229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на рисунку?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4A003F92" wp14:editId="0693915E">
                  <wp:extent cx="1805367" cy="1296537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76" cy="130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таке гідравлічна крупність частинок ґрунту?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firstLine="13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Для чого призначені трубопроводи в гідромеханізації відкритих гірничих робіт?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Гідротехнічна споруда, де відбуваються процесу прийому гідросуміші, видалення із неї породи, освітлення та видалення води: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663C8801" wp14:editId="3B3A8BCB">
                  <wp:extent cx="2543808" cy="1498600"/>
                  <wp:effectExtent l="0" t="0" r="952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3" cy="150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5011C722" wp14:editId="55113BC4">
                  <wp:extent cx="2543175" cy="123953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888" cy="124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12EB4EF" wp14:editId="47DFE96C">
                  <wp:extent cx="2587469" cy="13208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748" cy="13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Дана формула </w:t>
            </w:r>
            <w:r w:rsidRPr="002D6245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80" w:dyaOrig="740">
                <v:shape id="_x0000_i1276" type="#_x0000_t75" style="width:65.55pt;height:30.1pt" o:ole="">
                  <v:imagedata r:id="rId31" o:title=""/>
                </v:shape>
                <o:OLEObject Type="Embed" ProgID="Equation.3" ShapeID="_x0000_i1276" DrawAspect="Content" ObjectID="_1638273194" r:id="rId32"/>
              </w:objec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застосовується для визначення: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firstLine="27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 залежності від генетичного типу і умов залягання розсипищ, придатних для освоєння дражним способом, сучасні драги за конструктивними особливостями та призначенням поділяються на: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left="-9" w:firstLine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 залежності від глибини виймання порід нижче рівня води сучасні драги поділяються на: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firstLine="41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 залежності від дебіту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вододжерела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і конкретних умов гідромеханізації відкритих робіт розрізняють такі схеми водозабезпечення: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Існують наступні способи подачі води із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вододжерела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Спільна робота насосів на загальний трубопровід може бути: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left="-9" w:firstLine="2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При схемах водозабезпечення з оборотною водою плавучі насосні станції установлюються переважно на: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firstLine="27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Основною вимогою, яка висувається до всмоктувальних трубопроводів відцентрових насосів з точки зору забезпечення ними надійного і безперебійного підводу води 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firstLine="27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Процес переносу різних, відносно дрібних матеріалів потоками рідини по штучним руслам називається: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означає слово «консистенція»: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Рух рідини по трубам може бути: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Земснаряди працюють в: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ind w:firstLine="274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За способом усмоктування ґрунту розрізняють землесосні снаряди, які обладнані: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tabs>
                <w:tab w:val="left" w:pos="567"/>
              </w:tabs>
              <w:spacing w:after="200" w:line="276" w:lineRule="auto"/>
              <w:ind w:left="-9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За способом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ґрунтозабору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розрізняють землесосні снаряди:</w:t>
            </w:r>
            <w:bookmarkStart w:id="0" w:name="_GoBack"/>
            <w:bookmarkEnd w:id="0"/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  <w:r w:rsidRPr="002D624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740AC1B4" wp14:editId="5BB5FEB0">
                  <wp:extent cx="3389435" cy="1631950"/>
                  <wp:effectExtent l="0" t="0" r="190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727" cy="163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  <w:r w:rsidRPr="002D624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6FF8A025" wp14:editId="30248F19">
                  <wp:extent cx="3046790" cy="838200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233" cy="84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  <w:r w:rsidRPr="002D6245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05927C0A" wp14:editId="5FAD49D2">
                  <wp:extent cx="2641600" cy="189011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79" cy="190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5F5F45A" wp14:editId="17ABEC3A">
                  <wp:extent cx="3155950" cy="2121647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522" cy="213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39922425" wp14:editId="36816653">
                  <wp:extent cx="3027317" cy="20574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150" cy="206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D3F518D" wp14:editId="21284812">
                  <wp:extent cx="3368040" cy="9906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номером 1 на даній схемі позначено: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216196B5" wp14:editId="37DF7220">
                  <wp:extent cx="2989489" cy="107315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173" cy="107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номером 2 на даній схемі позначено:</w:t>
            </w:r>
          </w:p>
          <w:p w:rsidR="002D6245" w:rsidRPr="002D6245" w:rsidRDefault="002D6245" w:rsidP="002D6245">
            <w:pPr>
              <w:spacing w:after="200" w:line="276" w:lineRule="auto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229FD56" wp14:editId="6FE87932">
                  <wp:extent cx="2989489" cy="107315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173" cy="107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номером 3 на даній схемі позначено:</w:t>
            </w:r>
          </w:p>
          <w:p w:rsidR="002D6245" w:rsidRPr="002D6245" w:rsidRDefault="002D6245" w:rsidP="002D6245">
            <w:pPr>
              <w:spacing w:after="200" w:line="276" w:lineRule="auto"/>
              <w:ind w:firstLine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447E72C4" wp14:editId="4205AFEE">
                  <wp:extent cx="2717800" cy="975621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55" cy="98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номером 6 на даній схемі позначено: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6F3B186C" wp14:editId="4924D4B4">
                  <wp:extent cx="2918732" cy="10477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22" cy="105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номером 4 на даній схемі позначено: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2500E5C5" wp14:editId="2E7B6B05">
                  <wp:extent cx="2379389" cy="1308100"/>
                  <wp:effectExtent l="0" t="0" r="1905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63" cy="132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даній схемі зображено: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lastRenderedPageBreak/>
              <w:drawing>
                <wp:inline distT="0" distB="0" distL="0" distR="0" wp14:anchorId="4FC557FC" wp14:editId="60CD4F16">
                  <wp:extent cx="3562350" cy="183759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963" cy="186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даному рисунку зображено схему роботи: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3F5FF874" wp14:editId="5FCB3E79">
                  <wp:extent cx="2918460" cy="167995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046" cy="169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номером 5 на даній схемі позначено: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3289AFA" wp14:editId="17CE1555">
                  <wp:extent cx="2736850" cy="1504619"/>
                  <wp:effectExtent l="0" t="0" r="635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12" cy="151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номером 4 на даній схемі позначено: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58150D4F" wp14:editId="3AAC68B7">
                  <wp:extent cx="2641600" cy="1338103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88" cy="135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зображено: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lastRenderedPageBreak/>
              <w:drawing>
                <wp:inline distT="0" distB="0" distL="0" distR="0" wp14:anchorId="033A063B" wp14:editId="640DBF6D">
                  <wp:extent cx="3493866" cy="136525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696" cy="136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означає співвідношення 1:3 на рисунку?</w:t>
            </w:r>
          </w:p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7E75A910" wp14:editId="02E3D44F">
                  <wp:extent cx="3493866" cy="136525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696" cy="136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Інженерні споруди, за допомогою яких здійснюються водогосподарські заходи по використанню водних ресурсів і вирішуються спеціальні завдання різних галузей народного господарства -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 рисунку зображено контрфорсну греблю. Під якою позицією знаходиться контрфорс?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eastAsia="Arial Unicode MS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79549A29" wp14:editId="3DAB1155">
                  <wp:extent cx="1962150" cy="153344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69" t="9383" r="30769" b="10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94" cy="154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Який із зазначених елементів не входить до будови гідромонітора?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Який із зазначених елементів не входить до будови гідромонітора?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Від чого залежить дальність польоту струменю води при розробці порід гідромоніторами: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Який із зазначених елементів не входить до будови гідромонітора?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Який із зазначених елементів не входить до будови гідромонітора?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Від чого залежить дальність польоту струменю води при розробці порід гідромоніторами: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Виробка для початкового розміщення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гідромеханізованого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обладнання: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Транспортування гідросуміші за рахунок різниці відміток початкової та кінцевої висотної точки: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Плавуча землесосна установка, яка призначена для виймання порід з-під води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Площадка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уступа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, на якому розміщені гідромонітори, засоби попереднього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розрихлення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, землесоси тощо: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Водоводи, які прокладені безпосередньо від водоймища до кар’єру: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Спеціалізована плавуча платформа, яка має обладнання для виймання, збагачення породи та видалення хвостів у відвали: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Частина заходки, яка розроблюється одним земснарядом без перемикання плавучого пульповоду: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Водоводи, які подають воду від магістрального до окремих ділянок кар’єру: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Засіб для забезпечення транспортування абразивної пульпи з великими твердими включеннями: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Поверхня робочого уступу, яка є безпосереднім об’єктом дії засобів руйнування земснаряда: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Водоводи, які розміщені на окремих ділянках кар’єру (в робочій зоні):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Насос який перекачує твердий матеріал або пульпу струменем води: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Незамерзаюча частина робочого водоймища: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Пульповоди, які знаходяться в контурах кар’єра: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Засіб, який призначений для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гідротранспортування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твердого матеріалу з водоймища за допомогою стиснутого повітря: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Товщина шару породи, який вкладається з одного робочого положення пульповоду: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Пульповоди, які подають пульпу від кар’єра до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Періодичне переміщення земснаряда в нове робоче положення: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Пульповоди, які переміщують пульпу в напірному потоці на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гідровідвалах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без її випуску у відвал: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Для відводу відпрацьованої води у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гідровідвалах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використовують: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Потужність шару відвалу, що намивається за одиницю часу: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Пульповоди, які подають пульпу від кар’єра до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Механічна суміш ґрунту з водою, що транспортується із кар’єру в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Система труб, по якій транспортується пульпа: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Система труб, по якій транспортується вода: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Пульповоди з яких пульпа безпосередньо складується на поверхню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Гідромонітор – це пристрій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Частина уступу, яка розробляється без переміщення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гідротранспортного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обладнання: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Гідровідвали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розміщують: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Витрати води для розмиву і транспортування 1 м</w:t>
            </w:r>
            <w:r w:rsidRPr="002D624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породи називають: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Частина блоку, який розробляється одним гідромонітором: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За призначенням гідромонітори використовуються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Швидкість падіння часток у воді: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Планове здійснення комплексу робіт із розмиву,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гідротранспортування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та укладання порід у відвали називають: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За технологічними ознаками гідромонітори поділяються на: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Відсотковий склад частинок за крупністю: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Системи розробок класифікують на: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призначений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Кількість води, яку віддає порода від початку водовіддачі: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Необхідна ємність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визначається: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Інтенсивність руйнування породи при її русі в трубопроводі: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Траса водоводів і пульповодів вибирається з умов: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Висота низького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складає: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Висота середнього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складає: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Висота високого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складає: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Особливістю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, розміщеного у відпрацьованому просторі кар’єру 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Комплексна механізація гірничих робіт, при якій усі або частина робочих процесів виконуються за рахунок потоку енергії води: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Гідротехнічна споруда, яка призначена для гідравлічного складування порід та відводу освітленої води: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Смуга уступу або розвалу, яка відпрацьовується за один прохід виймальної техніки: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Сукупність машин і механізмів для перекачування гідросуміші: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Машина для виймання і транспортування гірських порід із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дна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водоймища: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Ядро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–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Продуктивність ґрунтового насосу залежить від: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ГМН-250 -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ЦН400-105 -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Всмоктувальні трубопроводи призначені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Напірні трубопроводи призначені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Пульповоди, які подають пульпу від кар’єра до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За призначенням пульповоди розділяються на: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Гідравлічні втрати, які необхідні для розрахунку водоводів, поділяють на такі види: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Який вид гідротранспорту застосовується при розробці родовищ плавучими земснарядами?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Самотічний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гідротранспорт застосовується у випадку, коли: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Основним недоліком безнапірного гідротранспорту 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При розрахунках безнапірного гідротранспорту визначають: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 яких одиницях вимірюється гідравлічна крупність?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 яких одиницях вимірюється пористість порід?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 яких одиницях вимірюються питомі витрати води для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самотічного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гідротнанспорту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Трубопроводи в гідромеханізації гірничих робіт слугують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Різке збільшення тиску в трубопроводах при раптовій зупинці рідини, яка рухається в них –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Пульповоди, які подають пульпу від кар’єра до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Які породи можуть бути використані при облаштуванні основи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 залежності від висоти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, породи можуть укладатися: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Пульповоди, які подають пульпу від кар’єра до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При зворотному водозабезпеченні для нормальної роботи відцентрових насосів уміст зважених частинок не повинен перевищувати: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Озеро-відстійник призначене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Основною вимогою до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гідровідвалів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Об’єм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в більшій мірі залежить від: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При виборі типу землесосного снаряду окрім продуктивності необхідно враховувати: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 правило, глибина розробки земснарядами не перевищує: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Розкривні гірничі виробки забезпечують: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Вибір і обґрунтування системи розробки родовищ горизонтального та пологого залягання порід здійснюється згідно класифікації: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За допомогою яких рухів виконується виймання породи при застосуванні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багаточерпакової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драги: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При якому способі розробки утворюється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недомив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порід?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При визначенні кількості діючих гідромоніторів треба прагнути, щоб їх кількість була: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Яка послідовність операцій при гідромоніторному розмиванні?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Видалення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недомиву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порід раціонально здійснювати: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Гідравлічний розрахунок водопровідної мережі здійснюється з метою: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Які особливості визначають конструктивні відмінності ґрунтових насосів від водних: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За своїм призначенням земснаряди, які працюють на гірничих роботах, поділяються на: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До якого способу розробки відносяться такі параметри розробки, як розміри уступу у його надводній і підводній частинах, розміри блока, тривалість робіт без перекладки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пульпопровода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Об’єм черпака малолітражної драги складає: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дразі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у якості приводного механізму може бути застосовано: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результаті чого можуть виникати аварії на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гідровідвалах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Об’єм черпака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багаточерпакової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драги середнього літражу складає: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гідровідвалах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для відведення відпрацьованої води застосовують: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Об’єм черпака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крупнолітражної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багаточерпакової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драги складає: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шламосховищах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намивається і складується: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Питомі витрати води на гідравлічні розробки в зимовий час треба: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Ефективність розмивання породи в зимовий час значною мірою залежить від: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на рисунку?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66C4ACCA" wp14:editId="2225A317">
                  <wp:extent cx="3532318" cy="1066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0" cy="10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яким номером позначено дамбу початкового обвалування?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8EE7DCD" wp14:editId="105CF027">
                  <wp:extent cx="3532318" cy="1066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0" cy="10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яким номером позначено упорні призми?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5875B101" wp14:editId="36144CFA">
                  <wp:extent cx="3532318" cy="10668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0" cy="10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яким номером позначено проміжні призми?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43D9F5F3" wp14:editId="1BBD5108">
                  <wp:extent cx="3532318" cy="10668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0" cy="10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Під яким номером позначено ядро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48DA6D02" wp14:editId="7E94BC0A">
                  <wp:extent cx="3532318" cy="10668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0" cy="10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яким номером позначено відстійник?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lastRenderedPageBreak/>
              <w:drawing>
                <wp:inline distT="0" distB="0" distL="0" distR="0" wp14:anchorId="2AFED56D" wp14:editId="0D4E91F0">
                  <wp:extent cx="3532318" cy="10668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0" cy="10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Під яким номером позначено пляж?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noProof/>
                <w:lang w:eastAsia="uk-UA"/>
              </w:rPr>
              <w:drawing>
                <wp:inline distT="0" distB="0" distL="0" distR="0" wp14:anchorId="1A4167C7" wp14:editId="5A36EAA0">
                  <wp:extent cx="3532318" cy="10668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10" cy="10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Під номером 1 на схемі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позначено: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D3D1D9" wp14:editId="64261D83">
                  <wp:extent cx="3529965" cy="10668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Під номером 2 на схемі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позначено: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4726D3" wp14:editId="35A92646">
                  <wp:extent cx="3529965" cy="10668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Під номером 3 на схемі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позначено: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2E190E" wp14:editId="44840ED2">
                  <wp:extent cx="3529965" cy="10668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Під номером 4 на схемі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позначено: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3954E0" wp14:editId="4779CCE6">
                  <wp:extent cx="3529965" cy="10668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Під номером 5 на схемі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позначено: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B65DE3" wp14:editId="3D3C8822">
                  <wp:extent cx="3529965" cy="1066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Під номером 6 на схемі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гідровідвалу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позначено: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3F62CE" wp14:editId="58BE6C99">
                  <wp:extent cx="3529965" cy="10668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Марка гідромонітора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Марка відцентрового насоса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Для захисту пульпопроводів від гідравлічних ударів застосовують: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Чи можна розробляти розсипища, які знаходяться у зоні вічної мерзлоти, дражним способом?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Який із способів розкриття не застосовується при дражній розробці родовищ?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Оптимальна ширина заходки драги визначається із умов: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При цьому способі розкриття проводять проходку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котлована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із подальшим його розширенням і поглибленням драги до плотика: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Шандорний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колодязь призначений для: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При цьому способі розкриття першочерговий фронт робіт драги створюється спорудженням греблі, яка перегороджує долину річки: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Від чого в більшій мірі залежить максимальна відстань гідромоніторної установки до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вибою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Карта намиву - це: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Як називають спеціальні конструкції, на які укладають пульповоди: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Витрати води на розмивання породи та необхідні для цього напори визначаються: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Розмивання, при якому напрямок потоку руху пульпи у </w:t>
            </w:r>
            <w:proofErr w:type="spellStart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вибої</w:t>
            </w:r>
            <w:proofErr w:type="spellEnd"/>
            <w:r w:rsidRPr="002D6245">
              <w:rPr>
                <w:rFonts w:ascii="Times New Roman" w:hAnsi="Times New Roman" w:cs="Times New Roman"/>
                <w:sz w:val="28"/>
                <w:szCs w:val="28"/>
              </w:rPr>
              <w:t xml:space="preserve"> співпадає із напрямком руху струменю гідромонітора називається:</w:t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1: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591BC6" wp14:editId="218B4DE1">
                  <wp:extent cx="3715988" cy="2203450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548" cy="2215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6 на рисунку?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376722" wp14:editId="007C7E9D">
                  <wp:extent cx="2355850" cy="2822958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802" cy="283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5: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11F8DE" wp14:editId="23854075">
                  <wp:extent cx="3630317" cy="2152650"/>
                  <wp:effectExtent l="0" t="0" r="825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123" cy="215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10 на рисунку?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068558" wp14:editId="77366DB0">
                  <wp:extent cx="2070100" cy="2480551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34" cy="2494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4: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1AE847" wp14:editId="694DE8FF">
                  <wp:extent cx="2998492" cy="1778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86" cy="178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5 на рисунку?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CF06C8E" wp14:editId="5E816F55">
                  <wp:extent cx="1854200" cy="2200317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19" cy="2208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198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4?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98F183" wp14:editId="5475FC11">
                  <wp:extent cx="3446659" cy="1739900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600" cy="1746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7 на рисунку?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53EAF9" wp14:editId="276A2149">
                  <wp:extent cx="2190750" cy="26142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52" cy="262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45" w:rsidRPr="002D6245" w:rsidTr="002D6245">
        <w:tc>
          <w:tcPr>
            <w:tcW w:w="674" w:type="dxa"/>
            <w:vAlign w:val="center"/>
          </w:tcPr>
          <w:p w:rsidR="002D6245" w:rsidRPr="002D6245" w:rsidRDefault="002D6245" w:rsidP="002D624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136" w:type="dxa"/>
          </w:tcPr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sz w:val="28"/>
                <w:szCs w:val="28"/>
              </w:rPr>
              <w:t>Що зображено під номером 2?</w:t>
            </w:r>
          </w:p>
          <w:p w:rsidR="002D6245" w:rsidRPr="002D6245" w:rsidRDefault="002D6245" w:rsidP="002D62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24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D8BA44B" wp14:editId="612AA29E">
                  <wp:extent cx="3270552" cy="1651000"/>
                  <wp:effectExtent l="0" t="0" r="635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895" cy="165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B03" w:rsidRPr="00E10AF4" w:rsidRDefault="005D0B03">
      <w:pPr>
        <w:rPr>
          <w:rFonts w:ascii="Times New Roman" w:hAnsi="Times New Roman" w:cs="Times New Roman"/>
          <w:sz w:val="28"/>
          <w:szCs w:val="28"/>
        </w:rPr>
      </w:pPr>
    </w:p>
    <w:sectPr w:rsidR="005D0B03" w:rsidRPr="00E10AF4" w:rsidSect="003260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A37D4"/>
    <w:multiLevelType w:val="hybridMultilevel"/>
    <w:tmpl w:val="203260B0"/>
    <w:lvl w:ilvl="0" w:tplc="B25AA7AC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3747E"/>
    <w:multiLevelType w:val="hybridMultilevel"/>
    <w:tmpl w:val="95A8F6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45F"/>
    <w:rsid w:val="00004AE0"/>
    <w:rsid w:val="0001128C"/>
    <w:rsid w:val="00026FC2"/>
    <w:rsid w:val="00037460"/>
    <w:rsid w:val="000444C4"/>
    <w:rsid w:val="00060AA2"/>
    <w:rsid w:val="00061757"/>
    <w:rsid w:val="000632D9"/>
    <w:rsid w:val="000A1F25"/>
    <w:rsid w:val="000B3D25"/>
    <w:rsid w:val="000B50DB"/>
    <w:rsid w:val="000C0E8D"/>
    <w:rsid w:val="000C4C5A"/>
    <w:rsid w:val="000D22E6"/>
    <w:rsid w:val="000F680E"/>
    <w:rsid w:val="00103105"/>
    <w:rsid w:val="001444D0"/>
    <w:rsid w:val="00152AE3"/>
    <w:rsid w:val="0016350B"/>
    <w:rsid w:val="0017089F"/>
    <w:rsid w:val="0018674C"/>
    <w:rsid w:val="001957A1"/>
    <w:rsid w:val="001A66AE"/>
    <w:rsid w:val="001A7F3E"/>
    <w:rsid w:val="001C7ACB"/>
    <w:rsid w:val="001D365C"/>
    <w:rsid w:val="001E04C9"/>
    <w:rsid w:val="001F59FD"/>
    <w:rsid w:val="00201F48"/>
    <w:rsid w:val="00234D2B"/>
    <w:rsid w:val="002668BA"/>
    <w:rsid w:val="00267AC3"/>
    <w:rsid w:val="00276047"/>
    <w:rsid w:val="002C3CBB"/>
    <w:rsid w:val="002C3CD7"/>
    <w:rsid w:val="002D6245"/>
    <w:rsid w:val="0032604C"/>
    <w:rsid w:val="00327B92"/>
    <w:rsid w:val="003300F6"/>
    <w:rsid w:val="003629E0"/>
    <w:rsid w:val="00365991"/>
    <w:rsid w:val="00371BCB"/>
    <w:rsid w:val="003728BF"/>
    <w:rsid w:val="00375447"/>
    <w:rsid w:val="003827C6"/>
    <w:rsid w:val="00397265"/>
    <w:rsid w:val="003B573D"/>
    <w:rsid w:val="003B790D"/>
    <w:rsid w:val="003F31EE"/>
    <w:rsid w:val="00436942"/>
    <w:rsid w:val="00437439"/>
    <w:rsid w:val="004A4ACA"/>
    <w:rsid w:val="004A5C5E"/>
    <w:rsid w:val="004A663C"/>
    <w:rsid w:val="004C6041"/>
    <w:rsid w:val="004D22A6"/>
    <w:rsid w:val="004D68E3"/>
    <w:rsid w:val="004E0B3C"/>
    <w:rsid w:val="004E1C65"/>
    <w:rsid w:val="004F533B"/>
    <w:rsid w:val="005009F9"/>
    <w:rsid w:val="005106A6"/>
    <w:rsid w:val="00525405"/>
    <w:rsid w:val="00535157"/>
    <w:rsid w:val="005718BA"/>
    <w:rsid w:val="00575750"/>
    <w:rsid w:val="00576D5A"/>
    <w:rsid w:val="00586CC4"/>
    <w:rsid w:val="0058762F"/>
    <w:rsid w:val="00593D1C"/>
    <w:rsid w:val="005A4E02"/>
    <w:rsid w:val="005A5B05"/>
    <w:rsid w:val="005B6D8E"/>
    <w:rsid w:val="005D0B03"/>
    <w:rsid w:val="005D4393"/>
    <w:rsid w:val="005D6854"/>
    <w:rsid w:val="005E2CE3"/>
    <w:rsid w:val="005E6142"/>
    <w:rsid w:val="005E6CDD"/>
    <w:rsid w:val="005F494D"/>
    <w:rsid w:val="00603571"/>
    <w:rsid w:val="00604F0A"/>
    <w:rsid w:val="00626CD2"/>
    <w:rsid w:val="0064451C"/>
    <w:rsid w:val="006665FB"/>
    <w:rsid w:val="0069240F"/>
    <w:rsid w:val="00693EB8"/>
    <w:rsid w:val="006D0D1A"/>
    <w:rsid w:val="006F1E41"/>
    <w:rsid w:val="006F2B9A"/>
    <w:rsid w:val="00710D22"/>
    <w:rsid w:val="00711CC6"/>
    <w:rsid w:val="00747AFE"/>
    <w:rsid w:val="00775547"/>
    <w:rsid w:val="007C21CA"/>
    <w:rsid w:val="007C456D"/>
    <w:rsid w:val="007D59B2"/>
    <w:rsid w:val="007E2FC1"/>
    <w:rsid w:val="0080189D"/>
    <w:rsid w:val="008218D4"/>
    <w:rsid w:val="0082284C"/>
    <w:rsid w:val="00844415"/>
    <w:rsid w:val="00850D4C"/>
    <w:rsid w:val="0085378E"/>
    <w:rsid w:val="008727A1"/>
    <w:rsid w:val="0088033C"/>
    <w:rsid w:val="008A6572"/>
    <w:rsid w:val="008A7A4D"/>
    <w:rsid w:val="008C756E"/>
    <w:rsid w:val="008E227D"/>
    <w:rsid w:val="008E7742"/>
    <w:rsid w:val="009219BA"/>
    <w:rsid w:val="00945A64"/>
    <w:rsid w:val="009475DF"/>
    <w:rsid w:val="00993839"/>
    <w:rsid w:val="009A781E"/>
    <w:rsid w:val="009B6236"/>
    <w:rsid w:val="009B6CEB"/>
    <w:rsid w:val="009C00E8"/>
    <w:rsid w:val="009C1549"/>
    <w:rsid w:val="009E23BA"/>
    <w:rsid w:val="00A10EE1"/>
    <w:rsid w:val="00A20378"/>
    <w:rsid w:val="00A21EB6"/>
    <w:rsid w:val="00A8091E"/>
    <w:rsid w:val="00A82C53"/>
    <w:rsid w:val="00A90DA0"/>
    <w:rsid w:val="00A95E9C"/>
    <w:rsid w:val="00A96241"/>
    <w:rsid w:val="00A96A39"/>
    <w:rsid w:val="00AA64AE"/>
    <w:rsid w:val="00AB256E"/>
    <w:rsid w:val="00AB43E3"/>
    <w:rsid w:val="00AC7121"/>
    <w:rsid w:val="00B228AE"/>
    <w:rsid w:val="00B36A56"/>
    <w:rsid w:val="00B63C5A"/>
    <w:rsid w:val="00B84D31"/>
    <w:rsid w:val="00BE2C3B"/>
    <w:rsid w:val="00BF1574"/>
    <w:rsid w:val="00C167CD"/>
    <w:rsid w:val="00C27CA4"/>
    <w:rsid w:val="00C37080"/>
    <w:rsid w:val="00C500C9"/>
    <w:rsid w:val="00C52AB3"/>
    <w:rsid w:val="00C62151"/>
    <w:rsid w:val="00C65169"/>
    <w:rsid w:val="00C65A2E"/>
    <w:rsid w:val="00CD79E1"/>
    <w:rsid w:val="00CE4C5B"/>
    <w:rsid w:val="00D2546F"/>
    <w:rsid w:val="00D3417E"/>
    <w:rsid w:val="00D50FBA"/>
    <w:rsid w:val="00D6430E"/>
    <w:rsid w:val="00D74ABA"/>
    <w:rsid w:val="00D75A99"/>
    <w:rsid w:val="00D80C12"/>
    <w:rsid w:val="00D85D5E"/>
    <w:rsid w:val="00D927C4"/>
    <w:rsid w:val="00DA3710"/>
    <w:rsid w:val="00DA6498"/>
    <w:rsid w:val="00DB3A18"/>
    <w:rsid w:val="00E01367"/>
    <w:rsid w:val="00E0545F"/>
    <w:rsid w:val="00E10AF4"/>
    <w:rsid w:val="00E33FDD"/>
    <w:rsid w:val="00E45B2C"/>
    <w:rsid w:val="00E70497"/>
    <w:rsid w:val="00E81F98"/>
    <w:rsid w:val="00E93001"/>
    <w:rsid w:val="00EC3A61"/>
    <w:rsid w:val="00ED51D8"/>
    <w:rsid w:val="00EE1203"/>
    <w:rsid w:val="00F05144"/>
    <w:rsid w:val="00F05887"/>
    <w:rsid w:val="00F14669"/>
    <w:rsid w:val="00F25994"/>
    <w:rsid w:val="00F32D17"/>
    <w:rsid w:val="00F35CE7"/>
    <w:rsid w:val="00F61829"/>
    <w:rsid w:val="00F7504E"/>
    <w:rsid w:val="00F90775"/>
    <w:rsid w:val="00FD0550"/>
    <w:rsid w:val="00FD5A26"/>
    <w:rsid w:val="00FF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8A306-D99F-48D4-83BB-19CFD1755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2D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21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6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A2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C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F32D17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7">
    <w:name w:val="List Paragraph"/>
    <w:basedOn w:val="a"/>
    <w:uiPriority w:val="34"/>
    <w:qFormat/>
    <w:rsid w:val="00B84D3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C62151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oleObject" Target="embeddings/oleObject4.bin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7.wmf"/><Relationship Id="rId24" Type="http://schemas.openxmlformats.org/officeDocument/2006/relationships/image" Target="media/image15.wmf"/><Relationship Id="rId32" Type="http://schemas.openxmlformats.org/officeDocument/2006/relationships/oleObject" Target="embeddings/oleObject7.bin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3.wmf"/><Relationship Id="rId31" Type="http://schemas.openxmlformats.org/officeDocument/2006/relationships/image" Target="media/image21.wmf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w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oleObject" Target="embeddings/oleObject6.bin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0" Type="http://schemas.openxmlformats.org/officeDocument/2006/relationships/oleObject" Target="embeddings/oleObject3.bin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oleObject" Target="embeddings/oleObject5.bin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2001</Words>
  <Characters>11409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Толкач О.М</dc:creator>
  <cp:lastModifiedBy>Mouse </cp:lastModifiedBy>
  <cp:revision>3</cp:revision>
  <dcterms:created xsi:type="dcterms:W3CDTF">2019-10-31T08:21:00Z</dcterms:created>
  <dcterms:modified xsi:type="dcterms:W3CDTF">2019-12-19T13:07:00Z</dcterms:modified>
</cp:coreProperties>
</file>