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D0" w:rsidRPr="00201198" w:rsidRDefault="007C04D0" w:rsidP="00AF1FBE">
      <w:pPr>
        <w:spacing w:after="0" w:line="307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1198">
        <w:rPr>
          <w:rFonts w:ascii="Times New Roman" w:hAnsi="Times New Roman" w:cs="Times New Roman"/>
          <w:sz w:val="28"/>
          <w:szCs w:val="28"/>
          <w:lang w:val="uk-UA"/>
        </w:rPr>
        <w:t>Перелік питань</w:t>
      </w:r>
      <w:r w:rsidR="00C5692E">
        <w:rPr>
          <w:rFonts w:ascii="Times New Roman" w:hAnsi="Times New Roman" w:cs="Times New Roman"/>
          <w:sz w:val="28"/>
          <w:szCs w:val="28"/>
          <w:lang w:val="uk-UA"/>
        </w:rPr>
        <w:t xml:space="preserve"> з навчальної дисципліни</w:t>
      </w:r>
    </w:p>
    <w:p w:rsidR="00AF1FBE" w:rsidRDefault="00C5692E" w:rsidP="00AF1FBE">
      <w:pPr>
        <w:spacing w:after="0" w:line="307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«</w:t>
      </w:r>
      <w:r w:rsidR="007C04D0" w:rsidRPr="007C04D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Порядок звернення до Європейського суду з прав людини  та врахування його практики при здійсненні правосуддя </w:t>
      </w:r>
      <w:r w:rsidR="00AF1FB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7C04D0" w:rsidRPr="007C04D0" w:rsidRDefault="007C04D0" w:rsidP="00AF1FBE">
      <w:pPr>
        <w:spacing w:after="0" w:line="307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C04D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 цивільни</w:t>
      </w:r>
      <w:bookmarkStart w:id="0" w:name="_GoBack"/>
      <w:bookmarkEnd w:id="0"/>
      <w:r w:rsidRPr="007C04D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х справах</w:t>
      </w:r>
      <w:r w:rsidR="00C5692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»</w:t>
      </w:r>
    </w:p>
    <w:p w:rsidR="0001187D" w:rsidRDefault="0001187D" w:rsidP="00AF1FBE">
      <w:pPr>
        <w:spacing w:after="0" w:line="307" w:lineRule="auto"/>
        <w:ind w:firstLine="709"/>
        <w:jc w:val="both"/>
        <w:rPr>
          <w:lang w:val="uk-UA"/>
        </w:rPr>
      </w:pPr>
    </w:p>
    <w:p w:rsidR="008200BE" w:rsidRPr="00C5692E" w:rsidRDefault="008200BE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Позитивна дискримінація…:</w:t>
      </w:r>
    </w:p>
    <w:p w:rsidR="008200BE" w:rsidRPr="00C5692E" w:rsidRDefault="008200BE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Сутність спеціальних прав полягає у:</w:t>
      </w:r>
    </w:p>
    <w:p w:rsidR="008200BE" w:rsidRPr="00C5692E" w:rsidRDefault="008200BE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До спеціальних прав належить:</w:t>
      </w:r>
    </w:p>
    <w:p w:rsidR="008200BE" w:rsidRPr="00C5692E" w:rsidRDefault="008200BE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До універсальних прав належать:</w:t>
      </w:r>
    </w:p>
    <w:p w:rsidR="008200BE" w:rsidRPr="00C5692E" w:rsidRDefault="008200BE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Міжнародний Білль про права людини – це:</w:t>
      </w:r>
    </w:p>
    <w:p w:rsidR="008200BE" w:rsidRPr="00C5692E" w:rsidRDefault="008200BE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До четвертого покоління прав людини належить:</w:t>
      </w:r>
    </w:p>
    <w:p w:rsidR="008200BE" w:rsidRPr="00C5692E" w:rsidRDefault="008200BE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До соціально-економічних прав людини належить:</w:t>
      </w:r>
    </w:p>
    <w:p w:rsidR="008200BE" w:rsidRPr="00C5692E" w:rsidRDefault="008200BE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Позитивні зобов’язання держави у сфері прав людини – це:</w:t>
      </w:r>
    </w:p>
    <w:p w:rsidR="008200BE" w:rsidRPr="00C5692E" w:rsidRDefault="008200BE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Негативні  зобов’язання держави у сфері прав людини – це:</w:t>
      </w:r>
    </w:p>
    <w:p w:rsidR="008200BE" w:rsidRPr="00C5692E" w:rsidRDefault="008200BE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В рамках Ліги нації була прийнята:</w:t>
      </w:r>
    </w:p>
    <w:p w:rsidR="008200BE" w:rsidRPr="00C5692E" w:rsidRDefault="008200BE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Якою є кількість суддів Європейського суду з прав людини?</w:t>
      </w:r>
    </w:p>
    <w:p w:rsidR="008200BE" w:rsidRPr="00C5692E" w:rsidRDefault="008200BE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Суддя ЄСПЛ має право одноосібно:</w:t>
      </w:r>
    </w:p>
    <w:p w:rsidR="008200BE" w:rsidRPr="00C5692E" w:rsidRDefault="008200BE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Права людини та права громадянина … :</w:t>
      </w:r>
    </w:p>
    <w:p w:rsidR="008200BE" w:rsidRPr="00C5692E" w:rsidRDefault="008200BE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Невичерпність прав і свобод людини означає, що:</w:t>
      </w:r>
    </w:p>
    <w:p w:rsidR="008200BE" w:rsidRPr="00C5692E" w:rsidRDefault="008200BE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В якому з міжнародних договорів про права людини застосовується поділ прав на права та принципи?</w:t>
      </w:r>
    </w:p>
    <w:p w:rsidR="008200BE" w:rsidRPr="00C5692E" w:rsidRDefault="008200BE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До якого «покоління прав людини» належить право на мирні зібрання?</w:t>
      </w:r>
    </w:p>
    <w:p w:rsidR="008200BE" w:rsidRPr="00C5692E" w:rsidRDefault="008200BE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До якого «покоління прав людини» належить право на працю?</w:t>
      </w:r>
    </w:p>
    <w:p w:rsidR="008200BE" w:rsidRPr="00C5692E" w:rsidRDefault="008200BE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До якого «покоління прав людини» належить право на свободу вираження поглядів?</w:t>
      </w:r>
    </w:p>
    <w:p w:rsidR="008200BE" w:rsidRPr="00C5692E" w:rsidRDefault="008200BE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Яке з наведених прав належить до «другого покоління прав людини»?</w:t>
      </w:r>
    </w:p>
    <w:p w:rsidR="008200BE" w:rsidRPr="00C5692E" w:rsidRDefault="008200BE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До прав і свобод другого покоління відносяться:</w:t>
      </w:r>
    </w:p>
    <w:p w:rsidR="008200BE" w:rsidRPr="00C5692E" w:rsidRDefault="008200BE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Яке з наведених прав належить до «другого покоління прав людини»?</w:t>
      </w:r>
    </w:p>
    <w:p w:rsidR="008200BE" w:rsidRPr="00C5692E" w:rsidRDefault="008200BE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До якого «покоління прав людини» належить право на справедливий суд?</w:t>
      </w:r>
    </w:p>
    <w:p w:rsidR="008200BE" w:rsidRPr="00C5692E" w:rsidRDefault="008200BE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До прав і свобод третього покоління відносяться:</w:t>
      </w:r>
    </w:p>
    <w:p w:rsidR="008200BE" w:rsidRPr="00C5692E" w:rsidRDefault="008200BE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lastRenderedPageBreak/>
        <w:t>Яке з названих прав людини чи яка зі свобод людини не підлягають ніяким обмеженням і не допускають ніяких винятків?</w:t>
      </w:r>
    </w:p>
    <w:p w:rsidR="008200BE" w:rsidRPr="00C5692E" w:rsidRDefault="008200BE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 xml:space="preserve">Позитивна дискримінація – це: </w:t>
      </w:r>
    </w:p>
    <w:p w:rsidR="008200BE" w:rsidRPr="00C5692E" w:rsidRDefault="008200BE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 xml:space="preserve">Скарга якого з наведених суб’єктів проти України є неприйнятною у Європейському Суді з прав людини? </w:t>
      </w:r>
    </w:p>
    <w:p w:rsidR="008200BE" w:rsidRPr="00C5692E" w:rsidRDefault="008200BE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Європейський суд з прав людини визначає поняття «цивільні права та обов’язки»…:</w:t>
      </w:r>
    </w:p>
    <w:p w:rsidR="008200BE" w:rsidRPr="00C5692E" w:rsidRDefault="008200BE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Для визначення чи є обвинувачення кримінальним Європейський суд з прав людини звертається до критерію:</w:t>
      </w:r>
    </w:p>
    <w:p w:rsidR="008200BE" w:rsidRPr="00C5692E" w:rsidRDefault="008200BE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 xml:space="preserve">Який міжнародний судовий чи інший договірний контрольний орган застосовує процедуру пілотних рішень? </w:t>
      </w:r>
    </w:p>
    <w:p w:rsidR="008200BE" w:rsidRPr="00C5692E" w:rsidRDefault="008200BE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У який спосіб Європейський Суд з прав людини встановлює наявність у правовій системі країни системних вад, що стають причиною масових та однотипних за змістом порушень прав людини?</w:t>
      </w:r>
    </w:p>
    <w:p w:rsidR="008200BE" w:rsidRPr="00C5692E" w:rsidRDefault="008200BE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Виходячи зі змісту  ч.2 ст. 6 “Право на справедливий суд” Конвенції про захист прав людини і основоположних свобод в якій з наведених ситуацій не порушується принцип презумпції невинуватості?</w:t>
      </w:r>
    </w:p>
    <w:p w:rsidR="008200BE" w:rsidRPr="00C5692E" w:rsidRDefault="008200BE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Який державний орган (посадова особа) представляє Україну як сторону при розгляді справ Європейським Судом з прав людини?</w:t>
      </w:r>
    </w:p>
    <w:p w:rsidR="008200BE" w:rsidRPr="00C5692E" w:rsidRDefault="008200BE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Відповідно до ст. 6 Конвенції про захист прав людини та основоположних свобод особа, обвинувачена у вчиненні кримінального правопорушення, має наступне право:</w:t>
      </w:r>
    </w:p>
    <w:p w:rsidR="008200BE" w:rsidRPr="00C5692E" w:rsidRDefault="008200BE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Відповідно до ч. 3. Ст. 6 Конвенції про захист прав людини і основоположних свобод кожний обвинувачений у вчиненні кримінального правопорушення має таке право:</w:t>
      </w:r>
    </w:p>
    <w:p w:rsidR="008200BE" w:rsidRPr="00C5692E" w:rsidRDefault="008200BE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З якого моменту набуває чинності для України Конвенція про захист прав людини і основоположних свобод (визначте загальний принцип)?</w:t>
      </w:r>
    </w:p>
    <w:p w:rsidR="008200BE" w:rsidRPr="00C5692E" w:rsidRDefault="008200BE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Відповідно до змісту ст. 6 “Право на справедливий суд” Конвенції про захист прав людини і основоположних свобод з якого моменту особа, звинувачена у скоєнні кримінального правопорушення, вважається винуватою?</w:t>
      </w:r>
    </w:p>
    <w:p w:rsidR="008200BE" w:rsidRPr="00C5692E" w:rsidRDefault="008200BE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Каталог прав і свобод людини, гарантованих відповідно до ЄКПЛ, включає:</w:t>
      </w:r>
    </w:p>
    <w:p w:rsidR="008200BE" w:rsidRPr="00C5692E" w:rsidRDefault="008200BE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Сфера дія права на свободу об’єднань (ст. 11. ЄКПЛ) розповсюджується на:</w:t>
      </w:r>
    </w:p>
    <w:p w:rsidR="008200BE" w:rsidRPr="00C5692E" w:rsidRDefault="008200BE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lastRenderedPageBreak/>
        <w:t>До яких категорій осіб може бути застосовано обмеження права на свободу зібрань та об’єднань, передбачене нормами статті 11 Конвенції про захист прав людини і основоположних свобод:</w:t>
      </w:r>
    </w:p>
    <w:p w:rsidR="008200BE" w:rsidRPr="00C5692E" w:rsidRDefault="008200BE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В якості  координаційного центру ООН в сфері прав людини Управління Верховного Комісара з прав людини:</w:t>
      </w:r>
    </w:p>
    <w:p w:rsidR="008200BE" w:rsidRPr="00C5692E" w:rsidRDefault="008200BE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Комітет проти тортур при підозрі про порушення державою-учасницею Конвенції ООН проти катувань та інших жорстоких, нелюдських або таких, що принижують гідність, виді поводження і покарання 1984 р.:</w:t>
      </w:r>
    </w:p>
    <w:p w:rsidR="008200BE" w:rsidRPr="00C5692E" w:rsidRDefault="008200BE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Комітет проти катувань, створений як контрольний механізм Конвенції ООН проти катувань та інших жорстоких, нелюдських або таких, що принижують гідність, видів поводження і покарання 1984 р.:</w:t>
      </w:r>
    </w:p>
    <w:p w:rsidR="008200BE" w:rsidRPr="00C5692E" w:rsidRDefault="008200BE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Головним обов’язком Комітету з ліквідації дискримінації щодо жінок, заснованого на підставі положень Конвенції про ліквідацію всіх форм дискримінації щодо жінок 1979 р. є:</w:t>
      </w:r>
    </w:p>
    <w:p w:rsidR="008200BE" w:rsidRPr="00C5692E" w:rsidRDefault="008200BE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Який з наведених міжнародно-правових актів не передбачає підписання та ратифікації державами?</w:t>
      </w:r>
    </w:p>
    <w:p w:rsidR="008200BE" w:rsidRPr="00C5692E" w:rsidRDefault="008200BE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частини п’ятої статті 55 Конституції України, після використання всіх національних засобів правового захисту, кожна людина вправі звертатися за захистом своїх прав і свобод до: </w:t>
      </w:r>
    </w:p>
    <w:p w:rsidR="008200BE" w:rsidRPr="00C5692E" w:rsidRDefault="008200BE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Лікар, якому відома інформація про стан здоров’я пацієнта повинен:</w:t>
      </w:r>
    </w:p>
    <w:p w:rsidR="008200BE" w:rsidRPr="00C5692E" w:rsidRDefault="008200BE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практики ЄСПЛ, заборона проведення мирного зібрання з посиланням на можливі порушення громадської безпеки: </w:t>
      </w:r>
    </w:p>
    <w:p w:rsidR="008200BE" w:rsidRPr="00C5692E" w:rsidRDefault="008200BE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Правом подавати скарги до Комітету ООН з прав людини наділені лише індивіди, які перебувають під юрисдикцією держави-учасниці Факультативного протоколу до:</w:t>
      </w:r>
    </w:p>
    <w:p w:rsidR="008200BE" w:rsidRPr="00C5692E" w:rsidRDefault="008200BE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Яка із перелічених умов є правомірною підставою обмеження прав і свобод людини і громадянина:</w:t>
      </w:r>
    </w:p>
    <w:p w:rsidR="008200BE" w:rsidRPr="00C5692E" w:rsidRDefault="008200BE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Чи має право корінний народ право на самовизначення?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Право представників національних меншин на самоорганізацію передбачає: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Яким чином держава забезпечує реалізацію права представників національних меншин на обрання до органів державної влади різного рівня: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 xml:space="preserve">Яке визначення поняття «договірні органи в системі захисту прав людини ООН» є правильним: 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Захист прав осіб, які належать до національних та </w:t>
      </w:r>
      <w:proofErr w:type="spellStart"/>
      <w:r w:rsidRPr="00C5692E">
        <w:rPr>
          <w:rFonts w:ascii="Times New Roman" w:hAnsi="Times New Roman" w:cs="Times New Roman"/>
          <w:sz w:val="28"/>
          <w:szCs w:val="28"/>
          <w:lang w:val="uk-UA"/>
        </w:rPr>
        <w:t>мовних</w:t>
      </w:r>
      <w:proofErr w:type="spellEnd"/>
      <w:r w:rsidRPr="00C5692E">
        <w:rPr>
          <w:rFonts w:ascii="Times New Roman" w:hAnsi="Times New Roman" w:cs="Times New Roman"/>
          <w:sz w:val="28"/>
          <w:szCs w:val="28"/>
          <w:lang w:val="uk-UA"/>
        </w:rPr>
        <w:t xml:space="preserve"> меншин передбачений нормами: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Рекомендації Міжнародної організації праці: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Яке «пілотне рішення», винесене Європейським судом з прав людини, по скарзі проти України досі залишається невиконаним: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 xml:space="preserve">Який з перелічених протоколів до Конвенції про захист прав людини і основоположних свобод не ратифіковано Україною: 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Громадянин України має право звернутися з позовом проти своєї держави до: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Конвенція про захист прав людини і основоположних свобод 1950 р. прийнята в рамках: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Першим міжнародно-правовим актом, що закріпив каталог прав людини і встановив механізм їх дотримання, є: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Європейський суд з прав людини це орган:</w:t>
      </w:r>
    </w:p>
    <w:p w:rsidR="0077023A" w:rsidRPr="00C5692E" w:rsidRDefault="00D05826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7023A" w:rsidRPr="00C5692E">
        <w:rPr>
          <w:rFonts w:ascii="Times New Roman" w:hAnsi="Times New Roman" w:cs="Times New Roman"/>
          <w:sz w:val="28"/>
          <w:szCs w:val="28"/>
          <w:lang w:val="uk-UA"/>
        </w:rPr>
        <w:t>редметом скарги, що може бути подана до Європейського суду з прав людини, є: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 xml:space="preserve">Хто з перелічених суб’єктів не може подавати до Європейського суду з прав людини скаргу на порушення Україною прав людини? 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Якою є кількість суддів Європейського суду з прав людини?</w:t>
      </w:r>
    </w:p>
    <w:p w:rsidR="0077023A" w:rsidRPr="00C5692E" w:rsidRDefault="00D05826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7023A" w:rsidRPr="00C5692E">
        <w:rPr>
          <w:rFonts w:ascii="Times New Roman" w:hAnsi="Times New Roman" w:cs="Times New Roman"/>
          <w:sz w:val="28"/>
          <w:szCs w:val="28"/>
          <w:lang w:val="uk-UA"/>
        </w:rPr>
        <w:t>уддя ЄСПЛ має право одноосібно: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Яке з перелічених прав не гарантовано нормами Конвенції про захист прав людини і основоположних свобод та Протоколами до неї: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Суддя ЄСПЛ має право одноосібно: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Визначте рік прийняття Конвенції про захист прав людини і основоположних свобод?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Який орган Ради Європи уповноважений розглядати скарги фізичних осіб на порушення державами їх зобов’язань за Конвенцією про захист прав людини і основоположних свобод?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Коли Хартія основних прав ЄС набула (чи набуде) статусу установчих договорів ?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Який орган Ради Європи здійснює нагляд за виконанням державами рішень Європейського суду з прав людини, в яких встановлено порушення зобов’язань держав за Конвенцією про захист прав людини і основоположних свобод?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lastRenderedPageBreak/>
        <w:t>Які права утворюють каталог (перелік) прав людини Хартії основних прав ЄС?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Який з міжнародних договорів щодо прав людини не передбачає самостійного контрольного механізму?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 xml:space="preserve">Право на справедливий судовий розгляд у контексті ст. 6 Конвенції про захист прав людини та основоположних свобод стосується:  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 xml:space="preserve">Рівність прав жінок в питаннях, що стосуються  шлюбу та сімейних стосунків зокрема передбачає: 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З якого моменту набуває чинності для України Конвенція про захист прав людини і основоположних свобод (визначте загальний принцип)?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Які права утворюють каталог (перелік) прав людини Хартії основних прав ЄС?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Які з наведених рішень Європейського Суду з прав людини одразу мають статус остаточних?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Що з наведеного є критерієм прийнятності скарги до Європейського суду з прав людини?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Який з міжнародних договорів щодо прав людини не передбачає самостійного контрольного механізму?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Як Європейський Суд з прав людини тлумачить термін «закон» у виразі «обмеження, встановлені законом», що використовується у тексті Конвенції про захист прав людини і основоположних свобод?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Чи можуть держави робити застереження до Конвенції про захист прав людини і основоположних свобод при підписанні чи депонуванні ратифікаційних грамот?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Як працює Європейський Суд з прав людини?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Протоколи до Європейської конвенції з прав людини і основоположних свобод покликані: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 xml:space="preserve">Скарга якого з наведених суб’єктів проти України є неприйнятною у Європейському Суді з прав людини? 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Європейський суд з прав людини визначає поняття «цивільні права та обов’язки»…: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Для визначення чи є обвинувачення кримінальним Європейський суд з прав людини звертається до критерію: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 xml:space="preserve">Який міжнародний судовий чи інший договірний контрольний орган застосовує процедуру пілотних рішень? 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lastRenderedPageBreak/>
        <w:t>У який спосіб Європейський Суд з прав людини встановлює наявність у правовій системі країни системних вад, що стають причиною масових та однотипних за змістом порушень прав людини?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Виходячи зі змісту  ч.2 ст. 6 “Право на справедливий суд” Конвенції про захист прав людини і основоположних свобод в якій з наведених ситуацій не порушується принцип презумпції невинуватості?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Який державний орган (посадова особа) представляє Україну як сторону при розгляді справ Європейським Судом з прав людини?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Відповідно до ст. 6 Конвенції про захист прав людини та основоположних свобод особа, обвинувачена у вчиненні кримінального правопорушення, має наступне право: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ч. 3. Ст. 6 Конвенції про захист прав людини і основоположних свобод кожний обвинувачений у вчиненні кримінального правопорушення має таке право: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З якого моменту набуває чинності для України Конвенція про захист прав людини і основоположних свобод (визначте загальний принцип)?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Відповідно до змісту ст. 6 “Право на справедливий суд” Конвенції про захист прав людини і основоположних свобод з якого моменту особа, звинувачена у скоєнні кримінального правопорушення, вважається винуватою?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Каталог прав і свобод людини, гарантованих відповідно до ЄКПЛ, включає: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Які з наведених рішень Європейського Суду з прав людини одразу мають статус остаточних?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Що з наведеного є критерієм прийнятності скарги до Європейського суду з прав людини?</w:t>
      </w:r>
    </w:p>
    <w:p w:rsidR="00D05826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 xml:space="preserve">Термін «дискримінація» вперше нормативно з’явився в: 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Як Європейський Суд з прав людини тлумачить термін «закон» у виразі «обмеження, встановлені законом», що використовується у тексті Конвенції про захист прав людини і основоположних свобод?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Чи можуть держави робити застереження до Конвенції про захист прав людини і основоположних свобод при підписанні чи депонуванні ратифікаційних грамот?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Як працює Європейський Суд з прав людини?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lastRenderedPageBreak/>
        <w:t>Зобов’язання держав – учасниць Конвенції про захист прав людини і основоположних свобод 1950 р. полягають у: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Протоколи до Європейської конвенції з прав людини і основоположних свобод покликані: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 xml:space="preserve">Скарга якого з наведених суб’єктів проти України є неприйнятною у Європейському Суді з прав людини? 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 xml:space="preserve">Учасником якого з перелічених міжнародних договорів у сфері захисту прав людини є Україна? 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Обов’язковість рішення Європейського суду з прав людини для України визначається: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Європейська соціальна хартія була прийнята в рамках наступної організації: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Смертна кара як вид покарання за вчинений злочин була заборонена: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Офіційними мовами Європейського суду з прав людини є: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Строк на який обираються судді Європейського суду з прав людини: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До Великої  палати Європейського суду з прав людини згідно до ст. 26 ЄКПЛ входять: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 xml:space="preserve">Який міжнародний судовий чи інший договірний контрольний орган застосовує процедуру пілотних рішень? 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В якому з міжнародних договорів про права людини передбачена можливість приєднання ЄС?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Відповідно до Конвенції про захист прав людини і основоположних свобод та практики Європейського Суду з прав людини до якого типу зобов’язань держави належить обов’язок (вимога) введення кримінальної відповідальності за торгівлю людьми?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 xml:space="preserve">У якому складі Європейський суд з прав людини розглядає справи? 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Термін «дискримінація» набув поширення і почав використовуватись</w:t>
      </w:r>
    </w:p>
    <w:p w:rsidR="007702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Так зване негативне право об’єднання, відповідно до ст. 11 ЄКПЛ (свобода зібрань та об’єднань), передбачає:</w:t>
      </w:r>
      <w:r w:rsidRPr="00C5692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7023A" w:rsidRPr="00C5692E" w:rsidRDefault="00D05826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7023A" w:rsidRPr="00C5692E">
        <w:rPr>
          <w:rFonts w:ascii="Times New Roman" w:hAnsi="Times New Roman" w:cs="Times New Roman"/>
          <w:sz w:val="28"/>
          <w:szCs w:val="28"/>
          <w:lang w:val="uk-UA"/>
        </w:rPr>
        <w:t xml:space="preserve"> якому з регіональних договорів про права людини не передбачено право на працю?</w:t>
      </w:r>
    </w:p>
    <w:p w:rsidR="0002113A" w:rsidRPr="00C5692E" w:rsidRDefault="0077023A" w:rsidP="00AF1FBE">
      <w:pPr>
        <w:pStyle w:val="a3"/>
        <w:numPr>
          <w:ilvl w:val="0"/>
          <w:numId w:val="1"/>
        </w:numPr>
        <w:spacing w:after="0" w:line="30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2E">
        <w:rPr>
          <w:rFonts w:ascii="Times New Roman" w:hAnsi="Times New Roman" w:cs="Times New Roman"/>
          <w:sz w:val="28"/>
          <w:szCs w:val="28"/>
          <w:lang w:val="uk-UA"/>
        </w:rPr>
        <w:lastRenderedPageBreak/>
        <w:t>До яких категорій осіб може бути застосовано обмеження права на свободу зібрань та об’єднань, передбачене нормами статті 11 Конвенції про захист прав людини і основоположних свобод:</w:t>
      </w:r>
    </w:p>
    <w:p w:rsidR="007C04D0" w:rsidRPr="007C04D0" w:rsidRDefault="007C04D0" w:rsidP="00AF1FBE">
      <w:pPr>
        <w:spacing w:after="0" w:line="307" w:lineRule="auto"/>
        <w:ind w:firstLine="709"/>
        <w:jc w:val="both"/>
        <w:rPr>
          <w:lang w:val="uk-UA"/>
        </w:rPr>
      </w:pPr>
    </w:p>
    <w:sectPr w:rsidR="007C04D0" w:rsidRPr="007C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07E8A"/>
    <w:multiLevelType w:val="hybridMultilevel"/>
    <w:tmpl w:val="AD24D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45"/>
    <w:rsid w:val="0001187D"/>
    <w:rsid w:val="0002113A"/>
    <w:rsid w:val="0077023A"/>
    <w:rsid w:val="007C04D0"/>
    <w:rsid w:val="008200BE"/>
    <w:rsid w:val="00AF1FBE"/>
    <w:rsid w:val="00C5692E"/>
    <w:rsid w:val="00D05826"/>
    <w:rsid w:val="00D77745"/>
    <w:rsid w:val="00EB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AA8A"/>
  <w15:chartTrackingRefBased/>
  <w15:docId w15:val="{23B6CE37-0014-467B-B9B3-A9B65B1E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1803</Words>
  <Characters>10278</Characters>
  <Application>Microsoft Office Word</Application>
  <DocSecurity>0</DocSecurity>
  <Lines>85</Lines>
  <Paragraphs>24</Paragraphs>
  <ScaleCrop>false</ScaleCrop>
  <Company/>
  <LinksUpToDate>false</LinksUpToDate>
  <CharactersWithSpaces>12057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12</cp:revision>
  <dcterms:created xsi:type="dcterms:W3CDTF">2021-03-11T16:17:00Z</dcterms:created>
  <dcterms:modified xsi:type="dcterms:W3CDTF">2021-03-11T18:14:00Z</dcterms:modified>
</cp:coreProperties>
</file>