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1B4D76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76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78CBB4F6" w:rsidR="0080113C" w:rsidRPr="001B4D76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D76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211085" w:rsidRPr="001B4D76">
        <w:rPr>
          <w:rFonts w:ascii="Times New Roman" w:hAnsi="Times New Roman"/>
          <w:bCs/>
          <w:kern w:val="36"/>
          <w:sz w:val="28"/>
          <w:szCs w:val="28"/>
          <w:u w:val="single"/>
        </w:rPr>
        <w:t>«</w:t>
      </w:r>
      <w:r w:rsidR="001B4D76" w:rsidRPr="001B4D76">
        <w:rPr>
          <w:rFonts w:ascii="Times New Roman" w:hAnsi="Times New Roman"/>
          <w:bCs/>
          <w:kern w:val="36"/>
          <w:sz w:val="28"/>
          <w:szCs w:val="28"/>
          <w:u w:val="single"/>
        </w:rPr>
        <w:t>Адаптивна економіка</w:t>
      </w:r>
      <w:r w:rsidRPr="001B4D76">
        <w:rPr>
          <w:rFonts w:ascii="Times New Roman" w:hAnsi="Times New Roman"/>
          <w:bCs/>
          <w:kern w:val="36"/>
          <w:sz w:val="28"/>
          <w:szCs w:val="28"/>
          <w:u w:val="single"/>
        </w:rPr>
        <w:t>»</w:t>
      </w:r>
    </w:p>
    <w:p w14:paraId="727D3ACA" w14:textId="77777777" w:rsidR="0080113C" w:rsidRPr="001B4D76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4D76">
        <w:rPr>
          <w:rFonts w:ascii="Times New Roman" w:hAnsi="Times New Roman" w:cs="Times New Roman"/>
          <w:sz w:val="20"/>
          <w:szCs w:val="20"/>
        </w:rPr>
        <w:tab/>
      </w:r>
      <w:r w:rsidRPr="001B4D76">
        <w:rPr>
          <w:rFonts w:ascii="Times New Roman" w:hAnsi="Times New Roman" w:cs="Times New Roman"/>
          <w:sz w:val="20"/>
          <w:szCs w:val="20"/>
        </w:rPr>
        <w:tab/>
      </w:r>
      <w:r w:rsidRPr="001B4D76">
        <w:rPr>
          <w:rFonts w:ascii="Times New Roman" w:hAnsi="Times New Roman" w:cs="Times New Roman"/>
          <w:sz w:val="20"/>
          <w:szCs w:val="20"/>
        </w:rPr>
        <w:tab/>
      </w:r>
      <w:r w:rsidRPr="001B4D76">
        <w:rPr>
          <w:rFonts w:ascii="Times New Roman" w:hAnsi="Times New Roman" w:cs="Times New Roman"/>
          <w:sz w:val="20"/>
          <w:szCs w:val="20"/>
        </w:rPr>
        <w:tab/>
        <w:t>(назва навчальної дисципліни)</w:t>
      </w:r>
    </w:p>
    <w:p w14:paraId="494557E2" w14:textId="14C6986C" w:rsidR="0080113C" w:rsidRPr="001B4D76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4D76">
        <w:rPr>
          <w:rFonts w:ascii="Times New Roman" w:hAnsi="Times New Roman" w:cs="Times New Roman"/>
          <w:sz w:val="28"/>
          <w:szCs w:val="28"/>
        </w:rPr>
        <w:t>за спеціальністю 07</w:t>
      </w:r>
      <w:r w:rsidR="001B4D76">
        <w:rPr>
          <w:rFonts w:ascii="Times New Roman" w:hAnsi="Times New Roman" w:cs="Times New Roman"/>
          <w:sz w:val="28"/>
          <w:szCs w:val="28"/>
        </w:rPr>
        <w:t>6</w:t>
      </w:r>
      <w:r w:rsidRPr="001B4D76">
        <w:rPr>
          <w:rFonts w:ascii="Times New Roman" w:hAnsi="Times New Roman" w:cs="Times New Roman"/>
          <w:sz w:val="28"/>
          <w:szCs w:val="28"/>
        </w:rPr>
        <w:t xml:space="preserve"> «</w:t>
      </w:r>
      <w:r w:rsidR="001B4D76">
        <w:rPr>
          <w:rFonts w:ascii="Times New Roman" w:hAnsi="Times New Roman" w:cs="Times New Roman"/>
          <w:sz w:val="28"/>
          <w:szCs w:val="28"/>
        </w:rPr>
        <w:t>Підприємництво, торгівля та біржова діяльність</w:t>
      </w:r>
      <w:r w:rsidRPr="001B4D76">
        <w:rPr>
          <w:rFonts w:ascii="Times New Roman" w:hAnsi="Times New Roman" w:cs="Times New Roman"/>
          <w:sz w:val="28"/>
          <w:szCs w:val="28"/>
        </w:rPr>
        <w:t>»</w:t>
      </w:r>
    </w:p>
    <w:p w14:paraId="044966BA" w14:textId="266F8824" w:rsidR="0080113C" w:rsidRPr="001B4D76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4D76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1B4D76">
        <w:rPr>
          <w:rFonts w:ascii="Times New Roman" w:hAnsi="Times New Roman" w:cs="Times New Roman"/>
          <w:sz w:val="28"/>
          <w:szCs w:val="28"/>
        </w:rPr>
        <w:t>Підприємництво, торгівля та біржова діяльність</w:t>
      </w:r>
      <w:r w:rsidRPr="001B4D76">
        <w:rPr>
          <w:rFonts w:ascii="Times New Roman" w:hAnsi="Times New Roman" w:cs="Times New Roman"/>
          <w:sz w:val="28"/>
          <w:szCs w:val="28"/>
        </w:rPr>
        <w:t>»</w:t>
      </w:r>
    </w:p>
    <w:p w14:paraId="0EF69715" w14:textId="0CDEB9C8" w:rsidR="0080113C" w:rsidRPr="001B4D76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D76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063DCE" w:rsidRPr="001B4D76">
        <w:rPr>
          <w:rFonts w:ascii="Times New Roman" w:hAnsi="Times New Roman" w:cs="Times New Roman"/>
          <w:sz w:val="28"/>
          <w:szCs w:val="28"/>
        </w:rPr>
        <w:t>бакалавр</w:t>
      </w:r>
      <w:r w:rsidRPr="001B4D76">
        <w:rPr>
          <w:rFonts w:ascii="Times New Roman" w:hAnsi="Times New Roman" w:cs="Times New Roman"/>
          <w:sz w:val="28"/>
          <w:szCs w:val="28"/>
        </w:rPr>
        <w:t>»</w:t>
      </w:r>
    </w:p>
    <w:p w14:paraId="5789DF2F" w14:textId="5F43EA62" w:rsidR="00063DCE" w:rsidRDefault="00063DCE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34"/>
        <w:gridCol w:w="8759"/>
      </w:tblGrid>
      <w:tr w:rsidR="001B4D76" w:rsidRPr="001B4D76" w14:paraId="1BD8A383" w14:textId="77777777" w:rsidTr="00D1149C">
        <w:tc>
          <w:tcPr>
            <w:tcW w:w="734" w:type="dxa"/>
            <w:vAlign w:val="center"/>
          </w:tcPr>
          <w:p w14:paraId="00E7308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3C5FC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759" w:type="dxa"/>
            <w:vAlign w:val="center"/>
          </w:tcPr>
          <w:p w14:paraId="67329DB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1B4D76" w:rsidRPr="001B4D76" w14:paraId="556F7742" w14:textId="77777777" w:rsidTr="00D1149C">
        <w:tc>
          <w:tcPr>
            <w:tcW w:w="734" w:type="dxa"/>
          </w:tcPr>
          <w:p w14:paraId="6105970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9" w:type="dxa"/>
          </w:tcPr>
          <w:p w14:paraId="2E7EE6F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1B4D76" w:rsidRPr="001B4D76" w14:paraId="113B4516" w14:textId="77777777" w:rsidTr="00D1149C">
        <w:tc>
          <w:tcPr>
            <w:tcW w:w="734" w:type="dxa"/>
          </w:tcPr>
          <w:p w14:paraId="303EFD8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9" w:type="dxa"/>
          </w:tcPr>
          <w:p w14:paraId="7B915372" w14:textId="77777777" w:rsidR="001B4D76" w:rsidRPr="001B4D76" w:rsidRDefault="001B4D76" w:rsidP="001B4D76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D76">
              <w:rPr>
                <w:sz w:val="28"/>
                <w:szCs w:val="28"/>
                <w:lang w:val="uk-UA"/>
              </w:rPr>
              <w:t>До факторів макросередовища не належать:</w:t>
            </w:r>
          </w:p>
        </w:tc>
      </w:tr>
      <w:tr w:rsidR="001B4D76" w:rsidRPr="001B4D76" w14:paraId="469A4199" w14:textId="77777777" w:rsidTr="00D1149C">
        <w:tc>
          <w:tcPr>
            <w:tcW w:w="734" w:type="dxa"/>
          </w:tcPr>
          <w:p w14:paraId="29D61C7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9" w:type="dxa"/>
          </w:tcPr>
          <w:p w14:paraId="160E8894" w14:textId="77777777" w:rsidR="001B4D76" w:rsidRPr="001B4D76" w:rsidRDefault="001B4D76" w:rsidP="001B4D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Модель 5 сил М. Портера використовується для аналізу:</w:t>
            </w:r>
          </w:p>
        </w:tc>
      </w:tr>
      <w:tr w:rsidR="001B4D76" w:rsidRPr="001B4D76" w14:paraId="361B2521" w14:textId="77777777" w:rsidTr="00D1149C">
        <w:tc>
          <w:tcPr>
            <w:tcW w:w="734" w:type="dxa"/>
          </w:tcPr>
          <w:p w14:paraId="26D36E6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9" w:type="dxa"/>
          </w:tcPr>
          <w:p w14:paraId="183EA3B5" w14:textId="77777777" w:rsidR="001B4D76" w:rsidRPr="001B4D76" w:rsidRDefault="001B4D76" w:rsidP="001B4D76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D76">
              <w:rPr>
                <w:sz w:val="28"/>
                <w:szCs w:val="28"/>
                <w:lang w:val="uk-UA"/>
              </w:rPr>
              <w:t>PEST-аналіз розглядає фактори (знайти неправильну відповідь):</w:t>
            </w:r>
          </w:p>
        </w:tc>
      </w:tr>
      <w:tr w:rsidR="001B4D76" w:rsidRPr="001B4D76" w14:paraId="5757FF8B" w14:textId="77777777" w:rsidTr="00D1149C">
        <w:tc>
          <w:tcPr>
            <w:tcW w:w="734" w:type="dxa"/>
          </w:tcPr>
          <w:p w14:paraId="4A6C3CA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9" w:type="dxa"/>
          </w:tcPr>
          <w:p w14:paraId="3560A2F2" w14:textId="77777777" w:rsidR="001B4D76" w:rsidRPr="001B4D76" w:rsidRDefault="001B4D76" w:rsidP="001B4D76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D76">
              <w:rPr>
                <w:sz w:val="28"/>
                <w:szCs w:val="28"/>
                <w:lang w:val="uk-UA"/>
              </w:rPr>
              <w:t>До моделі 5 сил М. Портера не включається такий фактор, як:</w:t>
            </w:r>
          </w:p>
        </w:tc>
      </w:tr>
      <w:tr w:rsidR="001B4D76" w:rsidRPr="001B4D76" w14:paraId="5B876F75" w14:textId="77777777" w:rsidTr="00D1149C">
        <w:tc>
          <w:tcPr>
            <w:tcW w:w="734" w:type="dxa"/>
          </w:tcPr>
          <w:p w14:paraId="65F36B5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9" w:type="dxa"/>
          </w:tcPr>
          <w:p w14:paraId="4669950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Сукупність факторів, які формують стратегічну прибутковість (збитковість) підприємства і щодо яких воно не має можливостей впливу взагалі, формують:</w:t>
            </w:r>
          </w:p>
        </w:tc>
      </w:tr>
      <w:tr w:rsidR="001B4D76" w:rsidRPr="001B4D76" w14:paraId="306A1A4F" w14:textId="77777777" w:rsidTr="00D1149C">
        <w:tc>
          <w:tcPr>
            <w:tcW w:w="734" w:type="dxa"/>
          </w:tcPr>
          <w:p w14:paraId="75CBB8A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9" w:type="dxa"/>
          </w:tcPr>
          <w:p w14:paraId="23773CF4" w14:textId="77777777" w:rsidR="001B4D76" w:rsidRPr="001B4D76" w:rsidRDefault="001B4D76" w:rsidP="001B4D76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D76">
              <w:rPr>
                <w:sz w:val="28"/>
                <w:szCs w:val="28"/>
                <w:lang w:val="uk-UA"/>
              </w:rPr>
              <w:t>До факторів мікросередовища не належать:</w:t>
            </w:r>
          </w:p>
        </w:tc>
      </w:tr>
      <w:tr w:rsidR="001B4D76" w:rsidRPr="001B4D76" w14:paraId="161B97D7" w14:textId="77777777" w:rsidTr="00D1149C">
        <w:tc>
          <w:tcPr>
            <w:tcW w:w="734" w:type="dxa"/>
          </w:tcPr>
          <w:p w14:paraId="71800EF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9" w:type="dxa"/>
          </w:tcPr>
          <w:p w14:paraId="58CB9B8F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До факторів зовнішнього середовища підприємства не відноситься:</w:t>
            </w:r>
          </w:p>
        </w:tc>
      </w:tr>
      <w:tr w:rsidR="001B4D76" w:rsidRPr="001B4D76" w14:paraId="412F6062" w14:textId="77777777" w:rsidTr="00D1149C">
        <w:tc>
          <w:tcPr>
            <w:tcW w:w="734" w:type="dxa"/>
          </w:tcPr>
          <w:p w14:paraId="3B9CD33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9" w:type="dxa"/>
          </w:tcPr>
          <w:p w14:paraId="0A60DDF3" w14:textId="77777777" w:rsidR="001B4D76" w:rsidRPr="001B4D76" w:rsidRDefault="001B4D76" w:rsidP="001B4D7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Поєднання оцінки зовнішнього та внутрішнього середовища передбачає такий метод, як:</w:t>
            </w:r>
          </w:p>
        </w:tc>
      </w:tr>
      <w:tr w:rsidR="001B4D76" w:rsidRPr="001B4D76" w14:paraId="491D6422" w14:textId="77777777" w:rsidTr="00D1149C">
        <w:tc>
          <w:tcPr>
            <w:tcW w:w="734" w:type="dxa"/>
          </w:tcPr>
          <w:p w14:paraId="519176C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9" w:type="dxa"/>
          </w:tcPr>
          <w:p w14:paraId="54868EB4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SWOT-аналіз не включає наступну групу факторів:</w:t>
            </w:r>
          </w:p>
        </w:tc>
      </w:tr>
      <w:tr w:rsidR="001B4D76" w:rsidRPr="001B4D76" w14:paraId="5D5213F7" w14:textId="77777777" w:rsidTr="00D1149C">
        <w:tc>
          <w:tcPr>
            <w:tcW w:w="734" w:type="dxa"/>
          </w:tcPr>
          <w:p w14:paraId="079756E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9" w:type="dxa"/>
          </w:tcPr>
          <w:p w14:paraId="53ED9AA2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Відкритість світових ринків характеризує таку сучасну тенденцію розвитку соціально-економічних відносин як:</w:t>
            </w:r>
          </w:p>
        </w:tc>
      </w:tr>
      <w:tr w:rsidR="001B4D76" w:rsidRPr="001B4D76" w14:paraId="33563481" w14:textId="77777777" w:rsidTr="00D1149C">
        <w:tc>
          <w:tcPr>
            <w:tcW w:w="734" w:type="dxa"/>
          </w:tcPr>
          <w:p w14:paraId="30D4BFC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9" w:type="dxa"/>
          </w:tcPr>
          <w:p w14:paraId="6CCDEEFC" w14:textId="77777777" w:rsidR="001B4D76" w:rsidRPr="001B4D76" w:rsidRDefault="001B4D76" w:rsidP="001B4D76">
            <w:pPr>
              <w:pStyle w:val="a6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B4D76">
              <w:rPr>
                <w:spacing w:val="2"/>
                <w:sz w:val="28"/>
                <w:szCs w:val="28"/>
                <w:lang w:val="uk-UA"/>
              </w:rPr>
              <w:t>До факторів внутрішнього середовища підприємства не відноситься:</w:t>
            </w:r>
          </w:p>
        </w:tc>
      </w:tr>
      <w:tr w:rsidR="001B4D76" w:rsidRPr="001B4D76" w14:paraId="54A2D80C" w14:textId="77777777" w:rsidTr="00D1149C">
        <w:tc>
          <w:tcPr>
            <w:tcW w:w="734" w:type="dxa"/>
          </w:tcPr>
          <w:p w14:paraId="0D29158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9" w:type="dxa"/>
          </w:tcPr>
          <w:p w14:paraId="7C2C9025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Загроза з боку продукції інших сфер діяльності або галузей, що може задовольняти однакові потреби споживача, у моделі 5 сил М. Портера відноситься до:</w:t>
            </w:r>
          </w:p>
        </w:tc>
      </w:tr>
      <w:tr w:rsidR="001B4D76" w:rsidRPr="001B4D76" w14:paraId="4DEACDFB" w14:textId="77777777" w:rsidTr="00D1149C">
        <w:tc>
          <w:tcPr>
            <w:tcW w:w="734" w:type="dxa"/>
          </w:tcPr>
          <w:p w14:paraId="064720E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9" w:type="dxa"/>
          </w:tcPr>
          <w:p w14:paraId="71C5D78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Облікова ставка НБУ відноситься до такої групи факторів:</w:t>
            </w:r>
          </w:p>
        </w:tc>
      </w:tr>
      <w:tr w:rsidR="001B4D76" w:rsidRPr="001B4D76" w14:paraId="7DB230BD" w14:textId="77777777" w:rsidTr="00D1149C">
        <w:tc>
          <w:tcPr>
            <w:tcW w:w="734" w:type="dxa"/>
          </w:tcPr>
          <w:p w14:paraId="43ECF1F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9" w:type="dxa"/>
          </w:tcPr>
          <w:p w14:paraId="740BA47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Існуюче у країні законодавство відноситься до такої групи факторів:</w:t>
            </w:r>
          </w:p>
        </w:tc>
      </w:tr>
      <w:tr w:rsidR="001B4D76" w:rsidRPr="001B4D76" w14:paraId="32BAA7E4" w14:textId="77777777" w:rsidTr="00D1149C">
        <w:tc>
          <w:tcPr>
            <w:tcW w:w="734" w:type="dxa"/>
          </w:tcPr>
          <w:p w14:paraId="3804C11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9" w:type="dxa"/>
          </w:tcPr>
          <w:p w14:paraId="296F6D23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Процес пристосування підприємства до зовнішніх нестабільних умов, </w:t>
            </w:r>
            <w:r w:rsidRPr="001B4D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що передбачає зміни у структурі підприємства, системі загального та функціонального управління організації та забезпечує стійкість функціонування та розвитку соціально-економічної системи у довгостроковій перспективі – це:</w:t>
            </w:r>
          </w:p>
        </w:tc>
      </w:tr>
      <w:tr w:rsidR="001B4D76" w:rsidRPr="001B4D76" w14:paraId="051F3938" w14:textId="77777777" w:rsidTr="00D1149C">
        <w:tc>
          <w:tcPr>
            <w:tcW w:w="734" w:type="dxa"/>
          </w:tcPr>
          <w:p w14:paraId="3DC796F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9" w:type="dxa"/>
          </w:tcPr>
          <w:p w14:paraId="2CF66F79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 характером змін, що вносяться, виділяють наступні види адаптації:</w:t>
            </w:r>
          </w:p>
        </w:tc>
      </w:tr>
      <w:tr w:rsidR="001B4D76" w:rsidRPr="001B4D76" w14:paraId="31A2EB30" w14:textId="77777777" w:rsidTr="00D1149C">
        <w:tc>
          <w:tcPr>
            <w:tcW w:w="734" w:type="dxa"/>
          </w:tcPr>
          <w:p w14:paraId="19E2DF0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9" w:type="dxa"/>
          </w:tcPr>
          <w:p w14:paraId="2F92E689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Залежно від характеру зміни параметрів системи виділяють наступні види адаптації:</w:t>
            </w:r>
          </w:p>
        </w:tc>
      </w:tr>
      <w:tr w:rsidR="001B4D76" w:rsidRPr="001B4D76" w14:paraId="248B4DB0" w14:textId="77777777" w:rsidTr="00D1149C">
        <w:tc>
          <w:tcPr>
            <w:tcW w:w="734" w:type="dxa"/>
          </w:tcPr>
          <w:p w14:paraId="52256CF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9" w:type="dxa"/>
          </w:tcPr>
          <w:p w14:paraId="00D272D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процес удосконалення та/або оновлення існуючих чи створення нових об’єктів модернізації, що носить цільовий та інноваційний характер, та спрямований на підвищення 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конкурентоспроможності підприємства за умов нестабільного економічного середовища – це:</w:t>
            </w:r>
          </w:p>
        </w:tc>
      </w:tr>
      <w:tr w:rsidR="001B4D76" w:rsidRPr="001B4D76" w14:paraId="57682184" w14:textId="77777777" w:rsidTr="00D1149C">
        <w:tc>
          <w:tcPr>
            <w:tcW w:w="734" w:type="dxa"/>
          </w:tcPr>
          <w:p w14:paraId="0F300E4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759" w:type="dxa"/>
          </w:tcPr>
          <w:p w14:paraId="41A0F873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Інструмент радикальної перебудови бізнес-процесів організації, що носить стрімкий характер, забезпечує якісне покращення організаційно-економічного механізму підприємства з метою підвищення рівня його конкурентоспроможності за умови застосування адаптивних можливостей – це:</w:t>
            </w:r>
          </w:p>
        </w:tc>
      </w:tr>
      <w:tr w:rsidR="001B4D76" w:rsidRPr="001B4D76" w14:paraId="644BC1FE" w14:textId="77777777" w:rsidTr="00D1149C">
        <w:tc>
          <w:tcPr>
            <w:tcW w:w="734" w:type="dxa"/>
          </w:tcPr>
          <w:p w14:paraId="50DA9CE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9" w:type="dxa"/>
          </w:tcPr>
          <w:p w14:paraId="6DC2C6A6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 властивість соціально-економічної системи до розвитку та самовдосконалення адаптація трактується в рамках:</w:t>
            </w:r>
          </w:p>
        </w:tc>
      </w:tr>
      <w:tr w:rsidR="001B4D76" w:rsidRPr="001B4D76" w14:paraId="2B5B8247" w14:textId="77777777" w:rsidTr="00D1149C">
        <w:tc>
          <w:tcPr>
            <w:tcW w:w="734" w:type="dxa"/>
          </w:tcPr>
          <w:p w14:paraId="495E187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9" w:type="dxa"/>
          </w:tcPr>
          <w:p w14:paraId="39DE9734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 процес, що відбувається у ході функціонування підприємства, адаптація трактується в рамках:</w:t>
            </w:r>
          </w:p>
        </w:tc>
      </w:tr>
      <w:tr w:rsidR="001B4D76" w:rsidRPr="001B4D76" w14:paraId="26047939" w14:textId="77777777" w:rsidTr="00D1149C">
        <w:tc>
          <w:tcPr>
            <w:tcW w:w="734" w:type="dxa"/>
          </w:tcPr>
          <w:p w14:paraId="70A1B63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9" w:type="dxa"/>
          </w:tcPr>
          <w:p w14:paraId="06D7F5F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 засіб досягнення певної стратегічної мети адаптація трактується в рамках:</w:t>
            </w:r>
          </w:p>
        </w:tc>
      </w:tr>
      <w:tr w:rsidR="001B4D76" w:rsidRPr="001B4D76" w14:paraId="7BBF46F5" w14:textId="77777777" w:rsidTr="00D1149C">
        <w:tc>
          <w:tcPr>
            <w:tcW w:w="734" w:type="dxa"/>
          </w:tcPr>
          <w:p w14:paraId="14AB4DC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9" w:type="dxa"/>
          </w:tcPr>
          <w:p w14:paraId="0AD3D5D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видів адаптації, виділених за характером змін, що вносяться, не належить:</w:t>
            </w:r>
          </w:p>
        </w:tc>
      </w:tr>
      <w:tr w:rsidR="001B4D76" w:rsidRPr="001B4D76" w14:paraId="5834833F" w14:textId="77777777" w:rsidTr="00D1149C">
        <w:tc>
          <w:tcPr>
            <w:tcW w:w="734" w:type="dxa"/>
          </w:tcPr>
          <w:p w14:paraId="74122B7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9" w:type="dxa"/>
          </w:tcPr>
          <w:p w14:paraId="781BA922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Зміні структурної будови внутрішньої системи організації передбачає такий вид адаптації:</w:t>
            </w:r>
          </w:p>
        </w:tc>
      </w:tr>
      <w:tr w:rsidR="001B4D76" w:rsidRPr="001B4D76" w14:paraId="1E42D8D4" w14:textId="77777777" w:rsidTr="00D1149C">
        <w:tc>
          <w:tcPr>
            <w:tcW w:w="734" w:type="dxa"/>
          </w:tcPr>
          <w:p w14:paraId="719BF88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9" w:type="dxa"/>
          </w:tcPr>
          <w:p w14:paraId="079946EE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Основна увага приділяється встановленню системи комунікацій в рамках наступного етапу розвитку теорії управління:</w:t>
            </w:r>
          </w:p>
        </w:tc>
      </w:tr>
      <w:tr w:rsidR="001B4D76" w:rsidRPr="001B4D76" w14:paraId="2AE49A2A" w14:textId="77777777" w:rsidTr="00D1149C">
        <w:tc>
          <w:tcPr>
            <w:tcW w:w="734" w:type="dxa"/>
          </w:tcPr>
          <w:p w14:paraId="0584F19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9" w:type="dxa"/>
          </w:tcPr>
          <w:p w14:paraId="58360181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Цілеспрямований,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психозберігаючий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ресурсозабезпечений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процес взаємодії керуючої і керованої підсистем із досягнення планованого результату з врахуванням їх особливостей та середовища – це:</w:t>
            </w:r>
          </w:p>
        </w:tc>
      </w:tr>
      <w:tr w:rsidR="001B4D76" w:rsidRPr="001B4D76" w14:paraId="4BAD0D40" w14:textId="77777777" w:rsidTr="00D1149C">
        <w:tc>
          <w:tcPr>
            <w:tcW w:w="734" w:type="dxa"/>
          </w:tcPr>
          <w:p w14:paraId="1EFB111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9" w:type="dxa"/>
          </w:tcPr>
          <w:p w14:paraId="20CBF61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Внутрішнє середовище підприємства залишається відносно стійким під впливом факторів оточення, одночасно менеджмент суб’єкта господарювання намагається видозмінити окремі елементи середовища, у якому функціонує. Дане твердження відбиває наступний вид адаптації:</w:t>
            </w:r>
          </w:p>
        </w:tc>
      </w:tr>
      <w:tr w:rsidR="001B4D76" w:rsidRPr="001B4D76" w14:paraId="5CCFCAA2" w14:textId="77777777" w:rsidTr="00D1149C">
        <w:tc>
          <w:tcPr>
            <w:tcW w:w="734" w:type="dxa"/>
          </w:tcPr>
          <w:p w14:paraId="48E226D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9" w:type="dxa"/>
          </w:tcPr>
          <w:p w14:paraId="26F9EB9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Зміну поведінки соціально-економічної системи для більш ефективного функціонування у середовищі передбачає адаптація:</w:t>
            </w:r>
          </w:p>
        </w:tc>
      </w:tr>
      <w:tr w:rsidR="001B4D76" w:rsidRPr="001B4D76" w14:paraId="371A9352" w14:textId="77777777" w:rsidTr="00D1149C">
        <w:tc>
          <w:tcPr>
            <w:tcW w:w="734" w:type="dxa"/>
          </w:tcPr>
          <w:p w14:paraId="2A9D8D5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9" w:type="dxa"/>
          </w:tcPr>
          <w:p w14:paraId="7943BF9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Зміну процесів функціонування підприємств на основі прогнозів щодо зміни середовища та інтуїтивних міркувань топ-менеджерів з приводу перспективних напрямів діяльності представляє собою адаптація:</w:t>
            </w:r>
          </w:p>
        </w:tc>
      </w:tr>
      <w:tr w:rsidR="001B4D76" w:rsidRPr="001B4D76" w14:paraId="59757579" w14:textId="77777777" w:rsidTr="00D1149C">
        <w:tc>
          <w:tcPr>
            <w:tcW w:w="734" w:type="dxa"/>
          </w:tcPr>
          <w:p w14:paraId="11928DE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59" w:type="dxa"/>
          </w:tcPr>
          <w:p w14:paraId="3E5B8E7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Форми пристосування до умов зовнішнього середовища, що відбуваються за рахунок механізму перемикання взаємодоповнюючих режимів функціонування суб’єкта адаптації характерні для такого виду адаптації:</w:t>
            </w:r>
          </w:p>
        </w:tc>
      </w:tr>
      <w:tr w:rsidR="001B4D76" w:rsidRPr="001B4D76" w14:paraId="4BD607F0" w14:textId="77777777" w:rsidTr="00D1149C">
        <w:tc>
          <w:tcPr>
            <w:tcW w:w="734" w:type="dxa"/>
          </w:tcPr>
          <w:p w14:paraId="0A2881A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9" w:type="dxa"/>
          </w:tcPr>
          <w:p w14:paraId="4F03476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Зміну параметрів і характеристик внутрішнього середовища підприємства передбачає адаптація:</w:t>
            </w:r>
          </w:p>
        </w:tc>
      </w:tr>
      <w:tr w:rsidR="001B4D76" w:rsidRPr="001B4D76" w14:paraId="011C4AC9" w14:textId="77777777" w:rsidTr="00D1149C">
        <w:tc>
          <w:tcPr>
            <w:tcW w:w="734" w:type="dxa"/>
          </w:tcPr>
          <w:p w14:paraId="6CFB68C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59" w:type="dxa"/>
          </w:tcPr>
          <w:p w14:paraId="03EEF43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Адаптація, що побудована на зміні самої структурної будови внутрішньої системи організації, появі нових підсистем, реорганізації або ліквідації існуючих:</w:t>
            </w:r>
          </w:p>
        </w:tc>
      </w:tr>
      <w:tr w:rsidR="001B4D76" w:rsidRPr="001B4D76" w14:paraId="414FC50B" w14:textId="77777777" w:rsidTr="00D1149C">
        <w:tc>
          <w:tcPr>
            <w:tcW w:w="734" w:type="dxa"/>
          </w:tcPr>
          <w:p w14:paraId="356DC23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59" w:type="dxa"/>
          </w:tcPr>
          <w:p w14:paraId="4EC04624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 спрямована на забезпечення оптимізації використання ресурсів економічної системи – це:</w:t>
            </w:r>
          </w:p>
        </w:tc>
      </w:tr>
      <w:tr w:rsidR="001B4D76" w:rsidRPr="001B4D76" w14:paraId="0B81157C" w14:textId="77777777" w:rsidTr="00D1149C">
        <w:tc>
          <w:tcPr>
            <w:tcW w:w="734" w:type="dxa"/>
          </w:tcPr>
          <w:p w14:paraId="2C471B6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59" w:type="dxa"/>
          </w:tcPr>
          <w:p w14:paraId="3EF3012E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Адаптація, обумовлена зміною алгоритмів процесів управління, – це:</w:t>
            </w:r>
          </w:p>
        </w:tc>
      </w:tr>
      <w:tr w:rsidR="001B4D76" w:rsidRPr="001B4D76" w14:paraId="334A8CEE" w14:textId="77777777" w:rsidTr="00D1149C">
        <w:tc>
          <w:tcPr>
            <w:tcW w:w="734" w:type="dxa"/>
          </w:tcPr>
          <w:p w14:paraId="7221EC5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759" w:type="dxa"/>
          </w:tcPr>
          <w:p w14:paraId="1A75C671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Адаптація, що передбачає зміну кількості та концентрації використовуваних засобів виробництва, що залучені до процесу адаптації, – це:</w:t>
            </w:r>
          </w:p>
        </w:tc>
      </w:tr>
      <w:tr w:rsidR="001B4D76" w:rsidRPr="001B4D76" w14:paraId="6C817C80" w14:textId="77777777" w:rsidTr="00D1149C">
        <w:tc>
          <w:tcPr>
            <w:tcW w:w="734" w:type="dxa"/>
          </w:tcPr>
          <w:p w14:paraId="4E0D62E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59" w:type="dxa"/>
          </w:tcPr>
          <w:p w14:paraId="7298D71E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Більш якісне та оптимальне використання наявних засобів адаптації враховує адаптація:</w:t>
            </w:r>
          </w:p>
        </w:tc>
      </w:tr>
      <w:tr w:rsidR="001B4D76" w:rsidRPr="001B4D76" w14:paraId="59CAADE2" w14:textId="77777777" w:rsidTr="00D1149C">
        <w:tc>
          <w:tcPr>
            <w:tcW w:w="734" w:type="dxa"/>
          </w:tcPr>
          <w:p w14:paraId="3E923C3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59" w:type="dxa"/>
          </w:tcPr>
          <w:p w14:paraId="0B1C5A8E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Адаптація, що передбачає зміни у використанні наявних на підприємстві засобів іншими шляхами з метою приведення діяльності відповідно до зовнішнього середовища, - це:</w:t>
            </w:r>
          </w:p>
        </w:tc>
      </w:tr>
      <w:tr w:rsidR="001B4D76" w:rsidRPr="001B4D76" w14:paraId="76CE8F24" w14:textId="77777777" w:rsidTr="00D1149C">
        <w:tc>
          <w:tcPr>
            <w:tcW w:w="734" w:type="dxa"/>
          </w:tcPr>
          <w:p w14:paraId="4F7DAF1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59" w:type="dxa"/>
          </w:tcPr>
          <w:p w14:paraId="23B1CB3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Адаптація, що представляє собою сукупність набутих адаптаційних можливостей на підприємстві, тобто фактично формує його адаптаційний потенціал, – це:</w:t>
            </w:r>
          </w:p>
        </w:tc>
      </w:tr>
      <w:tr w:rsidR="001B4D76" w:rsidRPr="001B4D76" w14:paraId="1074F054" w14:textId="77777777" w:rsidTr="00D1149C">
        <w:tc>
          <w:tcPr>
            <w:tcW w:w="734" w:type="dxa"/>
          </w:tcPr>
          <w:p w14:paraId="6D5649D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59" w:type="dxa"/>
          </w:tcPr>
          <w:p w14:paraId="225ACCF1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Адаптація, що спрямована на формування адаптивних властивостей, що прискорюють та підвищують рівень ефективності процесу адаптації організації до зовнішнього середовища, - це:</w:t>
            </w:r>
          </w:p>
        </w:tc>
      </w:tr>
      <w:tr w:rsidR="001B4D76" w:rsidRPr="001B4D76" w14:paraId="43861DBC" w14:textId="77777777" w:rsidTr="00D1149C">
        <w:tc>
          <w:tcPr>
            <w:tcW w:w="734" w:type="dxa"/>
          </w:tcPr>
          <w:p w14:paraId="7134718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59" w:type="dxa"/>
          </w:tcPr>
          <w:p w14:paraId="03F4059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Спосіб функціонування економічних відносин на будь-якому рівні, що характеризується високим рівнем гнучкості та адаптованості до змін у зовнішньому середовищі – це:</w:t>
            </w:r>
          </w:p>
        </w:tc>
      </w:tr>
      <w:tr w:rsidR="001B4D76" w:rsidRPr="001B4D76" w14:paraId="2B5434EE" w14:textId="77777777" w:rsidTr="00D1149C">
        <w:tc>
          <w:tcPr>
            <w:tcW w:w="734" w:type="dxa"/>
          </w:tcPr>
          <w:p w14:paraId="0B2F868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59" w:type="dxa"/>
          </w:tcPr>
          <w:p w14:paraId="39487243" w14:textId="77777777" w:rsidR="001B4D76" w:rsidRPr="001B4D76" w:rsidRDefault="001B4D76" w:rsidP="001B4D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- це …</w:t>
            </w:r>
          </w:p>
        </w:tc>
      </w:tr>
      <w:tr w:rsidR="001B4D76" w:rsidRPr="001B4D76" w14:paraId="4C5B1E2A" w14:textId="77777777" w:rsidTr="00D1149C">
        <w:tc>
          <w:tcPr>
            <w:tcW w:w="734" w:type="dxa"/>
          </w:tcPr>
          <w:p w14:paraId="587F57F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59" w:type="dxa"/>
          </w:tcPr>
          <w:p w14:paraId="285E7FD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основних ознак проекту не відноситься:</w:t>
            </w:r>
          </w:p>
        </w:tc>
      </w:tr>
      <w:tr w:rsidR="001B4D76" w:rsidRPr="001B4D76" w14:paraId="262916B0" w14:textId="77777777" w:rsidTr="00D1149C">
        <w:tc>
          <w:tcPr>
            <w:tcW w:w="734" w:type="dxa"/>
          </w:tcPr>
          <w:p w14:paraId="5EA120E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59" w:type="dxa"/>
          </w:tcPr>
          <w:p w14:paraId="66780A1E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 метою і характером діяльності проекти класифікуються наступним чином:</w:t>
            </w:r>
          </w:p>
        </w:tc>
      </w:tr>
      <w:tr w:rsidR="001B4D76" w:rsidRPr="001B4D76" w14:paraId="6CD5A4EC" w14:textId="77777777" w:rsidTr="00D1149C">
        <w:tc>
          <w:tcPr>
            <w:tcW w:w="734" w:type="dxa"/>
          </w:tcPr>
          <w:p w14:paraId="1158261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59" w:type="dxa"/>
          </w:tcPr>
          <w:p w14:paraId="7DBA3D7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 ступенем складності виділяють наступні проекти:</w:t>
            </w:r>
          </w:p>
        </w:tc>
      </w:tr>
      <w:tr w:rsidR="001B4D76" w:rsidRPr="001B4D76" w14:paraId="55435813" w14:textId="77777777" w:rsidTr="00D1149C">
        <w:tc>
          <w:tcPr>
            <w:tcW w:w="734" w:type="dxa"/>
          </w:tcPr>
          <w:p w14:paraId="5B24DAB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59" w:type="dxa"/>
          </w:tcPr>
          <w:p w14:paraId="2FE73E0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 тривалістю проекту розрізняють наступні види проектів:</w:t>
            </w:r>
          </w:p>
        </w:tc>
      </w:tr>
      <w:tr w:rsidR="001B4D76" w:rsidRPr="001B4D76" w14:paraId="1C280291" w14:textId="77777777" w:rsidTr="00D1149C">
        <w:tc>
          <w:tcPr>
            <w:tcW w:w="734" w:type="dxa"/>
          </w:tcPr>
          <w:p w14:paraId="1396C05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59" w:type="dxa"/>
          </w:tcPr>
          <w:p w14:paraId="195CE77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 складом і структурою проекту виділяють наступні їх види:</w:t>
            </w:r>
          </w:p>
        </w:tc>
      </w:tr>
      <w:tr w:rsidR="001B4D76" w:rsidRPr="001B4D76" w14:paraId="636AD3F5" w14:textId="77777777" w:rsidTr="00D1149C">
        <w:tc>
          <w:tcPr>
            <w:tcW w:w="734" w:type="dxa"/>
          </w:tcPr>
          <w:p w14:paraId="45F73BB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59" w:type="dxa"/>
          </w:tcPr>
          <w:p w14:paraId="38BA7016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За масштабом та розміром проекту розрізняють наступні види проектів:</w:t>
            </w:r>
          </w:p>
        </w:tc>
      </w:tr>
      <w:tr w:rsidR="001B4D76" w:rsidRPr="001B4D76" w14:paraId="266CFBB1" w14:textId="77777777" w:rsidTr="00D1149C">
        <w:tc>
          <w:tcPr>
            <w:tcW w:w="734" w:type="dxa"/>
          </w:tcPr>
          <w:p w14:paraId="1452414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59" w:type="dxa"/>
          </w:tcPr>
          <w:p w14:paraId="329F5AD9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проектами – це:</w:t>
            </w:r>
          </w:p>
        </w:tc>
      </w:tr>
      <w:tr w:rsidR="001B4D76" w:rsidRPr="001B4D76" w14:paraId="7DA1362E" w14:textId="77777777" w:rsidTr="00D1149C">
        <w:tc>
          <w:tcPr>
            <w:tcW w:w="734" w:type="dxa"/>
          </w:tcPr>
          <w:p w14:paraId="3E008C5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59" w:type="dxa"/>
          </w:tcPr>
          <w:p w14:paraId="3615CE89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Бажаний результат діяльності, який намагаються досягти за певний проміжок часу при заданих умовах – це:</w:t>
            </w:r>
          </w:p>
        </w:tc>
      </w:tr>
      <w:tr w:rsidR="001B4D76" w:rsidRPr="001B4D76" w14:paraId="24B21DAB" w14:textId="77777777" w:rsidTr="00D1149C">
        <w:tc>
          <w:tcPr>
            <w:tcW w:w="734" w:type="dxa"/>
          </w:tcPr>
          <w:p w14:paraId="2CA88FC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59" w:type="dxa"/>
          </w:tcPr>
          <w:p w14:paraId="59A1868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</w:tc>
      </w:tr>
      <w:tr w:rsidR="001B4D76" w:rsidRPr="001B4D76" w14:paraId="05E2CAEB" w14:textId="77777777" w:rsidTr="00D1149C">
        <w:tc>
          <w:tcPr>
            <w:tcW w:w="734" w:type="dxa"/>
          </w:tcPr>
          <w:p w14:paraId="6028E6E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59" w:type="dxa"/>
          </w:tcPr>
          <w:p w14:paraId="1C305969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облікових оцінках, не відноситься:</w:t>
            </w:r>
          </w:p>
        </w:tc>
      </w:tr>
      <w:tr w:rsidR="001B4D76" w:rsidRPr="001B4D76" w14:paraId="354E9BBD" w14:textId="77777777" w:rsidTr="00D1149C">
        <w:tc>
          <w:tcPr>
            <w:tcW w:w="734" w:type="dxa"/>
          </w:tcPr>
          <w:p w14:paraId="688F4E9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59" w:type="dxa"/>
          </w:tcPr>
          <w:p w14:paraId="5CC60F8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дисконтованих оцінках, не відноситься:</w:t>
            </w:r>
          </w:p>
        </w:tc>
      </w:tr>
      <w:tr w:rsidR="001B4D76" w:rsidRPr="001B4D76" w14:paraId="3C2378BF" w14:textId="77777777" w:rsidTr="00D1149C">
        <w:tc>
          <w:tcPr>
            <w:tcW w:w="734" w:type="dxa"/>
          </w:tcPr>
          <w:p w14:paraId="23B9788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59" w:type="dxa"/>
          </w:tcPr>
          <w:p w14:paraId="1D50B459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Співвідношенням між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та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визначається:</w:t>
            </w:r>
          </w:p>
        </w:tc>
      </w:tr>
      <w:tr w:rsidR="001B4D76" w:rsidRPr="001B4D76" w14:paraId="47CAD63F" w14:textId="77777777" w:rsidTr="00D1149C">
        <w:tc>
          <w:tcPr>
            <w:tcW w:w="734" w:type="dxa"/>
          </w:tcPr>
          <w:p w14:paraId="37DC1CFE" w14:textId="77777777" w:rsidR="001B4D76" w:rsidRPr="001B4D76" w:rsidRDefault="001B4D76" w:rsidP="001B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59" w:type="dxa"/>
          </w:tcPr>
          <w:p w14:paraId="1250FB71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Різниця між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і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становить наступний показник:</w:t>
            </w:r>
          </w:p>
        </w:tc>
      </w:tr>
      <w:tr w:rsidR="001B4D76" w:rsidRPr="001B4D76" w14:paraId="06E18804" w14:textId="77777777" w:rsidTr="00D1149C">
        <w:tc>
          <w:tcPr>
            <w:tcW w:w="734" w:type="dxa"/>
          </w:tcPr>
          <w:p w14:paraId="4B8A119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59" w:type="dxa"/>
          </w:tcPr>
          <w:p w14:paraId="0AD0C9F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Чистий грошовий потік визначається:</w:t>
            </w:r>
          </w:p>
        </w:tc>
      </w:tr>
      <w:tr w:rsidR="001B4D76" w:rsidRPr="001B4D76" w14:paraId="321D7829" w14:textId="77777777" w:rsidTr="00D1149C">
        <w:tc>
          <w:tcPr>
            <w:tcW w:w="734" w:type="dxa"/>
          </w:tcPr>
          <w:p w14:paraId="152BAF2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59" w:type="dxa"/>
          </w:tcPr>
          <w:p w14:paraId="47EB8A17" w14:textId="77777777" w:rsidR="001B4D76" w:rsidRPr="001B4D76" w:rsidRDefault="001B4D76" w:rsidP="001B4D7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1B4D76" w:rsidRPr="001B4D76" w14:paraId="30B31D8C" w14:textId="77777777" w:rsidTr="00D1149C">
        <w:tc>
          <w:tcPr>
            <w:tcW w:w="734" w:type="dxa"/>
          </w:tcPr>
          <w:p w14:paraId="2F9794A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59" w:type="dxa"/>
          </w:tcPr>
          <w:p w14:paraId="652DFF9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Показник, що відображає період часу, за який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продисконтовані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доходи повністю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покриють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продисконтовані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витрати:</w:t>
            </w:r>
          </w:p>
        </w:tc>
      </w:tr>
      <w:tr w:rsidR="001B4D76" w:rsidRPr="001B4D76" w14:paraId="03FD3FAD" w14:textId="77777777" w:rsidTr="00D1149C">
        <w:tc>
          <w:tcPr>
            <w:tcW w:w="734" w:type="dxa"/>
          </w:tcPr>
          <w:p w14:paraId="6281479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59" w:type="dxa"/>
          </w:tcPr>
          <w:p w14:paraId="14A473D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Чиста приведена вартість визначається за формулою:</w:t>
            </w:r>
          </w:p>
        </w:tc>
      </w:tr>
      <w:tr w:rsidR="001B4D76" w:rsidRPr="001B4D76" w14:paraId="44C20E52" w14:textId="77777777" w:rsidTr="00D1149C">
        <w:tc>
          <w:tcPr>
            <w:tcW w:w="734" w:type="dxa"/>
          </w:tcPr>
          <w:p w14:paraId="25807C4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9" w:type="dxa"/>
          </w:tcPr>
          <w:p w14:paraId="4D2CA4F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Дисконтований період окупності визначається за формулою:</w:t>
            </w:r>
          </w:p>
        </w:tc>
      </w:tr>
      <w:tr w:rsidR="001B4D76" w:rsidRPr="001B4D76" w14:paraId="35A3EBA4" w14:textId="77777777" w:rsidTr="00D1149C">
        <w:trPr>
          <w:trHeight w:val="369"/>
        </w:trPr>
        <w:tc>
          <w:tcPr>
            <w:tcW w:w="734" w:type="dxa"/>
          </w:tcPr>
          <w:p w14:paraId="63AC312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125596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759" w:type="dxa"/>
          </w:tcPr>
          <w:p w14:paraId="5FE6D5C6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bookmarkEnd w:id="0"/>
      <w:tr w:rsidR="001B4D76" w:rsidRPr="001B4D76" w14:paraId="356A02C7" w14:textId="77777777" w:rsidTr="00D1149C">
        <w:tc>
          <w:tcPr>
            <w:tcW w:w="734" w:type="dxa"/>
          </w:tcPr>
          <w:p w14:paraId="6C93BCD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59" w:type="dxa"/>
          </w:tcPr>
          <w:p w14:paraId="7AC01171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1B4D76" w:rsidRPr="001B4D76" w14:paraId="29D175D2" w14:textId="77777777" w:rsidTr="00D1149C">
        <w:tc>
          <w:tcPr>
            <w:tcW w:w="734" w:type="dxa"/>
          </w:tcPr>
          <w:p w14:paraId="3EF9675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59" w:type="dxa"/>
          </w:tcPr>
          <w:p w14:paraId="00FDF5F5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Знайти чисту приведену вартість проекту, якщо відомо, що сума </w:t>
            </w:r>
            <w:proofErr w:type="spellStart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продисконтованих</w:t>
            </w:r>
            <w:proofErr w:type="spellEnd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грошових потоків становить 750 тис. грн., сума </w:t>
            </w:r>
            <w:proofErr w:type="spellStart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продисконтованих</w:t>
            </w:r>
            <w:proofErr w:type="spellEnd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інвестиційних витрат 560 тис. грн.</w:t>
            </w:r>
          </w:p>
        </w:tc>
      </w:tr>
      <w:tr w:rsidR="001B4D76" w:rsidRPr="001B4D76" w14:paraId="6679E52B" w14:textId="77777777" w:rsidTr="00D1149C">
        <w:tc>
          <w:tcPr>
            <w:tcW w:w="734" w:type="dxa"/>
          </w:tcPr>
          <w:p w14:paraId="63A1CD8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59" w:type="dxa"/>
          </w:tcPr>
          <w:p w14:paraId="5155DFD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Знайти індекс доходності проекту </w:t>
            </w:r>
            <w:proofErr w:type="spellStart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проекту</w:t>
            </w:r>
            <w:proofErr w:type="spellEnd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, якщо відомо, що сума </w:t>
            </w:r>
            <w:proofErr w:type="spellStart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продисконтованих</w:t>
            </w:r>
            <w:proofErr w:type="spellEnd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грошових потоків становить 750 тис. грн., сума </w:t>
            </w:r>
            <w:proofErr w:type="spellStart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продисконтованих</w:t>
            </w:r>
            <w:proofErr w:type="spellEnd"/>
            <w:r w:rsidRPr="001B4D7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інвестиційних витрат 560 тис. грн.</w:t>
            </w:r>
          </w:p>
        </w:tc>
      </w:tr>
      <w:tr w:rsidR="001B4D76" w:rsidRPr="001B4D76" w14:paraId="57C857D0" w14:textId="77777777" w:rsidTr="00D1149C">
        <w:tc>
          <w:tcPr>
            <w:tcW w:w="734" w:type="dxa"/>
          </w:tcPr>
          <w:p w14:paraId="6D59923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59" w:type="dxa"/>
          </w:tcPr>
          <w:p w14:paraId="204A2709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Інформаційно-динамічна модель, що відображає усі взаємозв’язки та результати робіт, - це:</w:t>
            </w:r>
          </w:p>
        </w:tc>
      </w:tr>
      <w:tr w:rsidR="001B4D76" w:rsidRPr="001B4D76" w14:paraId="62A6A11D" w14:textId="77777777" w:rsidTr="00D1149C">
        <w:tc>
          <w:tcPr>
            <w:tcW w:w="734" w:type="dxa"/>
          </w:tcPr>
          <w:p w14:paraId="3BDDB4B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59" w:type="dxa"/>
          </w:tcPr>
          <w:p w14:paraId="436A5E0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Сіткове планування – це:</w:t>
            </w:r>
          </w:p>
        </w:tc>
      </w:tr>
      <w:tr w:rsidR="001B4D76" w:rsidRPr="001B4D76" w14:paraId="5C97EC01" w14:textId="77777777" w:rsidTr="00D1149C">
        <w:tc>
          <w:tcPr>
            <w:tcW w:w="734" w:type="dxa"/>
          </w:tcPr>
          <w:p w14:paraId="2D7FBC9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759" w:type="dxa"/>
          </w:tcPr>
          <w:p w14:paraId="1871B0C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Сіткові графіки, що мають зображення у вигляді кіл та поєднанні стрілками для визначення логічних </w:t>
            </w:r>
            <w:proofErr w:type="spellStart"/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зв’язків</w:t>
            </w:r>
            <w:proofErr w:type="spellEnd"/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між роботами називаються:</w:t>
            </w:r>
          </w:p>
        </w:tc>
      </w:tr>
      <w:tr w:rsidR="001B4D76" w:rsidRPr="001B4D76" w14:paraId="1AE9D06A" w14:textId="77777777" w:rsidTr="00D1149C">
        <w:tc>
          <w:tcPr>
            <w:tcW w:w="734" w:type="dxa"/>
          </w:tcPr>
          <w:p w14:paraId="4B45CC2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59" w:type="dxa"/>
          </w:tcPr>
          <w:p w14:paraId="4FB62D04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Яка з груп процесів проектного менеджменту має найбільшу питому вагу серед усіх процесів управління проектами?</w:t>
            </w:r>
          </w:p>
        </w:tc>
      </w:tr>
      <w:tr w:rsidR="001B4D76" w:rsidRPr="001B4D76" w14:paraId="1F8F0C38" w14:textId="77777777" w:rsidTr="00D1149C">
        <w:tc>
          <w:tcPr>
            <w:tcW w:w="734" w:type="dxa"/>
          </w:tcPr>
          <w:p w14:paraId="16ED43C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59" w:type="dxa"/>
          </w:tcPr>
          <w:p w14:paraId="274F12C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Критичним шляхом називається:</w:t>
            </w:r>
          </w:p>
        </w:tc>
      </w:tr>
      <w:tr w:rsidR="001B4D76" w:rsidRPr="001B4D76" w14:paraId="1B113411" w14:textId="77777777" w:rsidTr="00D1149C">
        <w:tc>
          <w:tcPr>
            <w:tcW w:w="734" w:type="dxa"/>
          </w:tcPr>
          <w:p w14:paraId="4DD48A3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59" w:type="dxa"/>
          </w:tcPr>
          <w:p w14:paraId="6DC78A4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Управління ризиками – це:</w:t>
            </w:r>
          </w:p>
        </w:tc>
      </w:tr>
      <w:tr w:rsidR="001B4D76" w:rsidRPr="001B4D76" w14:paraId="0A458B99" w14:textId="77777777" w:rsidTr="00D1149C">
        <w:tc>
          <w:tcPr>
            <w:tcW w:w="734" w:type="dxa"/>
          </w:tcPr>
          <w:p w14:paraId="7E073B5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59" w:type="dxa"/>
          </w:tcPr>
          <w:p w14:paraId="767BE67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Точка беззбитковості проекту  – це:</w:t>
            </w:r>
          </w:p>
        </w:tc>
      </w:tr>
      <w:tr w:rsidR="001B4D76" w:rsidRPr="001B4D76" w14:paraId="3DC23B58" w14:textId="77777777" w:rsidTr="00D1149C">
        <w:tc>
          <w:tcPr>
            <w:tcW w:w="734" w:type="dxa"/>
          </w:tcPr>
          <w:p w14:paraId="290925C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759" w:type="dxa"/>
          </w:tcPr>
          <w:p w14:paraId="5EFA274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методів зниження ризиків слід віднести:</w:t>
            </w:r>
          </w:p>
        </w:tc>
      </w:tr>
      <w:tr w:rsidR="001B4D76" w:rsidRPr="001B4D76" w14:paraId="25E783C8" w14:textId="77777777" w:rsidTr="00D1149C">
        <w:tc>
          <w:tcPr>
            <w:tcW w:w="734" w:type="dxa"/>
          </w:tcPr>
          <w:p w14:paraId="5F6B634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59" w:type="dxa"/>
          </w:tcPr>
          <w:p w14:paraId="35CD73F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період окупності (РР) інноваційного проекту, якщо капітальні вкладення дорівнюють 252 тис. грн., життєвий цикл проекту – 7 років, ліквідаційна вартість проекту – 17 тис. грн.,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шорічні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грошові потоки, які надходять від проекту з наступного за роком капітальних вкладень, становлять 72 тис. грн. </w:t>
            </w:r>
          </w:p>
        </w:tc>
      </w:tr>
      <w:tr w:rsidR="001B4D76" w:rsidRPr="001B4D76" w14:paraId="219FCE7F" w14:textId="77777777" w:rsidTr="00D1149C">
        <w:tc>
          <w:tcPr>
            <w:tcW w:w="734" w:type="dxa"/>
          </w:tcPr>
          <w:p w14:paraId="3DB7657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59" w:type="dxa"/>
          </w:tcPr>
          <w:p w14:paraId="3FBBC5C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чисту теперішню вартість інноваційного проекту, якщо капітальні вкладення дорівнюють 250 тис. грн., життєвий цикл проекту – 7 років, ліквідаційна вартість проекту – 17 тис. грн.,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шорічні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дисконтовані грошові потоки, які надходять від проекту з наступного за роком капітальних вкладень (з 2 року проекту), становлять 72 тис. грн.</w:t>
            </w:r>
          </w:p>
        </w:tc>
      </w:tr>
      <w:tr w:rsidR="001B4D76" w:rsidRPr="001B4D76" w14:paraId="5F61C6A1" w14:textId="77777777" w:rsidTr="00D1149C">
        <w:tc>
          <w:tcPr>
            <w:tcW w:w="734" w:type="dxa"/>
          </w:tcPr>
          <w:p w14:paraId="0AC1982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59" w:type="dxa"/>
          </w:tcPr>
          <w:p w14:paraId="3FF61A75" w14:textId="77777777" w:rsidR="001B4D76" w:rsidRPr="001B4D76" w:rsidRDefault="001B4D76" w:rsidP="001B4D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B4D76">
              <w:rPr>
                <w:sz w:val="28"/>
                <w:szCs w:val="28"/>
                <w:lang w:val="uk-UA"/>
              </w:rPr>
              <w:t>Ризик – це:</w:t>
            </w:r>
          </w:p>
        </w:tc>
      </w:tr>
      <w:tr w:rsidR="001B4D76" w:rsidRPr="001B4D76" w14:paraId="69F5CC36" w14:textId="77777777" w:rsidTr="00D1149C">
        <w:tc>
          <w:tcPr>
            <w:tcW w:w="734" w:type="dxa"/>
          </w:tcPr>
          <w:p w14:paraId="450DFD4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BF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Ризик,</w:t>
            </w: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1B4D76" w:rsidRPr="001B4D76" w14:paraId="6ECAE892" w14:textId="77777777" w:rsidTr="00D1149C">
        <w:tc>
          <w:tcPr>
            <w:tcW w:w="734" w:type="dxa"/>
          </w:tcPr>
          <w:p w14:paraId="15A81E0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69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1B4D76" w:rsidRPr="001B4D76" w14:paraId="0B2FCC60" w14:textId="77777777" w:rsidTr="00D1149C">
        <w:tc>
          <w:tcPr>
            <w:tcW w:w="734" w:type="dxa"/>
          </w:tcPr>
          <w:p w14:paraId="794923D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0A96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Ризик, </w:t>
            </w: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пов'язаний з можливістю невиконання фірмою своїх фінансових зобов'язань, - це: </w:t>
            </w:r>
          </w:p>
        </w:tc>
      </w:tr>
      <w:tr w:rsidR="001B4D76" w:rsidRPr="001B4D76" w14:paraId="53AF01B6" w14:textId="77777777" w:rsidTr="00D1149C">
        <w:tc>
          <w:tcPr>
            <w:tcW w:w="734" w:type="dxa"/>
          </w:tcPr>
          <w:p w14:paraId="43C034F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59" w:type="dxa"/>
          </w:tcPr>
          <w:p w14:paraId="3FBD13D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Ендогенні ризики – це:</w:t>
            </w:r>
          </w:p>
        </w:tc>
      </w:tr>
      <w:tr w:rsidR="001B4D76" w:rsidRPr="001B4D76" w14:paraId="346BD034" w14:textId="77777777" w:rsidTr="00D1149C">
        <w:tc>
          <w:tcPr>
            <w:tcW w:w="734" w:type="dxa"/>
          </w:tcPr>
          <w:p w14:paraId="7BE17E7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59" w:type="dxa"/>
          </w:tcPr>
          <w:p w14:paraId="14BD121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Екзогенні ризики – це:</w:t>
            </w:r>
          </w:p>
        </w:tc>
      </w:tr>
      <w:tr w:rsidR="001B4D76" w:rsidRPr="001B4D76" w14:paraId="76FC6A5A" w14:textId="77777777" w:rsidTr="00D1149C">
        <w:tc>
          <w:tcPr>
            <w:tcW w:w="734" w:type="dxa"/>
          </w:tcPr>
          <w:p w14:paraId="271F182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8759" w:type="dxa"/>
          </w:tcPr>
          <w:p w14:paraId="6EEF8CE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1B4D76" w:rsidRPr="001B4D76" w14:paraId="11E466A5" w14:textId="77777777" w:rsidTr="00D1149C">
        <w:tc>
          <w:tcPr>
            <w:tcW w:w="734" w:type="dxa"/>
          </w:tcPr>
          <w:p w14:paraId="4C88FDF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59" w:type="dxa"/>
          </w:tcPr>
          <w:p w14:paraId="3E8510D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1B4D76" w:rsidRPr="001B4D76" w14:paraId="1B8A8C6E" w14:textId="77777777" w:rsidTr="00D1149C">
        <w:tc>
          <w:tcPr>
            <w:tcW w:w="734" w:type="dxa"/>
          </w:tcPr>
          <w:p w14:paraId="02428D8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59" w:type="dxa"/>
          </w:tcPr>
          <w:p w14:paraId="4E3D2A3F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1B4D76" w:rsidRPr="001B4D76" w14:paraId="046106DC" w14:textId="77777777" w:rsidTr="00D1149C">
        <w:tc>
          <w:tcPr>
            <w:tcW w:w="734" w:type="dxa"/>
          </w:tcPr>
          <w:p w14:paraId="2D3A24C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759" w:type="dxa"/>
          </w:tcPr>
          <w:p w14:paraId="2AA12DA6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1B4D76" w:rsidRPr="001B4D76" w14:paraId="29A32212" w14:textId="77777777" w:rsidTr="00D1149C">
        <w:tc>
          <w:tcPr>
            <w:tcW w:w="734" w:type="dxa"/>
          </w:tcPr>
          <w:p w14:paraId="1950D95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59" w:type="dxa"/>
          </w:tcPr>
          <w:p w14:paraId="4DAE0FD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визначення точки беззбитковості використовують методи:</w:t>
            </w:r>
          </w:p>
        </w:tc>
      </w:tr>
      <w:tr w:rsidR="001B4D76" w:rsidRPr="001B4D76" w14:paraId="0DC9DDAE" w14:textId="77777777" w:rsidTr="00D1149C">
        <w:tc>
          <w:tcPr>
            <w:tcW w:w="734" w:type="dxa"/>
          </w:tcPr>
          <w:p w14:paraId="725EDA6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59" w:type="dxa"/>
          </w:tcPr>
          <w:p w14:paraId="3BECFD9A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беззбитковості ґрунтується на дослідженні наступних показників діяльності підприємства (знайти неправильну відповідь):</w:t>
            </w:r>
          </w:p>
        </w:tc>
      </w:tr>
      <w:tr w:rsidR="001B4D76" w:rsidRPr="001B4D76" w14:paraId="6E03482E" w14:textId="77777777" w:rsidTr="00D1149C">
        <w:tc>
          <w:tcPr>
            <w:tcW w:w="734" w:type="dxa"/>
          </w:tcPr>
          <w:p w14:paraId="144A22C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59" w:type="dxa"/>
          </w:tcPr>
          <w:p w14:paraId="7B25A3A1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Постійні витрати за проектом становлять 930 тис. грн., ціна за одиницю продукції складає 9500 грн., собівартість одиниці продукції – 8000 грн. Точка беззбитковості становить:</w:t>
            </w:r>
          </w:p>
        </w:tc>
      </w:tr>
      <w:tr w:rsidR="001B4D76" w:rsidRPr="001B4D76" w14:paraId="00F13FF6" w14:textId="77777777" w:rsidTr="00D1149C">
        <w:tc>
          <w:tcPr>
            <w:tcW w:w="734" w:type="dxa"/>
          </w:tcPr>
          <w:p w14:paraId="0EF4EDB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59" w:type="dxa"/>
          </w:tcPr>
          <w:p w14:paraId="6551748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Постійні витрати за проектом становлять 900 тис. грн., ціна за одиницю продукції складає 9000 грн., собівартість одиниці продукції – 7000 грн. Точка беззбитковості становить:</w:t>
            </w:r>
          </w:p>
        </w:tc>
      </w:tr>
      <w:tr w:rsidR="001B4D76" w:rsidRPr="001B4D76" w14:paraId="3D34EB64" w14:textId="77777777" w:rsidTr="00D1149C">
        <w:tc>
          <w:tcPr>
            <w:tcW w:w="734" w:type="dxa"/>
          </w:tcPr>
          <w:p w14:paraId="422F61B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59" w:type="dxa"/>
          </w:tcPr>
          <w:p w14:paraId="2EC45671" w14:textId="77777777" w:rsidR="001B4D76" w:rsidRPr="001B4D76" w:rsidRDefault="001B4D76" w:rsidP="001B4D7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показників оцінки поточного стану обладнання відносяться:</w:t>
            </w:r>
          </w:p>
        </w:tc>
      </w:tr>
      <w:tr w:rsidR="001B4D76" w:rsidRPr="001B4D76" w14:paraId="191D83A4" w14:textId="77777777" w:rsidTr="00D1149C">
        <w:tc>
          <w:tcPr>
            <w:tcW w:w="734" w:type="dxa"/>
          </w:tcPr>
          <w:p w14:paraId="323739F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59" w:type="dxa"/>
          </w:tcPr>
          <w:p w14:paraId="0BB77C0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показників руху технічних ресурсів не відноситься:</w:t>
            </w:r>
          </w:p>
        </w:tc>
      </w:tr>
      <w:tr w:rsidR="001B4D76" w:rsidRPr="001B4D76" w14:paraId="0D4E7BD4" w14:textId="77777777" w:rsidTr="00D1149C">
        <w:tc>
          <w:tcPr>
            <w:tcW w:w="734" w:type="dxa"/>
          </w:tcPr>
          <w:p w14:paraId="1C4FEA6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59" w:type="dxa"/>
          </w:tcPr>
          <w:p w14:paraId="40E0DB6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Коефіцієнт зносу визначається як відношення:</w:t>
            </w:r>
          </w:p>
        </w:tc>
      </w:tr>
      <w:tr w:rsidR="001B4D76" w:rsidRPr="001B4D76" w14:paraId="5FCBEF87" w14:textId="77777777" w:rsidTr="00D1149C">
        <w:tc>
          <w:tcPr>
            <w:tcW w:w="734" w:type="dxa"/>
          </w:tcPr>
          <w:p w14:paraId="16F1335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59" w:type="dxa"/>
          </w:tcPr>
          <w:p w14:paraId="3E4B0A03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Обсяг виробництва в звітному році склав 1800 тис. грн., середньорічна вартість оборотних активів – 300 тис. грн. Коефіцієнт оборотності оборотних активів складе:</w:t>
            </w:r>
          </w:p>
        </w:tc>
      </w:tr>
      <w:tr w:rsidR="001B4D76" w:rsidRPr="001B4D76" w14:paraId="385F57DF" w14:textId="77777777" w:rsidTr="00D1149C">
        <w:tc>
          <w:tcPr>
            <w:tcW w:w="734" w:type="dxa"/>
          </w:tcPr>
          <w:p w14:paraId="2DB0F11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59" w:type="dxa"/>
          </w:tcPr>
          <w:p w14:paraId="781E2AD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Розрахуйте вартість основних засобів, яка амортизується, якщо первісна вартість становить 390 тис. грн., а ліквідаційна вартість 50 тис. грн.:</w:t>
            </w:r>
          </w:p>
        </w:tc>
      </w:tr>
      <w:tr w:rsidR="001B4D76" w:rsidRPr="001B4D76" w14:paraId="5B2ABEB9" w14:textId="77777777" w:rsidTr="00D1149C">
        <w:tc>
          <w:tcPr>
            <w:tcW w:w="734" w:type="dxa"/>
          </w:tcPr>
          <w:p w14:paraId="3CBADBF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59" w:type="dxa"/>
          </w:tcPr>
          <w:p w14:paraId="67950697" w14:textId="77777777" w:rsidR="001B4D76" w:rsidRPr="001B4D76" w:rsidRDefault="001B4D76" w:rsidP="001B4D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Визначте показник фондомісткості, якщо показник фондовіддачі становить 2,5:</w:t>
            </w:r>
          </w:p>
        </w:tc>
      </w:tr>
      <w:tr w:rsidR="001B4D76" w:rsidRPr="001B4D76" w14:paraId="1E27B2B1" w14:textId="77777777" w:rsidTr="00D1149C">
        <w:tc>
          <w:tcPr>
            <w:tcW w:w="734" w:type="dxa"/>
          </w:tcPr>
          <w:p w14:paraId="11E3A05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59" w:type="dxa"/>
          </w:tcPr>
          <w:p w14:paraId="648A067C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</w:tr>
      <w:tr w:rsidR="001B4D76" w:rsidRPr="001B4D76" w14:paraId="125CCF0B" w14:textId="77777777" w:rsidTr="00D1149C">
        <w:tc>
          <w:tcPr>
            <w:tcW w:w="734" w:type="dxa"/>
          </w:tcPr>
          <w:p w14:paraId="73FEFC8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59" w:type="dxa"/>
          </w:tcPr>
          <w:p w14:paraId="1829B04A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Первісна вартість основних виробничих засобів 332 тис. грн., нарахована за період експлуатації сума амортизаційних відрахувань – 48 тис. грн. Коефіцієнт зносу становить:</w:t>
            </w:r>
          </w:p>
        </w:tc>
      </w:tr>
      <w:tr w:rsidR="001B4D76" w:rsidRPr="001B4D76" w14:paraId="1BAF375D" w14:textId="77777777" w:rsidTr="00D1149C">
        <w:tc>
          <w:tcPr>
            <w:tcW w:w="734" w:type="dxa"/>
          </w:tcPr>
          <w:p w14:paraId="0D7F896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59" w:type="dxa"/>
          </w:tcPr>
          <w:p w14:paraId="70C6F4EE" w14:textId="77777777" w:rsidR="001B4D76" w:rsidRPr="001B4D76" w:rsidRDefault="001B4D76" w:rsidP="001B4D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Якісними характеристиками працівників підприємства є:</w:t>
            </w:r>
          </w:p>
        </w:tc>
      </w:tr>
      <w:tr w:rsidR="001B4D76" w:rsidRPr="001B4D76" w14:paraId="227725DD" w14:textId="77777777" w:rsidTr="00D1149C">
        <w:tc>
          <w:tcPr>
            <w:tcW w:w="734" w:type="dxa"/>
          </w:tcPr>
          <w:p w14:paraId="2BEBA9A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59" w:type="dxa"/>
          </w:tcPr>
          <w:p w14:paraId="0AD82E5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Персонал підприємства являє собою:</w:t>
            </w:r>
          </w:p>
        </w:tc>
      </w:tr>
      <w:tr w:rsidR="001B4D76" w:rsidRPr="001B4D76" w14:paraId="1FF866D0" w14:textId="77777777" w:rsidTr="00D1149C">
        <w:tc>
          <w:tcPr>
            <w:tcW w:w="734" w:type="dxa"/>
          </w:tcPr>
          <w:p w14:paraId="4FF449B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59" w:type="dxa"/>
          </w:tcPr>
          <w:p w14:paraId="69BD587B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Працівники, які приймають безпосередню участь у виробничому процесі підприємства, виконують роботи та надають послуги, відносяться до наступної категорії персоналу:</w:t>
            </w:r>
          </w:p>
        </w:tc>
      </w:tr>
      <w:tr w:rsidR="001B4D76" w:rsidRPr="001B4D76" w14:paraId="743545D4" w14:textId="77777777" w:rsidTr="00D1149C">
        <w:tc>
          <w:tcPr>
            <w:tcW w:w="734" w:type="dxa"/>
          </w:tcPr>
          <w:p w14:paraId="178D044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59" w:type="dxa"/>
          </w:tcPr>
          <w:p w14:paraId="17E9823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Особи з високим рівнем освіти та достатньою професійною підготовкою, які безпосередньо зайняті управлінням, відносяться до наступної категорії персоналу:</w:t>
            </w:r>
          </w:p>
        </w:tc>
      </w:tr>
      <w:tr w:rsidR="001B4D76" w:rsidRPr="001B4D76" w14:paraId="7B8D83FF" w14:textId="77777777" w:rsidTr="00D1149C">
        <w:tc>
          <w:tcPr>
            <w:tcW w:w="734" w:type="dxa"/>
          </w:tcPr>
          <w:p w14:paraId="3AC4CBA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759" w:type="dxa"/>
          </w:tcPr>
          <w:p w14:paraId="2AC5A667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Працівники, що здійснюють підготовку та оформлення документації, облік і контроль за діяльністю підприємства, господарське обслуговування відносяться до наступної категорії персоналу:</w:t>
            </w:r>
          </w:p>
        </w:tc>
      </w:tr>
      <w:tr w:rsidR="001B4D76" w:rsidRPr="001B4D76" w14:paraId="51E91BB9" w14:textId="77777777" w:rsidTr="00D1149C">
        <w:tc>
          <w:tcPr>
            <w:tcW w:w="734" w:type="dxa"/>
          </w:tcPr>
          <w:p w14:paraId="7F0DD1E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59" w:type="dxa"/>
          </w:tcPr>
          <w:p w14:paraId="5039BBD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впливу на формування персоналу підприємства відноситься:</w:t>
            </w:r>
          </w:p>
        </w:tc>
      </w:tr>
      <w:tr w:rsidR="001B4D76" w:rsidRPr="001B4D76" w14:paraId="6EEEADA4" w14:textId="77777777" w:rsidTr="00D1149C">
        <w:tc>
          <w:tcPr>
            <w:tcW w:w="734" w:type="dxa"/>
          </w:tcPr>
          <w:p w14:paraId="76D96D8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59" w:type="dxa"/>
          </w:tcPr>
          <w:p w14:paraId="0E4B043F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 впливу на формування персоналу підприємства відноситься:</w:t>
            </w:r>
          </w:p>
        </w:tc>
      </w:tr>
      <w:tr w:rsidR="001B4D76" w:rsidRPr="001B4D76" w14:paraId="013496BF" w14:textId="77777777" w:rsidTr="00D1149C">
        <w:tc>
          <w:tcPr>
            <w:tcW w:w="734" w:type="dxa"/>
          </w:tcPr>
          <w:p w14:paraId="558854B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59" w:type="dxa"/>
          </w:tcPr>
          <w:p w14:paraId="6A274FF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Метод планування персоналу, суть якого полягає в перенесенні минулих тенденцій, змін у величині сукупної робочої сили та її структури на майбутнє, називається:</w:t>
            </w:r>
          </w:p>
        </w:tc>
      </w:tr>
      <w:tr w:rsidR="001B4D76" w:rsidRPr="001B4D76" w14:paraId="39835F65" w14:textId="77777777" w:rsidTr="00D1149C">
        <w:tc>
          <w:tcPr>
            <w:tcW w:w="734" w:type="dxa"/>
          </w:tcPr>
          <w:p w14:paraId="5987DE3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759" w:type="dxa"/>
          </w:tcPr>
          <w:p w14:paraId="4C6428F0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принципів, ідей, вимог, що визначають основні напрями роботи з персоналом, її форми і методи складає:</w:t>
            </w:r>
          </w:p>
        </w:tc>
      </w:tr>
      <w:tr w:rsidR="001B4D76" w:rsidRPr="001B4D76" w14:paraId="6067121F" w14:textId="77777777" w:rsidTr="00D1149C">
        <w:tc>
          <w:tcPr>
            <w:tcW w:w="734" w:type="dxa"/>
          </w:tcPr>
          <w:p w14:paraId="7FEF883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59" w:type="dxa"/>
          </w:tcPr>
          <w:p w14:paraId="2349C71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цілей кадрової політики підприємства не відноситься:</w:t>
            </w:r>
          </w:p>
        </w:tc>
      </w:tr>
      <w:tr w:rsidR="001B4D76" w:rsidRPr="001B4D76" w14:paraId="3B1BD78A" w14:textId="77777777" w:rsidTr="00D1149C">
        <w:tc>
          <w:tcPr>
            <w:tcW w:w="734" w:type="dxa"/>
          </w:tcPr>
          <w:p w14:paraId="6D2F108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59" w:type="dxa"/>
          </w:tcPr>
          <w:p w14:paraId="41998F50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показників ефективності кадрової політики не відноситься:</w:t>
            </w:r>
          </w:p>
        </w:tc>
      </w:tr>
      <w:tr w:rsidR="001B4D76" w:rsidRPr="001B4D76" w14:paraId="491AAA04" w14:textId="77777777" w:rsidTr="00D1149C">
        <w:tc>
          <w:tcPr>
            <w:tcW w:w="734" w:type="dxa"/>
          </w:tcPr>
          <w:p w14:paraId="36289D0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759" w:type="dxa"/>
          </w:tcPr>
          <w:p w14:paraId="4F1DE65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Опис управлінської складової проекту відображається у наступному розділі бізнес-плану:</w:t>
            </w:r>
          </w:p>
        </w:tc>
      </w:tr>
      <w:tr w:rsidR="001B4D76" w:rsidRPr="001B4D76" w14:paraId="7F590BE9" w14:textId="77777777" w:rsidTr="00D1149C">
        <w:tc>
          <w:tcPr>
            <w:tcW w:w="734" w:type="dxa"/>
          </w:tcPr>
          <w:p w14:paraId="1EF9327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59" w:type="dxa"/>
          </w:tcPr>
          <w:p w14:paraId="591114D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Опис чисельності та основних характеристик працівників, задіяних у виробництві, наводиться у наступному розділі бізнес-плану:</w:t>
            </w:r>
          </w:p>
        </w:tc>
      </w:tr>
      <w:tr w:rsidR="001B4D76" w:rsidRPr="001B4D76" w14:paraId="120730BD" w14:textId="77777777" w:rsidTr="00D1149C">
        <w:tc>
          <w:tcPr>
            <w:tcW w:w="734" w:type="dxa"/>
          </w:tcPr>
          <w:p w14:paraId="162AF65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59" w:type="dxa"/>
          </w:tcPr>
          <w:p w14:paraId="093A060F" w14:textId="77777777" w:rsidR="001B4D76" w:rsidRPr="001B4D76" w:rsidRDefault="001B4D76" w:rsidP="001B4D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форм залучення працівників не відноситься:</w:t>
            </w:r>
          </w:p>
        </w:tc>
      </w:tr>
      <w:tr w:rsidR="001B4D76" w:rsidRPr="001B4D76" w14:paraId="39472303" w14:textId="77777777" w:rsidTr="00D1149C">
        <w:tc>
          <w:tcPr>
            <w:tcW w:w="734" w:type="dxa"/>
          </w:tcPr>
          <w:p w14:paraId="38E57A7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59" w:type="dxa"/>
          </w:tcPr>
          <w:p w14:paraId="5698A6E2" w14:textId="77777777" w:rsidR="001B4D76" w:rsidRPr="001B4D76" w:rsidRDefault="001B4D76" w:rsidP="001B4D76">
            <w:pPr>
              <w:tabs>
                <w:tab w:val="left" w:pos="5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форм оплати праці не відноситься: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B4D76" w:rsidRPr="001B4D76" w14:paraId="2281300F" w14:textId="77777777" w:rsidTr="00D1149C">
        <w:tc>
          <w:tcPr>
            <w:tcW w:w="734" w:type="dxa"/>
          </w:tcPr>
          <w:p w14:paraId="79170E0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59" w:type="dxa"/>
          </w:tcPr>
          <w:p w14:paraId="0482A1A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нарахування певного відсотка (або розміру) премії у випадку виконання/  перевиконання плану, називається:</w:t>
            </w:r>
          </w:p>
        </w:tc>
      </w:tr>
      <w:tr w:rsidR="001B4D76" w:rsidRPr="001B4D76" w14:paraId="298AF8EA" w14:textId="77777777" w:rsidTr="00D1149C">
        <w:tc>
          <w:tcPr>
            <w:tcW w:w="734" w:type="dxa"/>
          </w:tcPr>
          <w:p w14:paraId="511D6A7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759" w:type="dxa"/>
          </w:tcPr>
          <w:p w14:paraId="708B42B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підвищеної розцінки за одиницю продукції, виготовлену понад норму, називається:</w:t>
            </w:r>
          </w:p>
        </w:tc>
      </w:tr>
      <w:tr w:rsidR="001B4D76" w:rsidRPr="001B4D76" w14:paraId="6131CFBF" w14:textId="77777777" w:rsidTr="00D1149C">
        <w:tc>
          <w:tcPr>
            <w:tcW w:w="734" w:type="dxa"/>
          </w:tcPr>
          <w:p w14:paraId="537BF6D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59" w:type="dxa"/>
          </w:tcPr>
          <w:p w14:paraId="55BA253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Визначити виробіток на одного працюючого, якщо обсяг виготовленої продукції у звітному періоді становить 360,0 тис. грн., а середньооблікова чисельність працівників – 16 осіб:</w:t>
            </w:r>
          </w:p>
        </w:tc>
      </w:tr>
      <w:tr w:rsidR="001B4D76" w:rsidRPr="001B4D76" w14:paraId="01D622DF" w14:textId="77777777" w:rsidTr="00D1149C">
        <w:tc>
          <w:tcPr>
            <w:tcW w:w="734" w:type="dxa"/>
          </w:tcPr>
          <w:p w14:paraId="4EFBB16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59" w:type="dxa"/>
          </w:tcPr>
          <w:p w14:paraId="28D155D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Підприємство мало середньооблікову чисельність штатних працівників облікового складу: у січні – 620 осіб, у лютому – 640, у березні – 690. Середньооблікова чисельність працівників у першому кварталі складе:</w:t>
            </w:r>
          </w:p>
        </w:tc>
      </w:tr>
      <w:tr w:rsidR="001B4D76" w:rsidRPr="001B4D76" w14:paraId="1BD11E40" w14:textId="77777777" w:rsidTr="00D1149C">
        <w:tc>
          <w:tcPr>
            <w:tcW w:w="734" w:type="dxa"/>
          </w:tcPr>
          <w:p w14:paraId="0F0486B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59" w:type="dxa"/>
          </w:tcPr>
          <w:p w14:paraId="3BB14C83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Визначити продуктивність праці працівників підприємства у 2018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4D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році, якщо чистий доход (виручка) від реалізації продукції (товарів, робіт, послуг) склав 1200000 грн., а середньооблікова чисельність працівників 200 осіб:</w:t>
            </w:r>
          </w:p>
        </w:tc>
      </w:tr>
      <w:tr w:rsidR="001B4D76" w:rsidRPr="001B4D76" w14:paraId="5F5B2333" w14:textId="77777777" w:rsidTr="00D1149C">
        <w:tc>
          <w:tcPr>
            <w:tcW w:w="734" w:type="dxa"/>
          </w:tcPr>
          <w:p w14:paraId="40823CD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59" w:type="dxa"/>
          </w:tcPr>
          <w:p w14:paraId="5F65CC4A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1B4D76" w:rsidRPr="001B4D76" w14:paraId="5ACE000B" w14:textId="77777777" w:rsidTr="00D1149C">
        <w:tc>
          <w:tcPr>
            <w:tcW w:w="734" w:type="dxa"/>
          </w:tcPr>
          <w:p w14:paraId="4662401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59" w:type="dxa"/>
          </w:tcPr>
          <w:p w14:paraId="4241365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1B4D76" w:rsidRPr="001B4D76" w14:paraId="3A7BC4A6" w14:textId="77777777" w:rsidTr="00D1149C">
        <w:tc>
          <w:tcPr>
            <w:tcW w:w="734" w:type="dxa"/>
          </w:tcPr>
          <w:p w14:paraId="2BE4836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59" w:type="dxa"/>
          </w:tcPr>
          <w:p w14:paraId="78930034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1B4D76" w:rsidRPr="001B4D76" w14:paraId="08AE6B86" w14:textId="77777777" w:rsidTr="00D1149C">
        <w:tc>
          <w:tcPr>
            <w:tcW w:w="734" w:type="dxa"/>
          </w:tcPr>
          <w:p w14:paraId="3933F49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8759" w:type="dxa"/>
          </w:tcPr>
          <w:p w14:paraId="193B07F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1B4D76" w:rsidRPr="001B4D76" w14:paraId="09D31337" w14:textId="77777777" w:rsidTr="00D1149C">
        <w:tc>
          <w:tcPr>
            <w:tcW w:w="734" w:type="dxa"/>
          </w:tcPr>
          <w:p w14:paraId="265FBBC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59" w:type="dxa"/>
          </w:tcPr>
          <w:p w14:paraId="41B2F7A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активи та постійна частина оборотних формуються за рахунок довгострокових пасивів, а варіаційна частина оборотних активів – за рахунок короткострокових пасивів, називається:</w:t>
            </w:r>
          </w:p>
        </w:tc>
      </w:tr>
      <w:tr w:rsidR="001B4D76" w:rsidRPr="001B4D76" w14:paraId="2DB4F44F" w14:textId="77777777" w:rsidTr="00D1149C">
        <w:tc>
          <w:tcPr>
            <w:tcW w:w="734" w:type="dxa"/>
          </w:tcPr>
          <w:p w14:paraId="0194E72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59" w:type="dxa"/>
          </w:tcPr>
          <w:p w14:paraId="487438D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активи формуються за рахунок довгострокових пасивів, а оборотні активи за рахунок короткострокових пасивів, називається:</w:t>
            </w:r>
          </w:p>
        </w:tc>
      </w:tr>
      <w:tr w:rsidR="001B4D76" w:rsidRPr="001B4D76" w14:paraId="4E04C841" w14:textId="77777777" w:rsidTr="00D1149C">
        <w:tc>
          <w:tcPr>
            <w:tcW w:w="734" w:type="dxa"/>
          </w:tcPr>
          <w:p w14:paraId="120D511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59" w:type="dxa"/>
          </w:tcPr>
          <w:p w14:paraId="23ECC9C1" w14:textId="77777777" w:rsidR="001B4D76" w:rsidRPr="001B4D76" w:rsidRDefault="001B4D76" w:rsidP="001B4D76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активи, постійна частина та половина варіаційної частини оборотних активів формуються за рахунок довгострокових пасивів, називається:</w:t>
            </w:r>
          </w:p>
        </w:tc>
      </w:tr>
      <w:tr w:rsidR="001B4D76" w:rsidRPr="001B4D76" w14:paraId="5B348B11" w14:textId="77777777" w:rsidTr="00D1149C">
        <w:tc>
          <w:tcPr>
            <w:tcW w:w="734" w:type="dxa"/>
          </w:tcPr>
          <w:p w14:paraId="288348F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59" w:type="dxa"/>
          </w:tcPr>
          <w:p w14:paraId="4F932663" w14:textId="77777777" w:rsidR="001B4D76" w:rsidRPr="001B4D76" w:rsidRDefault="001B4D76" w:rsidP="001B4D76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та оборотні активи формуються за рахунок довгострокових пасивів, називається:</w:t>
            </w:r>
          </w:p>
        </w:tc>
      </w:tr>
      <w:tr w:rsidR="001B4D76" w:rsidRPr="001B4D76" w14:paraId="410A1483" w14:textId="77777777" w:rsidTr="00D1149C">
        <w:tc>
          <w:tcPr>
            <w:tcW w:w="734" w:type="dxa"/>
          </w:tcPr>
          <w:p w14:paraId="09C7E29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59" w:type="dxa"/>
          </w:tcPr>
          <w:p w14:paraId="544DA043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iCs/>
                <w:sz w:val="28"/>
                <w:szCs w:val="28"/>
              </w:rPr>
              <w:t>Відношення суми доходу, виплаченого за фіксований інтервал часу, до величини позики – це:</w:t>
            </w:r>
          </w:p>
        </w:tc>
      </w:tr>
      <w:tr w:rsidR="001B4D76" w:rsidRPr="001B4D76" w14:paraId="57898CB3" w14:textId="77777777" w:rsidTr="00D1149C">
        <w:tc>
          <w:tcPr>
            <w:tcW w:w="734" w:type="dxa"/>
          </w:tcPr>
          <w:p w14:paraId="3AC1CE3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59" w:type="dxa"/>
          </w:tcPr>
          <w:p w14:paraId="380FF728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z w:val="28"/>
                <w:szCs w:val="28"/>
              </w:rPr>
              <w:t>До власних фінансових ресурсів відноситься:</w:t>
            </w:r>
          </w:p>
        </w:tc>
      </w:tr>
      <w:tr w:rsidR="001B4D76" w:rsidRPr="001B4D76" w14:paraId="4CC47269" w14:textId="77777777" w:rsidTr="00D1149C">
        <w:tc>
          <w:tcPr>
            <w:tcW w:w="734" w:type="dxa"/>
          </w:tcPr>
          <w:p w14:paraId="52E7A0B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59" w:type="dxa"/>
          </w:tcPr>
          <w:p w14:paraId="1B0C953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z w:val="28"/>
                <w:szCs w:val="28"/>
              </w:rPr>
              <w:t>До залучених фінансових ресурсів відноситься:</w:t>
            </w:r>
          </w:p>
        </w:tc>
      </w:tr>
      <w:tr w:rsidR="001B4D76" w:rsidRPr="001B4D76" w14:paraId="7A23CEC6" w14:textId="77777777" w:rsidTr="00D1149C">
        <w:tc>
          <w:tcPr>
            <w:tcW w:w="734" w:type="dxa"/>
          </w:tcPr>
          <w:p w14:paraId="2765F86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59" w:type="dxa"/>
          </w:tcPr>
          <w:p w14:paraId="0DF7E549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1B4D76" w:rsidRPr="001B4D76" w14:paraId="27B97BA0" w14:textId="77777777" w:rsidTr="00D1149C">
        <w:tc>
          <w:tcPr>
            <w:tcW w:w="734" w:type="dxa"/>
          </w:tcPr>
          <w:p w14:paraId="4AC0770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59" w:type="dxa"/>
          </w:tcPr>
          <w:p w14:paraId="54A3B73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Власний капітал підприємства становить 750 тис. грн., залучений – 550 тис. грн. Коефіцієнт автономії при цьому складає:</w:t>
            </w:r>
          </w:p>
        </w:tc>
      </w:tr>
      <w:tr w:rsidR="001B4D76" w:rsidRPr="001B4D76" w14:paraId="31C38FB3" w14:textId="77777777" w:rsidTr="00D1149C">
        <w:tc>
          <w:tcPr>
            <w:tcW w:w="734" w:type="dxa"/>
          </w:tcPr>
          <w:p w14:paraId="11C8622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59" w:type="dxa"/>
          </w:tcPr>
          <w:p w14:paraId="4F6A080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Власний капітал становить 500 тис. грн., залучений – 400 тис. грн., вартість необоротних активів – 350 тис. грн. Коефіцієнт забезпеченості власними засобами при цьому складе:</w:t>
            </w:r>
          </w:p>
        </w:tc>
      </w:tr>
      <w:tr w:rsidR="001B4D76" w:rsidRPr="001B4D76" w14:paraId="70161EA6" w14:textId="77777777" w:rsidTr="00D1149C">
        <w:tc>
          <w:tcPr>
            <w:tcW w:w="734" w:type="dxa"/>
          </w:tcPr>
          <w:p w14:paraId="366C899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59" w:type="dxa"/>
          </w:tcPr>
          <w:p w14:paraId="7CE81FBA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методів оптимізації структури капіталу не належить:</w:t>
            </w:r>
          </w:p>
        </w:tc>
      </w:tr>
      <w:tr w:rsidR="001B4D76" w:rsidRPr="001B4D76" w14:paraId="0D963E30" w14:textId="77777777" w:rsidTr="00D1149C">
        <w:tc>
          <w:tcPr>
            <w:tcW w:w="734" w:type="dxa"/>
          </w:tcPr>
          <w:p w14:paraId="1BA2BEB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59" w:type="dxa"/>
          </w:tcPr>
          <w:p w14:paraId="4D7B486C" w14:textId="77777777" w:rsidR="001B4D76" w:rsidRPr="001B4D76" w:rsidRDefault="001B4D76" w:rsidP="001B4D76">
            <w:pPr>
              <w:shd w:val="clear" w:color="auto" w:fill="FFFFFF"/>
              <w:tabs>
                <w:tab w:val="left" w:pos="59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Ефект фінансового левериджу становить 15 %. Це означає:</w:t>
            </w:r>
          </w:p>
        </w:tc>
      </w:tr>
      <w:tr w:rsidR="001B4D76" w:rsidRPr="001B4D76" w14:paraId="0846DC76" w14:textId="77777777" w:rsidTr="00D1149C">
        <w:tc>
          <w:tcPr>
            <w:tcW w:w="734" w:type="dxa"/>
          </w:tcPr>
          <w:p w14:paraId="57DC80F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59" w:type="dxa"/>
          </w:tcPr>
          <w:p w14:paraId="414B7EA8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Збільшення частки залученого капіталу у структурі фінансових ресурсів здійснює наступний вплив на ефект фінансового левериджу:</w:t>
            </w:r>
          </w:p>
        </w:tc>
      </w:tr>
      <w:tr w:rsidR="001B4D76" w:rsidRPr="001B4D76" w14:paraId="4D6B9E21" w14:textId="77777777" w:rsidTr="00D1149C">
        <w:tc>
          <w:tcPr>
            <w:tcW w:w="734" w:type="dxa"/>
          </w:tcPr>
          <w:p w14:paraId="21843DC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59" w:type="dxa"/>
          </w:tcPr>
          <w:p w14:paraId="69431438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Зростання середньої відсоткової ставки за користування залученим капіталом здійснює наступний вплив на ефект фінансового левериджу: </w:t>
            </w:r>
          </w:p>
        </w:tc>
      </w:tr>
      <w:tr w:rsidR="001B4D76" w:rsidRPr="001B4D76" w14:paraId="25E95A27" w14:textId="77777777" w:rsidTr="00D1149C">
        <w:tc>
          <w:tcPr>
            <w:tcW w:w="734" w:type="dxa"/>
          </w:tcPr>
          <w:p w14:paraId="349E468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59" w:type="dxa"/>
          </w:tcPr>
          <w:p w14:paraId="3703BFFF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При оптимізації за критерієм середньозваженої вартості капіталу найкращим варіантом структури фінансових ресурсів є такий, що:</w:t>
            </w:r>
          </w:p>
        </w:tc>
      </w:tr>
      <w:tr w:rsidR="001B4D76" w:rsidRPr="001B4D76" w14:paraId="00BFE874" w14:textId="77777777" w:rsidTr="00D1149C">
        <w:tc>
          <w:tcPr>
            <w:tcW w:w="734" w:type="dxa"/>
          </w:tcPr>
          <w:p w14:paraId="04344CB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59" w:type="dxa"/>
          </w:tcPr>
          <w:p w14:paraId="656F7A9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Оптимізація за критерієм фінансового ризику передбачає дослідження:</w:t>
            </w:r>
          </w:p>
        </w:tc>
      </w:tr>
      <w:tr w:rsidR="001B4D76" w:rsidRPr="001B4D76" w14:paraId="426EC66B" w14:textId="77777777" w:rsidTr="00D1149C">
        <w:tc>
          <w:tcPr>
            <w:tcW w:w="734" w:type="dxa"/>
          </w:tcPr>
          <w:p w14:paraId="5D45509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59" w:type="dxa"/>
          </w:tcPr>
          <w:p w14:paraId="47311E93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Чим визначається актуальність екологічно збалансованого сталого розвитку?</w:t>
            </w:r>
          </w:p>
        </w:tc>
      </w:tr>
      <w:tr w:rsidR="001B4D76" w:rsidRPr="001B4D76" w14:paraId="29D21D95" w14:textId="77777777" w:rsidTr="00D1149C">
        <w:tc>
          <w:tcPr>
            <w:tcW w:w="734" w:type="dxa"/>
          </w:tcPr>
          <w:p w14:paraId="2EBEC89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759" w:type="dxa"/>
          </w:tcPr>
          <w:p w14:paraId="682335C1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Чим викликане загострення екологічних проблем?</w:t>
            </w:r>
          </w:p>
        </w:tc>
      </w:tr>
      <w:tr w:rsidR="001B4D76" w:rsidRPr="001B4D76" w14:paraId="4BD89BAD" w14:textId="77777777" w:rsidTr="00D1149C">
        <w:tc>
          <w:tcPr>
            <w:tcW w:w="734" w:type="dxa"/>
          </w:tcPr>
          <w:p w14:paraId="7CC5A94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759" w:type="dxa"/>
          </w:tcPr>
          <w:p w14:paraId="45FB116F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Яку з перерахованих причин не можна віднести до головних причин забруднення довкілля, насамперед атмосферного повітря:</w:t>
            </w:r>
          </w:p>
        </w:tc>
      </w:tr>
      <w:tr w:rsidR="001B4D76" w:rsidRPr="001B4D76" w14:paraId="2986F4ED" w14:textId="77777777" w:rsidTr="00D1149C">
        <w:tc>
          <w:tcPr>
            <w:tcW w:w="734" w:type="dxa"/>
          </w:tcPr>
          <w:p w14:paraId="4FD9193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59" w:type="dxa"/>
            <w:shd w:val="clear" w:color="auto" w:fill="auto"/>
          </w:tcPr>
          <w:p w14:paraId="56A8EC88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Проблема накопичення відходів пов’язана з:</w:t>
            </w:r>
          </w:p>
        </w:tc>
      </w:tr>
      <w:tr w:rsidR="001B4D76" w:rsidRPr="001B4D76" w14:paraId="6DA8918B" w14:textId="77777777" w:rsidTr="00D1149C">
        <w:tc>
          <w:tcPr>
            <w:tcW w:w="734" w:type="dxa"/>
          </w:tcPr>
          <w:p w14:paraId="396EE19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759" w:type="dxa"/>
          </w:tcPr>
          <w:p w14:paraId="6DD05DBA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Бажаний стан, конкретні межі, яких підприємство має досягти в усіх сферах діяльності в кінці стратегічного періоду і на проміжних етапах становлять:</w:t>
            </w:r>
          </w:p>
        </w:tc>
      </w:tr>
      <w:tr w:rsidR="001B4D76" w:rsidRPr="001B4D76" w14:paraId="11656273" w14:textId="77777777" w:rsidTr="00D1149C">
        <w:tc>
          <w:tcPr>
            <w:tcW w:w="734" w:type="dxa"/>
          </w:tcPr>
          <w:p w14:paraId="76E46DC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59" w:type="dxa"/>
          </w:tcPr>
          <w:p w14:paraId="3453E42D" w14:textId="77777777" w:rsidR="001B4D76" w:rsidRPr="001B4D76" w:rsidRDefault="001B4D76" w:rsidP="001B4D76">
            <w:pPr>
              <w:shd w:val="clear" w:color="auto" w:fill="FFFFFF"/>
              <w:tabs>
                <w:tab w:val="left" w:pos="60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За сумісністю цілі підприємства класифікуються наступним чином:</w:t>
            </w:r>
          </w:p>
        </w:tc>
      </w:tr>
      <w:tr w:rsidR="001B4D76" w:rsidRPr="001B4D76" w14:paraId="287D1E41" w14:textId="77777777" w:rsidTr="00D1149C">
        <w:tc>
          <w:tcPr>
            <w:tcW w:w="734" w:type="dxa"/>
          </w:tcPr>
          <w:p w14:paraId="797E8FE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8759" w:type="dxa"/>
          </w:tcPr>
          <w:p w14:paraId="076428C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За спрямованістю на середовище  цілі підприємства класифікуються наступним чином:</w:t>
            </w:r>
          </w:p>
        </w:tc>
      </w:tr>
      <w:tr w:rsidR="001B4D76" w:rsidRPr="001B4D76" w14:paraId="3E54550F" w14:textId="77777777" w:rsidTr="00D1149C">
        <w:tc>
          <w:tcPr>
            <w:tcW w:w="734" w:type="dxa"/>
          </w:tcPr>
          <w:p w14:paraId="62FE73C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59" w:type="dxa"/>
          </w:tcPr>
          <w:p w14:paraId="56ACCD7F" w14:textId="77777777" w:rsidR="001B4D76" w:rsidRPr="001B4D76" w:rsidRDefault="001B4D76" w:rsidP="001B4D76">
            <w:pPr>
              <w:shd w:val="clear" w:color="auto" w:fill="FFFFFF"/>
              <w:tabs>
                <w:tab w:val="left" w:pos="60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За сферою дії цілі підприємства класифікуються наступним чином:</w:t>
            </w:r>
          </w:p>
        </w:tc>
      </w:tr>
      <w:tr w:rsidR="001B4D76" w:rsidRPr="001B4D76" w14:paraId="24679277" w14:textId="77777777" w:rsidTr="00D1149C">
        <w:tc>
          <w:tcPr>
            <w:tcW w:w="734" w:type="dxa"/>
          </w:tcPr>
          <w:p w14:paraId="444FE4B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759" w:type="dxa"/>
          </w:tcPr>
          <w:p w14:paraId="4805DFCD" w14:textId="77777777" w:rsidR="001B4D76" w:rsidRPr="001B4D76" w:rsidRDefault="001B4D76" w:rsidP="001B4D76">
            <w:pPr>
              <w:shd w:val="clear" w:color="auto" w:fill="FFFFFF"/>
              <w:tabs>
                <w:tab w:val="left" w:pos="60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За здійсненністю цілі підприємства класифікуються наступним чином:</w:t>
            </w:r>
          </w:p>
        </w:tc>
      </w:tr>
      <w:tr w:rsidR="001B4D76" w:rsidRPr="001B4D76" w14:paraId="4C75BE75" w14:textId="77777777" w:rsidTr="00D1149C">
        <w:tc>
          <w:tcPr>
            <w:tcW w:w="734" w:type="dxa"/>
          </w:tcPr>
          <w:p w14:paraId="346AB4A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59" w:type="dxa"/>
          </w:tcPr>
          <w:p w14:paraId="7CA120D6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1B4D76" w:rsidRPr="001B4D76" w14:paraId="4D49EAF8" w14:textId="77777777" w:rsidTr="00D1149C">
        <w:tc>
          <w:tcPr>
            <w:tcW w:w="734" w:type="dxa"/>
          </w:tcPr>
          <w:p w14:paraId="5C186D2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759" w:type="dxa"/>
          </w:tcPr>
          <w:p w14:paraId="301FC15D" w14:textId="77777777" w:rsidR="001B4D76" w:rsidRPr="001B4D76" w:rsidRDefault="001B4D76" w:rsidP="001B4D7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вимог, яким мають відповідати стратегічні цілі, не відноситься:</w:t>
            </w:r>
          </w:p>
        </w:tc>
      </w:tr>
      <w:tr w:rsidR="001B4D76" w:rsidRPr="001B4D76" w14:paraId="69F5E87C" w14:textId="77777777" w:rsidTr="00D1149C">
        <w:tc>
          <w:tcPr>
            <w:tcW w:w="734" w:type="dxa"/>
          </w:tcPr>
          <w:p w14:paraId="27C8124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59" w:type="dxa"/>
          </w:tcPr>
          <w:p w14:paraId="4172BE28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декомпозицію від цілей вищого порядку до цілей (заходів) нижчого порядку:</w:t>
            </w:r>
          </w:p>
        </w:tc>
      </w:tr>
      <w:tr w:rsidR="001B4D76" w:rsidRPr="001B4D76" w14:paraId="774016D3" w14:textId="77777777" w:rsidTr="00D1149C">
        <w:tc>
          <w:tcPr>
            <w:tcW w:w="734" w:type="dxa"/>
          </w:tcPr>
          <w:p w14:paraId="19E4C2B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759" w:type="dxa"/>
          </w:tcPr>
          <w:p w14:paraId="780F1FB3" w14:textId="77777777" w:rsidR="001B4D76" w:rsidRPr="001B4D76" w:rsidRDefault="001B4D76" w:rsidP="001B4D76">
            <w:pPr>
              <w:shd w:val="clear" w:color="auto" w:fill="FFFFFF"/>
              <w:tabs>
                <w:tab w:val="left" w:pos="59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«Золоте правило економіки» передбачає:</w:t>
            </w:r>
          </w:p>
        </w:tc>
      </w:tr>
      <w:tr w:rsidR="001B4D76" w:rsidRPr="001B4D76" w14:paraId="5B188E36" w14:textId="77777777" w:rsidTr="00D1149C">
        <w:tc>
          <w:tcPr>
            <w:tcW w:w="734" w:type="dxa"/>
          </w:tcPr>
          <w:p w14:paraId="70B8A62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59" w:type="dxa"/>
          </w:tcPr>
          <w:p w14:paraId="76CABF4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Середньозважена вартість капіталу являє собою:</w:t>
            </w:r>
          </w:p>
        </w:tc>
      </w:tr>
      <w:tr w:rsidR="001B4D76" w:rsidRPr="001B4D76" w14:paraId="0D0BF99E" w14:textId="77777777" w:rsidTr="00D1149C">
        <w:tc>
          <w:tcPr>
            <w:tcW w:w="734" w:type="dxa"/>
          </w:tcPr>
          <w:p w14:paraId="581486D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759" w:type="dxa"/>
          </w:tcPr>
          <w:p w14:paraId="26866636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Здатність підприємства перетворити свої активи на грошові кошти з метою своєчасного розрахунки за зобов’язаннями характеризує:</w:t>
            </w:r>
          </w:p>
        </w:tc>
      </w:tr>
      <w:tr w:rsidR="001B4D76" w:rsidRPr="001B4D76" w14:paraId="7F2B3111" w14:textId="77777777" w:rsidTr="00D1149C">
        <w:tc>
          <w:tcPr>
            <w:tcW w:w="734" w:type="dxa"/>
          </w:tcPr>
          <w:p w14:paraId="1F73C74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759" w:type="dxa"/>
          </w:tcPr>
          <w:p w14:paraId="37B03D4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Стан </w:t>
            </w:r>
            <w:r w:rsidRPr="001B4D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фінансових</w:t>
            </w:r>
            <w:r w:rsidRPr="001B4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ресурсів, їх розподіл і використання,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ризику,</w:t>
            </w:r>
            <w:r w:rsidRPr="001B4D7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1B4D76" w:rsidRPr="001B4D76" w14:paraId="25075E7F" w14:textId="77777777" w:rsidTr="00D1149C">
        <w:tc>
          <w:tcPr>
            <w:tcW w:w="734" w:type="dxa"/>
          </w:tcPr>
          <w:p w14:paraId="3706517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759" w:type="dxa"/>
          </w:tcPr>
          <w:p w14:paraId="086EFDB3" w14:textId="77777777" w:rsidR="001B4D76" w:rsidRPr="001B4D76" w:rsidRDefault="001B4D76" w:rsidP="001B4D76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Оборотність ресурсів, залучених до господарської діяльності підприємства,</w:t>
            </w:r>
            <w:r w:rsidRPr="001B4D7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1B4D76" w:rsidRPr="001B4D76" w14:paraId="65171317" w14:textId="77777777" w:rsidTr="00D1149C">
        <w:tc>
          <w:tcPr>
            <w:tcW w:w="734" w:type="dxa"/>
          </w:tcPr>
          <w:p w14:paraId="26C0F6E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759" w:type="dxa"/>
          </w:tcPr>
          <w:p w14:paraId="53CC70FA" w14:textId="77777777" w:rsidR="001B4D76" w:rsidRPr="001B4D76" w:rsidRDefault="001B4D76" w:rsidP="001B4D76">
            <w:pPr>
              <w:shd w:val="clear" w:color="auto" w:fill="FFFFFF"/>
              <w:tabs>
                <w:tab w:val="left" w:pos="57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1B4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рибутковість діяльності підприємства</w:t>
            </w:r>
            <w:r w:rsidRPr="001B4D7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характеризує:</w:t>
            </w:r>
          </w:p>
        </w:tc>
      </w:tr>
      <w:tr w:rsidR="001B4D76" w:rsidRPr="001B4D76" w14:paraId="6AC458C7" w14:textId="77777777" w:rsidTr="00D1149C">
        <w:tc>
          <w:tcPr>
            <w:tcW w:w="734" w:type="dxa"/>
          </w:tcPr>
          <w:p w14:paraId="4144454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59" w:type="dxa"/>
          </w:tcPr>
          <w:p w14:paraId="732197AA" w14:textId="77777777" w:rsidR="001B4D76" w:rsidRPr="001B4D76" w:rsidRDefault="001B4D76" w:rsidP="001B4D76">
            <w:pPr>
              <w:shd w:val="clear" w:color="auto" w:fill="FFFFFF"/>
              <w:tabs>
                <w:tab w:val="left" w:pos="571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До показників ліквідності не належить:</w:t>
            </w:r>
          </w:p>
        </w:tc>
      </w:tr>
      <w:tr w:rsidR="001B4D76" w:rsidRPr="001B4D76" w14:paraId="61E8C265" w14:textId="77777777" w:rsidTr="00D1149C">
        <w:tc>
          <w:tcPr>
            <w:tcW w:w="734" w:type="dxa"/>
          </w:tcPr>
          <w:p w14:paraId="098ECC9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59" w:type="dxa"/>
          </w:tcPr>
          <w:p w14:paraId="464BB843" w14:textId="77777777" w:rsidR="001B4D76" w:rsidRPr="001B4D76" w:rsidRDefault="001B4D76" w:rsidP="001B4D76">
            <w:pPr>
              <w:shd w:val="clear" w:color="auto" w:fill="FFFFFF"/>
              <w:tabs>
                <w:tab w:val="left" w:pos="658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Чистий оборотний капітал підприємства визначається як:</w:t>
            </w:r>
          </w:p>
        </w:tc>
      </w:tr>
      <w:tr w:rsidR="001B4D76" w:rsidRPr="001B4D76" w14:paraId="6664D953" w14:textId="77777777" w:rsidTr="00D1149C">
        <w:trPr>
          <w:trHeight w:val="327"/>
        </w:trPr>
        <w:tc>
          <w:tcPr>
            <w:tcW w:w="734" w:type="dxa"/>
          </w:tcPr>
          <w:p w14:paraId="397697A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759" w:type="dxa"/>
          </w:tcPr>
          <w:p w14:paraId="15A497EB" w14:textId="77777777" w:rsidR="001B4D76" w:rsidRPr="001B4D76" w:rsidRDefault="001B4D76" w:rsidP="001B4D76">
            <w:pPr>
              <w:shd w:val="clear" w:color="auto" w:fill="FFFFFF"/>
              <w:tabs>
                <w:tab w:val="left" w:pos="658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Коефіцієнт покриття визначається як:</w:t>
            </w:r>
          </w:p>
        </w:tc>
      </w:tr>
      <w:tr w:rsidR="001B4D76" w:rsidRPr="001B4D76" w14:paraId="2813158F" w14:textId="77777777" w:rsidTr="00D1149C">
        <w:tc>
          <w:tcPr>
            <w:tcW w:w="734" w:type="dxa"/>
          </w:tcPr>
          <w:p w14:paraId="45F245E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59" w:type="dxa"/>
          </w:tcPr>
          <w:p w14:paraId="7A6FA4D2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коефіцієнта покриття становить 1,5. Це означає, що:</w:t>
            </w:r>
          </w:p>
        </w:tc>
      </w:tr>
      <w:tr w:rsidR="001B4D76" w:rsidRPr="001B4D76" w14:paraId="433AD2BF" w14:textId="77777777" w:rsidTr="00D1149C">
        <w:tc>
          <w:tcPr>
            <w:tcW w:w="734" w:type="dxa"/>
          </w:tcPr>
          <w:p w14:paraId="7F2EDFC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759" w:type="dxa"/>
          </w:tcPr>
          <w:p w14:paraId="444C6E93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 значенням коефіцієнта абсолютної ліквідності є:</w:t>
            </w:r>
          </w:p>
        </w:tc>
      </w:tr>
      <w:tr w:rsidR="001B4D76" w:rsidRPr="001B4D76" w14:paraId="28B313A6" w14:textId="77777777" w:rsidTr="00D1149C">
        <w:tc>
          <w:tcPr>
            <w:tcW w:w="734" w:type="dxa"/>
          </w:tcPr>
          <w:p w14:paraId="42B3BEF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59" w:type="dxa"/>
          </w:tcPr>
          <w:p w14:paraId="04B1811E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 значенням коефіцієнта покриття є:</w:t>
            </w:r>
          </w:p>
        </w:tc>
      </w:tr>
      <w:tr w:rsidR="001B4D76" w:rsidRPr="001B4D76" w14:paraId="6DCD642E" w14:textId="77777777" w:rsidTr="00D1149C">
        <w:tc>
          <w:tcPr>
            <w:tcW w:w="734" w:type="dxa"/>
          </w:tcPr>
          <w:p w14:paraId="7905802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759" w:type="dxa"/>
          </w:tcPr>
          <w:p w14:paraId="63131304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 значенням власного оборотного капіталу (робочого капіталу) є:</w:t>
            </w:r>
          </w:p>
        </w:tc>
      </w:tr>
      <w:tr w:rsidR="001B4D76" w:rsidRPr="001B4D76" w14:paraId="0CEAB1A6" w14:textId="77777777" w:rsidTr="00D1149C">
        <w:trPr>
          <w:trHeight w:val="455"/>
        </w:trPr>
        <w:tc>
          <w:tcPr>
            <w:tcW w:w="734" w:type="dxa"/>
          </w:tcPr>
          <w:p w14:paraId="7B892FD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759" w:type="dxa"/>
          </w:tcPr>
          <w:p w14:paraId="58FD6A7A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До показників фінансової стійкості не належить:</w:t>
            </w:r>
          </w:p>
        </w:tc>
      </w:tr>
      <w:tr w:rsidR="001B4D76" w:rsidRPr="001B4D76" w14:paraId="7275DCE5" w14:textId="77777777" w:rsidTr="00D1149C">
        <w:tc>
          <w:tcPr>
            <w:tcW w:w="734" w:type="dxa"/>
          </w:tcPr>
          <w:p w14:paraId="22ADF34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759" w:type="dxa"/>
          </w:tcPr>
          <w:p w14:paraId="065B2A63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автономії визначається як:</w:t>
            </w:r>
          </w:p>
        </w:tc>
      </w:tr>
      <w:tr w:rsidR="001B4D76" w:rsidRPr="001B4D76" w14:paraId="14055BED" w14:textId="77777777" w:rsidTr="00D1149C">
        <w:tc>
          <w:tcPr>
            <w:tcW w:w="734" w:type="dxa"/>
          </w:tcPr>
          <w:p w14:paraId="2EA8419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759" w:type="dxa"/>
          </w:tcPr>
          <w:p w14:paraId="07E91633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фінансової стабільності визначається як:</w:t>
            </w:r>
          </w:p>
        </w:tc>
      </w:tr>
      <w:tr w:rsidR="001B4D76" w:rsidRPr="001B4D76" w14:paraId="58D871A3" w14:textId="77777777" w:rsidTr="00D1149C">
        <w:tc>
          <w:tcPr>
            <w:tcW w:w="734" w:type="dxa"/>
          </w:tcPr>
          <w:p w14:paraId="2CA44BD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759" w:type="dxa"/>
          </w:tcPr>
          <w:p w14:paraId="35FD7E06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фінансування визначається як:</w:t>
            </w:r>
          </w:p>
        </w:tc>
      </w:tr>
      <w:tr w:rsidR="001B4D76" w:rsidRPr="001B4D76" w14:paraId="6C258A8C" w14:textId="77777777" w:rsidTr="00D1149C">
        <w:tc>
          <w:tcPr>
            <w:tcW w:w="734" w:type="dxa"/>
          </w:tcPr>
          <w:p w14:paraId="028C62A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759" w:type="dxa"/>
          </w:tcPr>
          <w:p w14:paraId="5EB1F58A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забезпеченості власними засобами визначається як:</w:t>
            </w:r>
          </w:p>
        </w:tc>
      </w:tr>
      <w:tr w:rsidR="001B4D76" w:rsidRPr="001B4D76" w14:paraId="5ADFC0F8" w14:textId="77777777" w:rsidTr="00D1149C">
        <w:tc>
          <w:tcPr>
            <w:tcW w:w="734" w:type="dxa"/>
          </w:tcPr>
          <w:p w14:paraId="7740FE6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759" w:type="dxa"/>
          </w:tcPr>
          <w:p w14:paraId="136D1588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Якщо коефіцієнт автономії дорівнює 0,75, це означає:</w:t>
            </w:r>
          </w:p>
        </w:tc>
      </w:tr>
      <w:tr w:rsidR="001B4D76" w:rsidRPr="001B4D76" w14:paraId="4C08B706" w14:textId="77777777" w:rsidTr="00D1149C">
        <w:tc>
          <w:tcPr>
            <w:tcW w:w="734" w:type="dxa"/>
          </w:tcPr>
          <w:p w14:paraId="54FADDA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759" w:type="dxa"/>
          </w:tcPr>
          <w:p w14:paraId="37156D23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Показник, що характеризує частку оборотних активів, сформованих за рахунок власного капіталу, – це:</w:t>
            </w:r>
          </w:p>
        </w:tc>
      </w:tr>
      <w:tr w:rsidR="001B4D76" w:rsidRPr="001B4D76" w14:paraId="0DDC822E" w14:textId="77777777" w:rsidTr="00D1149C">
        <w:tc>
          <w:tcPr>
            <w:tcW w:w="734" w:type="dxa"/>
          </w:tcPr>
          <w:p w14:paraId="05623CD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759" w:type="dxa"/>
          </w:tcPr>
          <w:p w14:paraId="24C3FD63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Показник, що характеризує питому вагу активів, сформованих за рахунок власного капіталу, – це:</w:t>
            </w:r>
          </w:p>
        </w:tc>
      </w:tr>
      <w:tr w:rsidR="001B4D76" w:rsidRPr="001B4D76" w14:paraId="28A08A64" w14:textId="77777777" w:rsidTr="00D1149C">
        <w:tc>
          <w:tcPr>
            <w:tcW w:w="734" w:type="dxa"/>
          </w:tcPr>
          <w:p w14:paraId="5F7ACF9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759" w:type="dxa"/>
          </w:tcPr>
          <w:p w14:paraId="0579B1A4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Коефіцієнт, що відображає співвідношення між власним і залученим капіталом, – це:</w:t>
            </w:r>
          </w:p>
        </w:tc>
      </w:tr>
      <w:tr w:rsidR="001B4D76" w:rsidRPr="001B4D76" w14:paraId="1B10A5B8" w14:textId="77777777" w:rsidTr="00D1149C">
        <w:tc>
          <w:tcPr>
            <w:tcW w:w="734" w:type="dxa"/>
          </w:tcPr>
          <w:p w14:paraId="31E9DF7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759" w:type="dxa"/>
          </w:tcPr>
          <w:p w14:paraId="742DC5F8" w14:textId="77777777" w:rsidR="001B4D76" w:rsidRPr="001B4D76" w:rsidRDefault="001B4D76" w:rsidP="001B4D76">
            <w:pPr>
              <w:shd w:val="clear" w:color="auto" w:fill="FFFFFF"/>
              <w:tabs>
                <w:tab w:val="left" w:pos="66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 оборотності ресурсів підприємства відображають міру їх:</w:t>
            </w:r>
          </w:p>
        </w:tc>
      </w:tr>
      <w:tr w:rsidR="001B4D76" w:rsidRPr="001B4D76" w14:paraId="17E47395" w14:textId="77777777" w:rsidTr="00D1149C">
        <w:tc>
          <w:tcPr>
            <w:tcW w:w="734" w:type="dxa"/>
          </w:tcPr>
          <w:p w14:paraId="68B2499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759" w:type="dxa"/>
          </w:tcPr>
          <w:p w14:paraId="1ABE76E8" w14:textId="77777777" w:rsidR="001B4D76" w:rsidRPr="001B4D76" w:rsidRDefault="001B4D76" w:rsidP="001B4D7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оборотності власного капіталу складає 1,5. Це означає, що:</w:t>
            </w:r>
          </w:p>
        </w:tc>
      </w:tr>
      <w:tr w:rsidR="001B4D76" w:rsidRPr="001B4D76" w14:paraId="182D2918" w14:textId="77777777" w:rsidTr="00D1149C">
        <w:tc>
          <w:tcPr>
            <w:tcW w:w="734" w:type="dxa"/>
          </w:tcPr>
          <w:p w14:paraId="3232D1A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759" w:type="dxa"/>
          </w:tcPr>
          <w:p w14:paraId="62A2BCAD" w14:textId="77777777" w:rsidR="001B4D76" w:rsidRPr="001B4D76" w:rsidRDefault="001B4D76" w:rsidP="001B4D76">
            <w:pPr>
              <w:widowControl w:val="0"/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Рентабельність продукції підприємства визначається як:</w:t>
            </w:r>
          </w:p>
        </w:tc>
      </w:tr>
      <w:tr w:rsidR="001B4D76" w:rsidRPr="001B4D76" w14:paraId="06D9C5AB" w14:textId="77777777" w:rsidTr="00D1149C">
        <w:tc>
          <w:tcPr>
            <w:tcW w:w="734" w:type="dxa"/>
          </w:tcPr>
          <w:p w14:paraId="178E34F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174.</w:t>
            </w:r>
          </w:p>
        </w:tc>
        <w:tc>
          <w:tcPr>
            <w:tcW w:w="8759" w:type="dxa"/>
          </w:tcPr>
          <w:p w14:paraId="4591D65F" w14:textId="77777777" w:rsidR="001B4D76" w:rsidRPr="001B4D76" w:rsidRDefault="001B4D76" w:rsidP="001B4D76">
            <w:pPr>
              <w:shd w:val="clear" w:color="auto" w:fill="FFFFFF"/>
              <w:tabs>
                <w:tab w:val="left" w:pos="734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Рентабельність господарської діяльності становить 13 %. Це означає, що:</w:t>
            </w:r>
          </w:p>
        </w:tc>
      </w:tr>
      <w:tr w:rsidR="001B4D76" w:rsidRPr="001B4D76" w14:paraId="5E1549B0" w14:textId="77777777" w:rsidTr="00D1149C">
        <w:tc>
          <w:tcPr>
            <w:tcW w:w="734" w:type="dxa"/>
          </w:tcPr>
          <w:p w14:paraId="6B80EBB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759" w:type="dxa"/>
          </w:tcPr>
          <w:p w14:paraId="4BDFA6F8" w14:textId="77777777" w:rsidR="001B4D76" w:rsidRPr="001B4D76" w:rsidRDefault="001B4D76" w:rsidP="001B4D76">
            <w:pPr>
              <w:widowControl w:val="0"/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Рентабельність реалізації підприємства визначається як:</w:t>
            </w:r>
          </w:p>
        </w:tc>
      </w:tr>
      <w:tr w:rsidR="001B4D76" w:rsidRPr="001B4D76" w14:paraId="25CD170A" w14:textId="77777777" w:rsidTr="00D1149C">
        <w:tc>
          <w:tcPr>
            <w:tcW w:w="734" w:type="dxa"/>
          </w:tcPr>
          <w:p w14:paraId="71B8DDB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759" w:type="dxa"/>
          </w:tcPr>
          <w:p w14:paraId="5C1ED48D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Цілісна та комплексна система засобів, методів, інструментів і моделей управління, що забезпечують і координують процеси взаємодії підприємства із зовнішнім нестабільним середовищем, - це:</w:t>
            </w:r>
          </w:p>
        </w:tc>
      </w:tr>
      <w:tr w:rsidR="001B4D76" w:rsidRPr="001B4D76" w14:paraId="5406F7CC" w14:textId="77777777" w:rsidTr="00D1149C">
        <w:tc>
          <w:tcPr>
            <w:tcW w:w="734" w:type="dxa"/>
          </w:tcPr>
          <w:p w14:paraId="47F9B11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759" w:type="dxa"/>
          </w:tcPr>
          <w:p w14:paraId="510BFD73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Предметом адаптації є:</w:t>
            </w:r>
          </w:p>
        </w:tc>
      </w:tr>
      <w:tr w:rsidR="001B4D76" w:rsidRPr="001B4D76" w14:paraId="0955223D" w14:textId="77777777" w:rsidTr="00D1149C">
        <w:tc>
          <w:tcPr>
            <w:tcW w:w="734" w:type="dxa"/>
          </w:tcPr>
          <w:p w14:paraId="2A5D30D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759" w:type="dxa"/>
          </w:tcPr>
          <w:p w14:paraId="542778E1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Орієнтація на споживача передбачається в рамках такого підходу до формування механізму адаптації:</w:t>
            </w:r>
          </w:p>
        </w:tc>
      </w:tr>
      <w:tr w:rsidR="001B4D76" w:rsidRPr="001B4D76" w14:paraId="7F17F79E" w14:textId="77777777" w:rsidTr="00D1149C">
        <w:tc>
          <w:tcPr>
            <w:tcW w:w="734" w:type="dxa"/>
          </w:tcPr>
          <w:p w14:paraId="220F311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759" w:type="dxa"/>
          </w:tcPr>
          <w:p w14:paraId="3BDBECC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Підприємство розглядається як складна відкрита система в рамках такого підходу до формування механізму адаптації:</w:t>
            </w:r>
          </w:p>
        </w:tc>
      </w:tr>
      <w:tr w:rsidR="001B4D76" w:rsidRPr="001B4D76" w14:paraId="32E1A86F" w14:textId="77777777" w:rsidTr="00D1149C">
        <w:tc>
          <w:tcPr>
            <w:tcW w:w="734" w:type="dxa"/>
          </w:tcPr>
          <w:p w14:paraId="55835A5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759" w:type="dxa"/>
          </w:tcPr>
          <w:p w14:paraId="2B2E864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Управління спрямоване на розв’язання конкретних господарських ситуацій передбачається в рамках такого підходу до формування механізму адаптації:</w:t>
            </w:r>
          </w:p>
        </w:tc>
      </w:tr>
      <w:tr w:rsidR="001B4D76" w:rsidRPr="001B4D76" w14:paraId="063C12B9" w14:textId="77777777" w:rsidTr="00D1149C">
        <w:tc>
          <w:tcPr>
            <w:tcW w:w="734" w:type="dxa"/>
          </w:tcPr>
          <w:p w14:paraId="160779F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759" w:type="dxa"/>
          </w:tcPr>
          <w:p w14:paraId="37DF228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Орієнтація на довгостроковий розвиток, визначення та співвідношення з місією та цілями організації передбачається в рамках такого підходу до формування механізму адаптації:</w:t>
            </w:r>
          </w:p>
        </w:tc>
      </w:tr>
      <w:tr w:rsidR="001B4D76" w:rsidRPr="001B4D76" w14:paraId="4F989C9C" w14:textId="77777777" w:rsidTr="00D1149C">
        <w:tc>
          <w:tcPr>
            <w:tcW w:w="734" w:type="dxa"/>
          </w:tcPr>
          <w:p w14:paraId="49A704D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759" w:type="dxa"/>
          </w:tcPr>
          <w:p w14:paraId="2771B0C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Базується на необхідності відстеження та врахування так званих «слабких сигналів» в умовах високої мінливості середовища, і, орієнтуючись на ці сигнали, завчасно розробляти відповідні альтернативні управлінські рішення такий інструмент адаптації:</w:t>
            </w:r>
          </w:p>
        </w:tc>
      </w:tr>
      <w:tr w:rsidR="001B4D76" w:rsidRPr="001B4D76" w14:paraId="37883E56" w14:textId="77777777" w:rsidTr="00D1149C">
        <w:tc>
          <w:tcPr>
            <w:tcW w:w="734" w:type="dxa"/>
          </w:tcPr>
          <w:p w14:paraId="2CBCFB5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759" w:type="dxa"/>
          </w:tcPr>
          <w:p w14:paraId="69031D4F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Системний процес удосконалення та/або оновлення існуючих чи створення нових об’єктів модернізації, що носить цільовий та інноваційний характер, та спрямований на підвищення конкурентоспроможності підприємства за умов нестабільного економічного середовища – це:</w:t>
            </w:r>
          </w:p>
        </w:tc>
      </w:tr>
      <w:tr w:rsidR="001B4D76" w:rsidRPr="001B4D76" w14:paraId="109C3847" w14:textId="77777777" w:rsidTr="00D1149C">
        <w:tc>
          <w:tcPr>
            <w:tcW w:w="734" w:type="dxa"/>
          </w:tcPr>
          <w:p w14:paraId="00CC2C8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759" w:type="dxa"/>
          </w:tcPr>
          <w:p w14:paraId="33D5153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Здійснення заходів, що мають на меті реорганізацію суб’єкта господарювання, елемент механізму виявлення резервів підвищення рівня ефективності діяльності підприємства – це:</w:t>
            </w:r>
          </w:p>
        </w:tc>
      </w:tr>
      <w:tr w:rsidR="001B4D76" w:rsidRPr="001B4D76" w14:paraId="07FB4ECA" w14:textId="77777777" w:rsidTr="00D1149C">
        <w:tc>
          <w:tcPr>
            <w:tcW w:w="734" w:type="dxa"/>
          </w:tcPr>
          <w:p w14:paraId="5427B17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759" w:type="dxa"/>
          </w:tcPr>
          <w:p w14:paraId="11D087E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процесів </w:t>
            </w:r>
            <w:r w:rsidRPr="001B4D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діяльності підприємства відповідно до ринкових умов, що характеризується розширенням спектру продукції, що виробляється, комплексу послуг як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виробничого, так і невиробничого спрямування – це:</w:t>
            </w:r>
          </w:p>
        </w:tc>
      </w:tr>
      <w:tr w:rsidR="001B4D76" w:rsidRPr="001B4D76" w14:paraId="26D87186" w14:textId="77777777" w:rsidTr="00D1149C">
        <w:tc>
          <w:tcPr>
            <w:tcW w:w="734" w:type="dxa"/>
          </w:tcPr>
          <w:p w14:paraId="4F0A5DF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759" w:type="dxa"/>
          </w:tcPr>
          <w:p w14:paraId="5BC4C578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Інструмент радикальної перебудови бізнес-процесів організації, що носить стрімкий характер, забезпечує якісне покращення організаційно-економічного механізму підприємства з метою підвищення рівня його конкурентоспроможності за умови застосування адаптивних можливостей – це:</w:t>
            </w:r>
          </w:p>
        </w:tc>
      </w:tr>
      <w:tr w:rsidR="001B4D76" w:rsidRPr="001B4D76" w14:paraId="320951C7" w14:textId="77777777" w:rsidTr="00D1149C">
        <w:tc>
          <w:tcPr>
            <w:tcW w:w="734" w:type="dxa"/>
          </w:tcPr>
          <w:p w14:paraId="5887EED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759" w:type="dxa"/>
          </w:tcPr>
          <w:p w14:paraId="71E324D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Розширення діяльності за рахунок нових видів продукції, не пов’язаних з існуючим виробництвом, здійснюється в рамках наступної стратегії:</w:t>
            </w:r>
          </w:p>
        </w:tc>
      </w:tr>
      <w:tr w:rsidR="001B4D76" w:rsidRPr="001B4D76" w14:paraId="1DD94FF3" w14:textId="77777777" w:rsidTr="00D1149C">
        <w:tc>
          <w:tcPr>
            <w:tcW w:w="734" w:type="dxa"/>
          </w:tcPr>
          <w:p w14:paraId="2A931AE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759" w:type="dxa"/>
          </w:tcPr>
          <w:p w14:paraId="687CFBE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Систему нормативно-правових актів, що регламентують процеси адаптації, включає такий елемент системи забезпечення:</w:t>
            </w:r>
          </w:p>
        </w:tc>
      </w:tr>
      <w:tr w:rsidR="001B4D76" w:rsidRPr="001B4D76" w14:paraId="4EB1773C" w14:textId="77777777" w:rsidTr="00D1149C">
        <w:tc>
          <w:tcPr>
            <w:tcW w:w="734" w:type="dxa"/>
          </w:tcPr>
          <w:p w14:paraId="34DCCE22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759" w:type="dxa"/>
          </w:tcPr>
          <w:p w14:paraId="15DCB25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Фінансово-майнові відносини підприємств регламентуються:</w:t>
            </w:r>
          </w:p>
        </w:tc>
      </w:tr>
      <w:tr w:rsidR="001B4D76" w:rsidRPr="001B4D76" w14:paraId="7549CDF4" w14:textId="77777777" w:rsidTr="00D1149C">
        <w:tc>
          <w:tcPr>
            <w:tcW w:w="734" w:type="dxa"/>
          </w:tcPr>
          <w:p w14:paraId="0938204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759" w:type="dxa"/>
          </w:tcPr>
          <w:p w14:paraId="493AF159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елементів внутрішнього середовища не відноситься:</w:t>
            </w:r>
          </w:p>
        </w:tc>
      </w:tr>
      <w:tr w:rsidR="001B4D76" w:rsidRPr="001B4D76" w14:paraId="1A783AA0" w14:textId="77777777" w:rsidTr="00D1149C">
        <w:tc>
          <w:tcPr>
            <w:tcW w:w="734" w:type="dxa"/>
          </w:tcPr>
          <w:p w14:paraId="2B6EF5B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759" w:type="dxa"/>
          </w:tcPr>
          <w:p w14:paraId="5AD43814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Де переважно застосовується лінійна структура управління?</w:t>
            </w:r>
          </w:p>
        </w:tc>
      </w:tr>
      <w:tr w:rsidR="001B4D76" w:rsidRPr="001B4D76" w14:paraId="210012E2" w14:textId="77777777" w:rsidTr="00D1149C">
        <w:tc>
          <w:tcPr>
            <w:tcW w:w="734" w:type="dxa"/>
          </w:tcPr>
          <w:p w14:paraId="116DBA0F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8759" w:type="dxa"/>
          </w:tcPr>
          <w:p w14:paraId="39879230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Де переважно застосовуються 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дивізіональні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 управління?</w:t>
            </w:r>
          </w:p>
        </w:tc>
      </w:tr>
      <w:tr w:rsidR="001B4D76" w:rsidRPr="001B4D76" w14:paraId="7FC8177F" w14:textId="77777777" w:rsidTr="00D1149C">
        <w:tc>
          <w:tcPr>
            <w:tcW w:w="734" w:type="dxa"/>
          </w:tcPr>
          <w:p w14:paraId="1AE11A9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759" w:type="dxa"/>
          </w:tcPr>
          <w:p w14:paraId="48C6701E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Високий рівень єдиноначальності є перевагою:</w:t>
            </w:r>
          </w:p>
        </w:tc>
      </w:tr>
      <w:tr w:rsidR="001B4D76" w:rsidRPr="001B4D76" w14:paraId="356CA71C" w14:textId="77777777" w:rsidTr="00D1149C">
        <w:tc>
          <w:tcPr>
            <w:tcW w:w="734" w:type="dxa"/>
          </w:tcPr>
          <w:p w14:paraId="3A3A52D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759" w:type="dxa"/>
          </w:tcPr>
          <w:p w14:paraId="6A896ECD" w14:textId="77777777" w:rsidR="001B4D76" w:rsidRPr="001B4D76" w:rsidRDefault="001B4D76" w:rsidP="001B4D7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Створення функціональних служб, які, однак, не мають безпосереднього впливу на виконавців, а формують управлінські рішення для лінійного керівника є притаманним для:</w:t>
            </w:r>
          </w:p>
        </w:tc>
      </w:tr>
      <w:tr w:rsidR="001B4D76" w:rsidRPr="001B4D76" w14:paraId="113F2881" w14:textId="77777777" w:rsidTr="00D1149C">
        <w:tc>
          <w:tcPr>
            <w:tcW w:w="734" w:type="dxa"/>
          </w:tcPr>
          <w:p w14:paraId="2453A19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759" w:type="dxa"/>
          </w:tcPr>
          <w:p w14:paraId="376AA4C0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Виділення у структурі підприємства підрозділів з високим рівнем самостійності передбачається в рамках:</w:t>
            </w:r>
          </w:p>
        </w:tc>
      </w:tr>
      <w:tr w:rsidR="001B4D76" w:rsidRPr="001B4D76" w14:paraId="3E0DD78A" w14:textId="77777777" w:rsidTr="00D1149C">
        <w:tc>
          <w:tcPr>
            <w:tcW w:w="734" w:type="dxa"/>
          </w:tcPr>
          <w:p w14:paraId="3F018CA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759" w:type="dxa"/>
          </w:tcPr>
          <w:p w14:paraId="397E519D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Дублювання функцій управління, як наслідок – зростання витрат на управління є недоліком, притаманним для:</w:t>
            </w:r>
          </w:p>
        </w:tc>
      </w:tr>
      <w:tr w:rsidR="001B4D76" w:rsidRPr="001B4D76" w14:paraId="2E5DAB22" w14:textId="77777777" w:rsidTr="00D1149C">
        <w:tc>
          <w:tcPr>
            <w:tcW w:w="734" w:type="dxa"/>
          </w:tcPr>
          <w:p w14:paraId="3412AB5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759" w:type="dxa"/>
          </w:tcPr>
          <w:p w14:paraId="4B44EDA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Тимчасові проектні групи створюються в рамках:</w:t>
            </w:r>
          </w:p>
        </w:tc>
      </w:tr>
      <w:tr w:rsidR="001B4D76" w:rsidRPr="001B4D76" w14:paraId="6D46F70B" w14:textId="77777777" w:rsidTr="00D1149C">
        <w:tc>
          <w:tcPr>
            <w:tcW w:w="734" w:type="dxa"/>
          </w:tcPr>
          <w:p w14:paraId="5A7B092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759" w:type="dxa"/>
          </w:tcPr>
          <w:p w14:paraId="3D1BC450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Можливість одночасної реалізації декількох проектів є перевагою:</w:t>
            </w:r>
          </w:p>
        </w:tc>
      </w:tr>
      <w:tr w:rsidR="001B4D76" w:rsidRPr="001B4D76" w14:paraId="5F7DC43F" w14:textId="77777777" w:rsidTr="00D1149C">
        <w:tc>
          <w:tcPr>
            <w:tcW w:w="734" w:type="dxa"/>
          </w:tcPr>
          <w:p w14:paraId="568053DC" w14:textId="77777777" w:rsidR="001B4D76" w:rsidRPr="001B4D76" w:rsidRDefault="001B4D76" w:rsidP="001B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759" w:type="dxa"/>
          </w:tcPr>
          <w:p w14:paraId="141E0A4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Технологія, яка практично залишається незмінною протягом усього життєвого циклу, називається:</w:t>
            </w:r>
          </w:p>
        </w:tc>
      </w:tr>
      <w:tr w:rsidR="001B4D76" w:rsidRPr="001B4D76" w14:paraId="6CC7B764" w14:textId="77777777" w:rsidTr="00D1149C">
        <w:tc>
          <w:tcPr>
            <w:tcW w:w="734" w:type="dxa"/>
          </w:tcPr>
          <w:p w14:paraId="76DE9F6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759" w:type="dxa"/>
          </w:tcPr>
          <w:p w14:paraId="5595BED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Технологія, яка постійно вдосконалюється, називається:</w:t>
            </w:r>
          </w:p>
        </w:tc>
      </w:tr>
      <w:tr w:rsidR="001B4D76" w:rsidRPr="001B4D76" w14:paraId="7F9C328D" w14:textId="77777777" w:rsidTr="00D1149C">
        <w:tc>
          <w:tcPr>
            <w:tcW w:w="734" w:type="dxa"/>
          </w:tcPr>
          <w:p w14:paraId="44D35D6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759" w:type="dxa"/>
          </w:tcPr>
          <w:p w14:paraId="7BB23B5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Технологія, за якої в період життєвого циклу залучають нові базові технології, називається:</w:t>
            </w:r>
          </w:p>
        </w:tc>
      </w:tr>
      <w:tr w:rsidR="001B4D76" w:rsidRPr="001B4D76" w14:paraId="5DC1A9F4" w14:textId="77777777" w:rsidTr="00D1149C">
        <w:tc>
          <w:tcPr>
            <w:tcW w:w="734" w:type="dxa"/>
          </w:tcPr>
          <w:p w14:paraId="264C4E6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759" w:type="dxa"/>
          </w:tcPr>
          <w:p w14:paraId="5869612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Сукупність норм, цінностей, традицій, поглядів, які часто не підлягають формулюванню і бездоказово приймаються й поділяються всіма членами колективу – це:</w:t>
            </w:r>
          </w:p>
        </w:tc>
      </w:tr>
      <w:tr w:rsidR="001B4D76" w:rsidRPr="001B4D76" w14:paraId="2113208B" w14:textId="77777777" w:rsidTr="00D1149C">
        <w:tc>
          <w:tcPr>
            <w:tcW w:w="734" w:type="dxa"/>
          </w:tcPr>
          <w:p w14:paraId="69A1CEB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759" w:type="dxa"/>
          </w:tcPr>
          <w:p w14:paraId="7F84B4A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показником використання матеріальних ресурсів є:</w:t>
            </w:r>
          </w:p>
        </w:tc>
      </w:tr>
      <w:tr w:rsidR="001B4D76" w:rsidRPr="001B4D76" w14:paraId="57692ADA" w14:textId="77777777" w:rsidTr="00D1149C">
        <w:tc>
          <w:tcPr>
            <w:tcW w:w="734" w:type="dxa"/>
          </w:tcPr>
          <w:p w14:paraId="75D43F0C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759" w:type="dxa"/>
          </w:tcPr>
          <w:p w14:paraId="6A83A54B" w14:textId="77777777" w:rsidR="001B4D76" w:rsidRPr="001B4D76" w:rsidRDefault="001B4D76" w:rsidP="001B4D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Активи підприємства – це:</w:t>
            </w:r>
          </w:p>
        </w:tc>
      </w:tr>
      <w:tr w:rsidR="001B4D76" w:rsidRPr="001B4D76" w14:paraId="45FEF230" w14:textId="77777777" w:rsidTr="00D1149C">
        <w:tc>
          <w:tcPr>
            <w:tcW w:w="734" w:type="dxa"/>
          </w:tcPr>
          <w:p w14:paraId="789DC9A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759" w:type="dxa"/>
          </w:tcPr>
          <w:p w14:paraId="584E116A" w14:textId="77777777" w:rsidR="001B4D76" w:rsidRPr="001B4D76" w:rsidRDefault="001B4D76" w:rsidP="001B4D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Як поділяють активи підприємства за характером участі в процесі господарювання:</w:t>
            </w:r>
          </w:p>
        </w:tc>
      </w:tr>
      <w:tr w:rsidR="001B4D76" w:rsidRPr="001B4D76" w14:paraId="5FFD4A43" w14:textId="77777777" w:rsidTr="00D1149C">
        <w:tc>
          <w:tcPr>
            <w:tcW w:w="734" w:type="dxa"/>
          </w:tcPr>
          <w:p w14:paraId="609DFDB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759" w:type="dxa"/>
          </w:tcPr>
          <w:p w14:paraId="281C47DA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Комплексний індикатор спроможності підприємства реагувати на флуктуації факторів зовнішнього середовища – це:</w:t>
            </w:r>
          </w:p>
        </w:tc>
      </w:tr>
      <w:tr w:rsidR="001B4D76" w:rsidRPr="001B4D76" w14:paraId="021DB42B" w14:textId="77777777" w:rsidTr="00D1149C">
        <w:tc>
          <w:tcPr>
            <w:tcW w:w="734" w:type="dxa"/>
          </w:tcPr>
          <w:p w14:paraId="1316E4E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759" w:type="dxa"/>
          </w:tcPr>
          <w:p w14:paraId="70582F5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показників ринкової стійкості при розрахунку коефіцієнта адаптивності не належить:</w:t>
            </w:r>
          </w:p>
        </w:tc>
      </w:tr>
      <w:tr w:rsidR="001B4D76" w:rsidRPr="001B4D76" w14:paraId="064CDE21" w14:textId="77777777" w:rsidTr="00D1149C">
        <w:tc>
          <w:tcPr>
            <w:tcW w:w="734" w:type="dxa"/>
          </w:tcPr>
          <w:p w14:paraId="48957DB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759" w:type="dxa"/>
          </w:tcPr>
          <w:p w14:paraId="2A04696A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груп показників при розрахунку коефіцієнта адаптивності не належать:</w:t>
            </w:r>
          </w:p>
        </w:tc>
      </w:tr>
      <w:tr w:rsidR="001B4D76" w:rsidRPr="001B4D76" w14:paraId="6044B19E" w14:textId="77777777" w:rsidTr="00D1149C">
        <w:tc>
          <w:tcPr>
            <w:tcW w:w="734" w:type="dxa"/>
          </w:tcPr>
          <w:p w14:paraId="4DF24A9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759" w:type="dxa"/>
          </w:tcPr>
          <w:p w14:paraId="6323677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Результат творчого цілеспрямованого аналізу проблемної ситуації, вибору шляхів, методів і засобів її вирішення у відповідності з ціллю системи менеджменту – це…</w:t>
            </w:r>
          </w:p>
        </w:tc>
      </w:tr>
      <w:tr w:rsidR="001B4D76" w:rsidRPr="001B4D76" w14:paraId="132E134C" w14:textId="77777777" w:rsidTr="00D1149C">
        <w:tc>
          <w:tcPr>
            <w:tcW w:w="734" w:type="dxa"/>
          </w:tcPr>
          <w:p w14:paraId="465EEA7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759" w:type="dxa"/>
          </w:tcPr>
          <w:p w14:paraId="4256B36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Прийняте рішення не повинно відставати або випереджати потреби і задачі соціально-економічної системи – це така вимога, як …</w:t>
            </w:r>
          </w:p>
        </w:tc>
      </w:tr>
      <w:tr w:rsidR="001B4D76" w:rsidRPr="001B4D76" w14:paraId="641CDCB0" w14:textId="77777777" w:rsidTr="00D1149C">
        <w:tc>
          <w:tcPr>
            <w:tcW w:w="734" w:type="dxa"/>
          </w:tcPr>
          <w:p w14:paraId="69A7150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759" w:type="dxa"/>
          </w:tcPr>
          <w:p w14:paraId="49DDFC1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Необхідність прийняття рішення на базі максимально повної й достовірної інформації визначає наступну вимогу до управлінських рішень:</w:t>
            </w:r>
          </w:p>
        </w:tc>
      </w:tr>
      <w:tr w:rsidR="001B4D76" w:rsidRPr="001B4D76" w14:paraId="22BD50BF" w14:textId="77777777" w:rsidTr="00D1149C">
        <w:tc>
          <w:tcPr>
            <w:tcW w:w="734" w:type="dxa"/>
          </w:tcPr>
          <w:p w14:paraId="424B4014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759" w:type="dxa"/>
          </w:tcPr>
          <w:p w14:paraId="5BE6079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Розширення видів діяльності за рахунок тих, що пов’язані із основною за технологічним циклом, відноситься до:</w:t>
            </w:r>
          </w:p>
        </w:tc>
      </w:tr>
      <w:tr w:rsidR="001B4D76" w:rsidRPr="001B4D76" w14:paraId="6523CE65" w14:textId="77777777" w:rsidTr="00D1149C">
        <w:tc>
          <w:tcPr>
            <w:tcW w:w="734" w:type="dxa"/>
          </w:tcPr>
          <w:p w14:paraId="53CF67A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759" w:type="dxa"/>
          </w:tcPr>
          <w:p w14:paraId="56C881A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Розширення видів діяльності за рахунок непов’язаних із основною відноситься до:</w:t>
            </w:r>
          </w:p>
        </w:tc>
      </w:tr>
      <w:tr w:rsidR="001B4D76" w:rsidRPr="001B4D76" w14:paraId="29BB819E" w14:textId="77777777" w:rsidTr="00D1149C">
        <w:tc>
          <w:tcPr>
            <w:tcW w:w="734" w:type="dxa"/>
          </w:tcPr>
          <w:p w14:paraId="29B1DEE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759" w:type="dxa"/>
          </w:tcPr>
          <w:p w14:paraId="27C0C7B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Розширення видів діяльності за рахунок тих, що орієнтовані на існуючих споживачів, але не пов’язані із основним за технологічним циклом, відноситься до:</w:t>
            </w:r>
          </w:p>
        </w:tc>
      </w:tr>
      <w:tr w:rsidR="001B4D76" w:rsidRPr="001B4D76" w14:paraId="57F0DC79" w14:textId="77777777" w:rsidTr="00D1149C">
        <w:tc>
          <w:tcPr>
            <w:tcW w:w="734" w:type="dxa"/>
          </w:tcPr>
          <w:p w14:paraId="196849B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8759" w:type="dxa"/>
          </w:tcPr>
          <w:p w14:paraId="50E0B79D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Об’єднання з конкурентами відноситься до такого виду інтеграції:</w:t>
            </w:r>
          </w:p>
        </w:tc>
      </w:tr>
      <w:tr w:rsidR="001B4D76" w:rsidRPr="001B4D76" w14:paraId="0DAB089A" w14:textId="77777777" w:rsidTr="00D1149C">
        <w:tc>
          <w:tcPr>
            <w:tcW w:w="734" w:type="dxa"/>
          </w:tcPr>
          <w:p w14:paraId="4E46F10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759" w:type="dxa"/>
          </w:tcPr>
          <w:p w14:paraId="1298DEE1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Об’єднання з постачальниками відноситься до такого виду інтеграції:</w:t>
            </w:r>
          </w:p>
        </w:tc>
      </w:tr>
      <w:tr w:rsidR="001B4D76" w:rsidRPr="001B4D76" w14:paraId="09048282" w14:textId="77777777" w:rsidTr="00D1149C">
        <w:tc>
          <w:tcPr>
            <w:tcW w:w="734" w:type="dxa"/>
          </w:tcPr>
          <w:p w14:paraId="7575AB8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759" w:type="dxa"/>
          </w:tcPr>
          <w:p w14:paraId="3E421AA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Об’єднання з споживачами (покупцями) відноситься до такого виду інтеграції:</w:t>
            </w:r>
          </w:p>
        </w:tc>
      </w:tr>
      <w:tr w:rsidR="001B4D76" w:rsidRPr="001B4D76" w14:paraId="015DB544" w14:textId="77777777" w:rsidTr="00D1149C">
        <w:tc>
          <w:tcPr>
            <w:tcW w:w="734" w:type="dxa"/>
          </w:tcPr>
          <w:p w14:paraId="0D0F7DE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759" w:type="dxa"/>
          </w:tcPr>
          <w:p w14:paraId="265E0E7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Науково-обґрунтоване судження про можливий стан підприємства в майбутньому і альтернативні шляхи і строки їх реалізації – це:</w:t>
            </w:r>
          </w:p>
        </w:tc>
      </w:tr>
      <w:tr w:rsidR="001B4D76" w:rsidRPr="001B4D76" w14:paraId="2CE815AB" w14:textId="77777777" w:rsidTr="00D1149C">
        <w:tc>
          <w:tcPr>
            <w:tcW w:w="734" w:type="dxa"/>
          </w:tcPr>
          <w:p w14:paraId="02FF9081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759" w:type="dxa"/>
          </w:tcPr>
          <w:p w14:paraId="21574B1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Прогнози, що передбачають можливість активних дій підприємства щодо проектування власного майбутнього, його реального впливу на зовнішнє середовище:</w:t>
            </w:r>
          </w:p>
        </w:tc>
      </w:tr>
      <w:tr w:rsidR="001B4D76" w:rsidRPr="001B4D76" w14:paraId="422AA111" w14:textId="77777777" w:rsidTr="00D1149C">
        <w:tc>
          <w:tcPr>
            <w:tcW w:w="734" w:type="dxa"/>
          </w:tcPr>
          <w:p w14:paraId="5E9412A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759" w:type="dxa"/>
          </w:tcPr>
          <w:p w14:paraId="719D7F5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Прогнози, що передбачають можливість самостійного, незалежно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softHyphen/>
              <w:t>го від дії підприємства розвитку зовнішніх процесів, і підприємство через ряд причин не має наміру впливати на своє середовище:</w:t>
            </w:r>
          </w:p>
        </w:tc>
      </w:tr>
      <w:tr w:rsidR="001B4D76" w:rsidRPr="001B4D76" w14:paraId="543C5D6A" w14:textId="77777777" w:rsidTr="00D1149C">
        <w:tc>
          <w:tcPr>
            <w:tcW w:w="734" w:type="dxa"/>
          </w:tcPr>
          <w:p w14:paraId="7871E436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759" w:type="dxa"/>
          </w:tcPr>
          <w:p w14:paraId="444CE00E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Ймовірність прогнозованих подій велика, підпри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softHyphen/>
              <w:t>ємство розраховує на високий ступінь визначеності майбутнього середовища, прогноз містить тільки один варіант розвитку. Це характерно для таких прогнозів:</w:t>
            </w:r>
          </w:p>
        </w:tc>
      </w:tr>
      <w:tr w:rsidR="001B4D76" w:rsidRPr="001B4D76" w14:paraId="5F36DE9D" w14:textId="77777777" w:rsidTr="00D1149C">
        <w:tc>
          <w:tcPr>
            <w:tcW w:w="734" w:type="dxa"/>
          </w:tcPr>
          <w:p w14:paraId="2AD88DA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759" w:type="dxa"/>
          </w:tcPr>
          <w:p w14:paraId="50BF8AA6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Прогнози, що мають в основі передбачення велику невизначеність майбутнього середовища і тому наявні кілька ймовірних станів підприємства в майбутньому:</w:t>
            </w:r>
          </w:p>
        </w:tc>
      </w:tr>
      <w:tr w:rsidR="001B4D76" w:rsidRPr="001B4D76" w14:paraId="2991C704" w14:textId="77777777" w:rsidTr="00D1149C">
        <w:tc>
          <w:tcPr>
            <w:tcW w:w="734" w:type="dxa"/>
          </w:tcPr>
          <w:p w14:paraId="570724D8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759" w:type="dxa"/>
          </w:tcPr>
          <w:p w14:paraId="481D5D51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Прогнози, що передбачають, що певний варіант прогнозу містить одне значення прогнозованого показника:</w:t>
            </w:r>
          </w:p>
        </w:tc>
      </w:tr>
      <w:tr w:rsidR="001B4D76" w:rsidRPr="001B4D76" w14:paraId="43F25CF5" w14:textId="77777777" w:rsidTr="00D1149C">
        <w:tc>
          <w:tcPr>
            <w:tcW w:w="734" w:type="dxa"/>
          </w:tcPr>
          <w:p w14:paraId="588CAF15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759" w:type="dxa"/>
          </w:tcPr>
          <w:p w14:paraId="28258F2C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Метод прогнозування, який базується на гіпотезі схожості умов існу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вання підприємства в минулому, теперішньому і майбутньому:</w:t>
            </w:r>
          </w:p>
        </w:tc>
      </w:tr>
      <w:tr w:rsidR="001B4D76" w:rsidRPr="001B4D76" w14:paraId="2C4A266F" w14:textId="77777777" w:rsidTr="00D1149C">
        <w:tc>
          <w:tcPr>
            <w:tcW w:w="734" w:type="dxa"/>
          </w:tcPr>
          <w:p w14:paraId="43E4F1E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759" w:type="dxa"/>
          </w:tcPr>
          <w:p w14:paraId="41210F06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Метод прогнозування, який передбачає дослід</w:t>
            </w:r>
            <w:r w:rsidRPr="001B4D76">
              <w:rPr>
                <w:rFonts w:ascii="Times New Roman" w:hAnsi="Times New Roman" w:cs="Times New Roman"/>
                <w:sz w:val="28"/>
                <w:szCs w:val="28"/>
              </w:rPr>
              <w:softHyphen/>
              <w:t>ження залежності певної величини або ряду величин:</w:t>
            </w:r>
          </w:p>
        </w:tc>
      </w:tr>
      <w:tr w:rsidR="001B4D76" w:rsidRPr="001B4D76" w14:paraId="4A8680A2" w14:textId="77777777" w:rsidTr="00D1149C">
        <w:tc>
          <w:tcPr>
            <w:tcW w:w="734" w:type="dxa"/>
          </w:tcPr>
          <w:p w14:paraId="33B12E37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759" w:type="dxa"/>
          </w:tcPr>
          <w:p w14:paraId="2F46CF2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Метод прогнозування, який передбачає використання моделей внутрішнього середовища підприємства, макроекономічних (</w:t>
            </w:r>
            <w:proofErr w:type="spellStart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економетричних</w:t>
            </w:r>
            <w:proofErr w:type="spellEnd"/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) моделей:</w:t>
            </w:r>
          </w:p>
        </w:tc>
      </w:tr>
      <w:tr w:rsidR="001B4D76" w:rsidRPr="001B4D76" w14:paraId="0080F9CA" w14:textId="77777777" w:rsidTr="00D1149C">
        <w:tc>
          <w:tcPr>
            <w:tcW w:w="734" w:type="dxa"/>
          </w:tcPr>
          <w:p w14:paraId="2501A2C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759" w:type="dxa"/>
          </w:tcPr>
          <w:p w14:paraId="4ACEF45A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Метод прогнозування, який передбачає врахування суб’єктивної думки експертів про майбутній стан об’єкта або середовища:</w:t>
            </w:r>
          </w:p>
        </w:tc>
      </w:tr>
      <w:tr w:rsidR="001B4D76" w:rsidRPr="001B4D76" w14:paraId="665D11DC" w14:textId="77777777" w:rsidTr="00D1149C">
        <w:tc>
          <w:tcPr>
            <w:tcW w:w="734" w:type="dxa"/>
          </w:tcPr>
          <w:p w14:paraId="6EFB6CB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759" w:type="dxa"/>
          </w:tcPr>
          <w:p w14:paraId="3E874489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>Незворотні, цілеспрямовані та закономірні зміни господарської системи, послідовність переходу її з одного стану в якісно інший на основі удосконалення техніки, технології та організації праці, впровадження новацій в управлінні – це:</w:t>
            </w:r>
          </w:p>
        </w:tc>
      </w:tr>
      <w:tr w:rsidR="001B4D76" w:rsidRPr="001B4D76" w14:paraId="098CDD83" w14:textId="77777777" w:rsidTr="00D1149C">
        <w:tc>
          <w:tcPr>
            <w:tcW w:w="734" w:type="dxa"/>
          </w:tcPr>
          <w:p w14:paraId="1B8319D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759" w:type="dxa"/>
          </w:tcPr>
          <w:p w14:paraId="0F8201D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Відповідно до Податкового Кодексу України, основними засобами є матеріальні активи, вартість яких перевищує:</w:t>
            </w:r>
          </w:p>
        </w:tc>
      </w:tr>
      <w:tr w:rsidR="001B4D76" w:rsidRPr="001B4D76" w14:paraId="4C775CC2" w14:textId="77777777" w:rsidTr="00D1149C">
        <w:tc>
          <w:tcPr>
            <w:tcW w:w="734" w:type="dxa"/>
          </w:tcPr>
          <w:p w14:paraId="7C1AA69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759" w:type="dxa"/>
          </w:tcPr>
          <w:p w14:paraId="2576751B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методів нарахування амортизації не відноситься:</w:t>
            </w:r>
          </w:p>
        </w:tc>
      </w:tr>
      <w:tr w:rsidR="001B4D76" w:rsidRPr="001B4D76" w14:paraId="4C2C9214" w14:textId="77777777" w:rsidTr="00D1149C">
        <w:tc>
          <w:tcPr>
            <w:tcW w:w="734" w:type="dxa"/>
          </w:tcPr>
          <w:p w14:paraId="1A2E510D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759" w:type="dxa"/>
          </w:tcPr>
          <w:p w14:paraId="7DE819A4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До виробничих запасів не відноситься:</w:t>
            </w:r>
          </w:p>
        </w:tc>
      </w:tr>
      <w:tr w:rsidR="001B4D76" w:rsidRPr="001B4D76" w14:paraId="4C6DDA11" w14:textId="77777777" w:rsidTr="00D1149C">
        <w:tc>
          <w:tcPr>
            <w:tcW w:w="734" w:type="dxa"/>
          </w:tcPr>
          <w:p w14:paraId="64ECD98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759" w:type="dxa"/>
          </w:tcPr>
          <w:p w14:paraId="6D616508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Матеріаловіддача визначається як:</w:t>
            </w:r>
          </w:p>
        </w:tc>
      </w:tr>
      <w:tr w:rsidR="001B4D76" w:rsidRPr="001B4D76" w14:paraId="35F0FEDE" w14:textId="77777777" w:rsidTr="00D1149C">
        <w:tc>
          <w:tcPr>
            <w:tcW w:w="734" w:type="dxa"/>
          </w:tcPr>
          <w:p w14:paraId="2D53A940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759" w:type="dxa"/>
          </w:tcPr>
          <w:p w14:paraId="7D90C560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 адміністративного, комерційного або іншого характеру, що істотно поліпшують структуру та якість виробництва і (або) соціальної сфери – це:</w:t>
            </w:r>
          </w:p>
        </w:tc>
      </w:tr>
      <w:tr w:rsidR="001B4D76" w:rsidRPr="001B4D76" w14:paraId="0841273C" w14:textId="77777777" w:rsidTr="00D1149C">
        <w:tc>
          <w:tcPr>
            <w:tcW w:w="734" w:type="dxa"/>
          </w:tcPr>
          <w:p w14:paraId="796E6263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234.</w:t>
            </w:r>
          </w:p>
        </w:tc>
        <w:tc>
          <w:tcPr>
            <w:tcW w:w="8759" w:type="dxa"/>
          </w:tcPr>
          <w:p w14:paraId="1AC164B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Інновації, що спрямовані на створення нових або вдосконалення існуючих видів продукції / послуг, називаються:</w:t>
            </w:r>
          </w:p>
        </w:tc>
      </w:tr>
      <w:tr w:rsidR="001B4D76" w:rsidRPr="001B4D76" w14:paraId="7FBA17C0" w14:textId="77777777" w:rsidTr="00D1149C">
        <w:tc>
          <w:tcPr>
            <w:tcW w:w="734" w:type="dxa"/>
          </w:tcPr>
          <w:p w14:paraId="468AD41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759" w:type="dxa"/>
          </w:tcPr>
          <w:p w14:paraId="56F7E93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Інновації, що базуються на відкриттях та, зазвичай, сприяють створенню нових галузей виробництва та споживання, ринків тощо, називаються:</w:t>
            </w:r>
          </w:p>
        </w:tc>
      </w:tr>
      <w:tr w:rsidR="001B4D76" w:rsidRPr="001B4D76" w14:paraId="4FB9ACE1" w14:textId="77777777" w:rsidTr="00D1149C">
        <w:tc>
          <w:tcPr>
            <w:tcW w:w="734" w:type="dxa"/>
          </w:tcPr>
          <w:p w14:paraId="212E12D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759" w:type="dxa"/>
          </w:tcPr>
          <w:p w14:paraId="7F969AB2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Інновації, що базуються на винаходах або нових рішення та визначають суттєві зміни у традиційних галузях, називаються:</w:t>
            </w:r>
          </w:p>
        </w:tc>
      </w:tr>
      <w:tr w:rsidR="001B4D76" w:rsidRPr="001B4D76" w14:paraId="07302FA3" w14:textId="77777777" w:rsidTr="00D1149C">
        <w:tc>
          <w:tcPr>
            <w:tcW w:w="734" w:type="dxa"/>
          </w:tcPr>
          <w:p w14:paraId="212A044A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759" w:type="dxa"/>
          </w:tcPr>
          <w:p w14:paraId="63F34879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Відповідальність компанії за суспільну корисність своєї діяльності перед усіма людьми та організаціями, з якими вона взаємодіє в процесі функціонування, та перед суспільством загалом – це:</w:t>
            </w:r>
          </w:p>
        </w:tc>
      </w:tr>
      <w:tr w:rsidR="001B4D76" w:rsidRPr="001B4D76" w14:paraId="3052CE9F" w14:textId="77777777" w:rsidTr="00D1149C">
        <w:tc>
          <w:tcPr>
            <w:tcW w:w="734" w:type="dxa"/>
          </w:tcPr>
          <w:p w14:paraId="5EA04659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759" w:type="dxa"/>
          </w:tcPr>
          <w:p w14:paraId="45B79EC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Цілеспрямована, свідома діяльність, пов’язана з розробкою, запровадженням, реалізацією, контролюванням різноманітних заходів природоохоронного характеру, які повинні забезпечити раціональне використання і збереження природних ресурсів, дотримання екологічної безпеки – це:</w:t>
            </w:r>
          </w:p>
        </w:tc>
      </w:tr>
      <w:tr w:rsidR="001B4D76" w:rsidRPr="001B4D76" w14:paraId="1C66DF93" w14:textId="77777777" w:rsidTr="00D1149C">
        <w:tc>
          <w:tcPr>
            <w:tcW w:w="734" w:type="dxa"/>
          </w:tcPr>
          <w:p w14:paraId="73CD888B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759" w:type="dxa"/>
          </w:tcPr>
          <w:p w14:paraId="2EFC3415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 xml:space="preserve">До завдань екологічного менеджменту не відноситься: </w:t>
            </w:r>
          </w:p>
        </w:tc>
      </w:tr>
      <w:tr w:rsidR="001B4D76" w:rsidRPr="001B4D76" w14:paraId="364D2267" w14:textId="77777777" w:rsidTr="00D1149C">
        <w:tc>
          <w:tcPr>
            <w:tcW w:w="734" w:type="dxa"/>
          </w:tcPr>
          <w:p w14:paraId="319BCAFE" w14:textId="77777777" w:rsidR="001B4D76" w:rsidRPr="001B4D76" w:rsidRDefault="001B4D76" w:rsidP="001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759" w:type="dxa"/>
          </w:tcPr>
          <w:p w14:paraId="40C73BC7" w14:textId="77777777" w:rsidR="001B4D76" w:rsidRPr="001B4D76" w:rsidRDefault="001B4D76" w:rsidP="001B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76">
              <w:rPr>
                <w:rFonts w:ascii="Times New Roman" w:hAnsi="Times New Roman" w:cs="Times New Roman"/>
                <w:sz w:val="28"/>
                <w:szCs w:val="28"/>
              </w:rPr>
              <w:t>Вид діяльності, зумовлений необхідністю розподілу праці та спеціалізацією у сфері управління з метою ефективного розв'язання комплексу екологічних проблем, - це:</w:t>
            </w:r>
          </w:p>
        </w:tc>
      </w:tr>
    </w:tbl>
    <w:p w14:paraId="4B83A969" w14:textId="77777777" w:rsidR="00063DCE" w:rsidRDefault="00063DCE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DCE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63DCE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B4D76"/>
    <w:rsid w:val="001F67FB"/>
    <w:rsid w:val="00211085"/>
    <w:rsid w:val="00211F35"/>
    <w:rsid w:val="00211FAA"/>
    <w:rsid w:val="00262F87"/>
    <w:rsid w:val="00271131"/>
    <w:rsid w:val="00275248"/>
    <w:rsid w:val="002840CE"/>
    <w:rsid w:val="002A3E0B"/>
    <w:rsid w:val="002A4711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21ED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11085"/>
  </w:style>
  <w:style w:type="table" w:customStyle="1" w:styleId="10">
    <w:name w:val="Сетка таблицы1"/>
    <w:basedOn w:val="a1"/>
    <w:next w:val="a3"/>
    <w:uiPriority w:val="99"/>
    <w:rsid w:val="00211085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211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11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08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110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08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211085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rsid w:val="00211085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211085"/>
    <w:pPr>
      <w:widowControl w:val="0"/>
      <w:autoSpaceDE w:val="0"/>
      <w:autoSpaceDN w:val="0"/>
      <w:adjustRightInd w:val="0"/>
      <w:spacing w:after="0" w:line="1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rsid w:val="00211085"/>
    <w:pPr>
      <w:widowControl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31">
    <w:name w:val="Обычный3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11085"/>
    <w:pPr>
      <w:ind w:firstLine="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ac">
    <w:name w:val="тест"/>
    <w:basedOn w:val="a"/>
    <w:uiPriority w:val="99"/>
    <w:rsid w:val="00211085"/>
    <w:pPr>
      <w:widowControl w:val="0"/>
      <w:shd w:val="clear" w:color="auto" w:fill="FFFFFF"/>
      <w:tabs>
        <w:tab w:val="left" w:pos="744"/>
      </w:tabs>
      <w:spacing w:after="0" w:line="240" w:lineRule="auto"/>
      <w:ind w:firstLine="142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ответ1"/>
    <w:basedOn w:val="a"/>
    <w:uiPriority w:val="99"/>
    <w:rsid w:val="00211085"/>
    <w:pPr>
      <w:widowControl w:val="0"/>
      <w:shd w:val="clear" w:color="auto" w:fill="FFFFFF"/>
      <w:tabs>
        <w:tab w:val="left" w:pos="709"/>
      </w:tabs>
      <w:spacing w:after="0" w:line="240" w:lineRule="auto"/>
      <w:ind w:left="426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21108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ий колонтитул Знак"/>
    <w:basedOn w:val="a0"/>
    <w:link w:val="13"/>
    <w:uiPriority w:val="99"/>
    <w:rsid w:val="00211085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14"/>
    <w:uiPriority w:val="99"/>
    <w:semiHidden/>
    <w:unhideWhenUsed/>
    <w:rsid w:val="002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21108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8</cp:revision>
  <dcterms:created xsi:type="dcterms:W3CDTF">2020-10-05T21:41:00Z</dcterms:created>
  <dcterms:modified xsi:type="dcterms:W3CDTF">2021-03-13T10:31:00Z</dcterms:modified>
</cp:coreProperties>
</file>