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1F13ED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1F13ED" w:rsidRDefault="000B56BB" w:rsidP="001F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1F13ED" w:rsidRPr="004C32C8">
              <w:rPr>
                <w:rFonts w:ascii="Times New Roman" w:hAnsi="Times New Roman" w:cs="Times New Roman"/>
                <w:sz w:val="28"/>
                <w:szCs w:val="28"/>
              </w:rPr>
              <w:t>071 «Облік і оподаткування»</w:t>
            </w:r>
            <w:bookmarkStart w:id="0" w:name="_GoBack"/>
            <w:bookmarkEnd w:id="0"/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вмінені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Приймаючи рішення щодо оптимального обсягу виробництва,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нижчеподаних властивостей карти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ізоквант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Ринкова структура, в якій більша частина продажу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здійснюєтьсявеликими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13ED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328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4F67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A8C8-8EAD-45E1-B82A-F41F242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2892</Words>
  <Characters>16490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10</cp:revision>
  <dcterms:created xsi:type="dcterms:W3CDTF">2018-05-15T06:17:00Z</dcterms:created>
  <dcterms:modified xsi:type="dcterms:W3CDTF">2020-06-09T05:40:00Z</dcterms:modified>
</cp:coreProperties>
</file>