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1473" w14:textId="13BBD6DA" w:rsidR="00F87AC2" w:rsidRDefault="00F87AC2" w:rsidP="00B4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дисципліну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</w:p>
    <w:p w14:paraId="1200714C" w14:textId="77777777" w:rsidR="00B4384B" w:rsidRDefault="00B4384B" w:rsidP="00B438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6222"/>
      </w:tblGrid>
      <w:tr w:rsidR="00535BB8" w:rsidRPr="00B4384B" w14:paraId="4D9F6BC2" w14:textId="77777777" w:rsidTr="00F87AC2">
        <w:tc>
          <w:tcPr>
            <w:tcW w:w="0" w:type="auto"/>
          </w:tcPr>
          <w:p w14:paraId="36072B34" w14:textId="77777777" w:rsidR="00F87AC2" w:rsidRPr="00B4384B" w:rsidRDefault="00F87AC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0" w:type="auto"/>
          </w:tcPr>
          <w:p w14:paraId="4C114561" w14:textId="77777777" w:rsidR="00F87AC2" w:rsidRPr="00B4384B" w:rsidRDefault="00F87AC2" w:rsidP="001B26F7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B4384B">
              <w:rPr>
                <w:rFonts w:ascii="Times New Roman" w:hAnsi="Times New Roman" w:cs="Times New Roman"/>
                <w:lang w:val="uk-UA"/>
              </w:rPr>
              <w:t>Поведінкова економіка: як робити правильний вибір</w:t>
            </w:r>
            <w:bookmarkEnd w:id="0"/>
          </w:p>
        </w:tc>
      </w:tr>
      <w:tr w:rsidR="00535BB8" w:rsidRPr="00B4384B" w14:paraId="1B5F59A3" w14:textId="77777777" w:rsidTr="00F87AC2">
        <w:tc>
          <w:tcPr>
            <w:tcW w:w="0" w:type="auto"/>
          </w:tcPr>
          <w:p w14:paraId="77F5E34A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0" w:type="auto"/>
          </w:tcPr>
          <w:p w14:paraId="2F1D8AB7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5BB8" w:rsidRPr="00B4384B" w14:paraId="35B2ED76" w14:textId="77777777" w:rsidTr="00F87AC2">
        <w:tc>
          <w:tcPr>
            <w:tcW w:w="0" w:type="auto"/>
          </w:tcPr>
          <w:p w14:paraId="33FE7CCF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Кафедра</w:t>
            </w:r>
          </w:p>
        </w:tc>
        <w:tc>
          <w:tcPr>
            <w:tcW w:w="0" w:type="auto"/>
          </w:tcPr>
          <w:p w14:paraId="4506ECB0" w14:textId="6951E4C2" w:rsidR="00F87AC2" w:rsidRPr="00B4384B" w:rsidRDefault="005A57CD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Цифрової економіки та м</w:t>
            </w:r>
            <w:r w:rsidR="00243195" w:rsidRPr="00B4384B">
              <w:rPr>
                <w:rFonts w:ascii="Times New Roman" w:hAnsi="Times New Roman" w:cs="Times New Roman"/>
                <w:lang w:val="uk-UA"/>
              </w:rPr>
              <w:t>іжнародних економічних відносин</w:t>
            </w:r>
          </w:p>
        </w:tc>
      </w:tr>
      <w:tr w:rsidR="00535BB8" w:rsidRPr="00B4384B" w14:paraId="2B9DB9FB" w14:textId="77777777" w:rsidTr="00F87AC2">
        <w:tc>
          <w:tcPr>
            <w:tcW w:w="0" w:type="auto"/>
          </w:tcPr>
          <w:p w14:paraId="2C4C9352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Факультет</w:t>
            </w:r>
          </w:p>
        </w:tc>
        <w:tc>
          <w:tcPr>
            <w:tcW w:w="0" w:type="auto"/>
          </w:tcPr>
          <w:p w14:paraId="10BC8742" w14:textId="48F2E8C2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 xml:space="preserve">Факультет </w:t>
            </w:r>
            <w:r w:rsidR="005A57CD">
              <w:rPr>
                <w:rFonts w:ascii="Times New Roman" w:hAnsi="Times New Roman" w:cs="Times New Roman"/>
                <w:lang w:val="uk-UA"/>
              </w:rPr>
              <w:t>бізнесу та сфери обслуговування</w:t>
            </w:r>
          </w:p>
        </w:tc>
      </w:tr>
      <w:tr w:rsidR="00535BB8" w:rsidRPr="00334E5E" w14:paraId="322AC544" w14:textId="77777777" w:rsidTr="00F87AC2">
        <w:tc>
          <w:tcPr>
            <w:tcW w:w="0" w:type="auto"/>
          </w:tcPr>
          <w:p w14:paraId="5CF4A534" w14:textId="77777777" w:rsidR="00F87AC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Короткий опис дисципліни</w:t>
            </w:r>
          </w:p>
        </w:tc>
        <w:tc>
          <w:tcPr>
            <w:tcW w:w="0" w:type="auto"/>
          </w:tcPr>
          <w:p w14:paraId="30729F9F" w14:textId="77777777" w:rsidR="00CB5B1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 xml:space="preserve">Метою вивчення дисципліни є ознайомлення студентів з теоретичними та практичними основами поведінкової економіки. </w:t>
            </w:r>
          </w:p>
          <w:p w14:paraId="38626789" w14:textId="77777777" w:rsidR="00F87AC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В результаті вивчення дисципліни студент отримає знання з впливу психологічних факторів на вибір споживача про купівлю товарів (робіт, послуг), навчиться робити правильний вибір із врахуванням емоційної складової.</w:t>
            </w:r>
          </w:p>
        </w:tc>
      </w:tr>
      <w:tr w:rsidR="00535BB8" w:rsidRPr="00334E5E" w14:paraId="3A80FFE8" w14:textId="77777777" w:rsidTr="00F87AC2">
        <w:tc>
          <w:tcPr>
            <w:tcW w:w="0" w:type="auto"/>
          </w:tcPr>
          <w:p w14:paraId="2240D7E9" w14:textId="69B772CE" w:rsidR="00D300D5" w:rsidRPr="00B4384B" w:rsidRDefault="008B5FCC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та ціль дисципліни</w:t>
            </w:r>
          </w:p>
        </w:tc>
        <w:tc>
          <w:tcPr>
            <w:tcW w:w="0" w:type="auto"/>
          </w:tcPr>
          <w:p w14:paraId="2CA7C017" w14:textId="12A3262F" w:rsidR="00D300D5" w:rsidRPr="00042162" w:rsidRDefault="00042162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042162">
              <w:rPr>
                <w:rFonts w:ascii="Times New Roman" w:hAnsi="Times New Roman" w:cs="Times New Roman"/>
                <w:lang w:val="uk-UA"/>
              </w:rPr>
              <w:t>ормування у студентів знань теорії та практики поведінкової економіки, розуміння поведінкових закономірностей та їх впливу на перебіг інституціональних процесів, формування на цій основі професійних компетентностей у сфері прийняття економічних рішень</w:t>
            </w:r>
          </w:p>
        </w:tc>
      </w:tr>
      <w:tr w:rsidR="00535BB8" w:rsidRPr="005A57CD" w14:paraId="4DE9CBC8" w14:textId="77777777" w:rsidTr="00F87AC2">
        <w:tc>
          <w:tcPr>
            <w:tcW w:w="0" w:type="auto"/>
          </w:tcPr>
          <w:p w14:paraId="44DF86AD" w14:textId="728ADFBE" w:rsidR="008B5FCC" w:rsidRDefault="008B5FCC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Результати навчання (навички, що </w:t>
            </w:r>
            <w:r w:rsidR="00535BB8">
              <w:rPr>
                <w:rFonts w:ascii="Times New Roman" w:hAnsi="Times New Roman" w:cs="Times New Roman"/>
                <w:lang w:val="uk-UA"/>
              </w:rPr>
              <w:t>отримає здобувач вищої освіти після вивчення навчальної дисципліни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0" w:type="auto"/>
          </w:tcPr>
          <w:p w14:paraId="4E3E7A61" w14:textId="3CEE3D75" w:rsidR="008B5FCC" w:rsidRPr="00B4384B" w:rsidRDefault="00D32169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Розуміти </w:t>
            </w:r>
            <w:r w:rsidR="0057440E">
              <w:rPr>
                <w:rFonts w:ascii="Times New Roman" w:hAnsi="Times New Roman" w:cs="Times New Roman"/>
                <w:lang w:val="uk-UA"/>
              </w:rPr>
              <w:t>причини ірраціональності поведінки людей при прийнятті економічних рішень та вміння використовувати здобуті знання в повсякденному житті</w:t>
            </w:r>
          </w:p>
        </w:tc>
      </w:tr>
      <w:tr w:rsidR="00535BB8" w:rsidRPr="00B4384B" w14:paraId="57C77B20" w14:textId="77777777" w:rsidTr="00F87AC2">
        <w:tc>
          <w:tcPr>
            <w:tcW w:w="0" w:type="auto"/>
          </w:tcPr>
          <w:p w14:paraId="2DDE9B05" w14:textId="77777777" w:rsidR="00F87AC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Перелік тем</w:t>
            </w:r>
          </w:p>
        </w:tc>
        <w:tc>
          <w:tcPr>
            <w:tcW w:w="0" w:type="auto"/>
          </w:tcPr>
          <w:p w14:paraId="4FEDD613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Чому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люди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поводять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себе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нераціонально</w:t>
            </w:r>
            <w:proofErr w:type="spellEnd"/>
            <w:r w:rsidRPr="00B4384B">
              <w:rPr>
                <w:rFonts w:ascii="Times New Roman" w:hAnsi="Times New Roman" w:cs="Times New Roman"/>
              </w:rPr>
              <w:t>.</w:t>
            </w:r>
          </w:p>
          <w:p w14:paraId="723A66C6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Недоліки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попиту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384B">
              <w:rPr>
                <w:rFonts w:ascii="Times New Roman" w:hAnsi="Times New Roman" w:cs="Times New Roman"/>
              </w:rPr>
              <w:t>або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чому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економісти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помиляються</w:t>
            </w:r>
            <w:proofErr w:type="spellEnd"/>
            <w:r w:rsidRPr="00B4384B">
              <w:rPr>
                <w:rFonts w:ascii="Times New Roman" w:hAnsi="Times New Roman" w:cs="Times New Roman"/>
              </w:rPr>
              <w:t>).</w:t>
            </w:r>
          </w:p>
          <w:p w14:paraId="4585ABE5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психологічних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факторів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B4384B">
              <w:rPr>
                <w:rFonts w:ascii="Times New Roman" w:hAnsi="Times New Roman" w:cs="Times New Roman"/>
              </w:rPr>
              <w:t>.</w:t>
            </w:r>
          </w:p>
          <w:p w14:paraId="342054AC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Магічний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4384B">
              <w:rPr>
                <w:rFonts w:ascii="Times New Roman" w:hAnsi="Times New Roman" w:cs="Times New Roman"/>
              </w:rPr>
              <w:t>безкоштовних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товару.</w:t>
            </w:r>
          </w:p>
          <w:p w14:paraId="575D1436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5. Як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спланувати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початковий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споживача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від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залежатиме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подальший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B4384B">
              <w:rPr>
                <w:rFonts w:ascii="Times New Roman" w:hAnsi="Times New Roman" w:cs="Times New Roman"/>
              </w:rPr>
              <w:t>.</w:t>
            </w:r>
          </w:p>
          <w:p w14:paraId="28DD51A2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Невипадковість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іраціонального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вибору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споживача</w:t>
            </w:r>
            <w:proofErr w:type="spellEnd"/>
            <w:r w:rsidRPr="00B4384B">
              <w:rPr>
                <w:rFonts w:ascii="Times New Roman" w:hAnsi="Times New Roman" w:cs="Times New Roman"/>
              </w:rPr>
              <w:t>.</w:t>
            </w:r>
          </w:p>
          <w:p w14:paraId="4D916A8C" w14:textId="77777777" w:rsidR="00CB5B1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7. Як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продавці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маніпулюють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емоціями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клієнта</w:t>
            </w:r>
            <w:proofErr w:type="spellEnd"/>
            <w:r w:rsidRPr="00B4384B">
              <w:rPr>
                <w:rFonts w:ascii="Times New Roman" w:hAnsi="Times New Roman" w:cs="Times New Roman"/>
              </w:rPr>
              <w:t>.</w:t>
            </w:r>
          </w:p>
          <w:p w14:paraId="5EB16DA0" w14:textId="77777777" w:rsidR="00F87AC2" w:rsidRPr="00B4384B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8. Як не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перевитрачати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гроші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власні</w:t>
            </w:r>
            <w:proofErr w:type="spellEnd"/>
            <w:r w:rsidRPr="00B43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84B">
              <w:rPr>
                <w:rFonts w:ascii="Times New Roman" w:hAnsi="Times New Roman" w:cs="Times New Roman"/>
              </w:rPr>
              <w:t>емоції</w:t>
            </w:r>
            <w:proofErr w:type="spellEnd"/>
            <w:r w:rsidRPr="00B4384B">
              <w:rPr>
                <w:rFonts w:ascii="Times New Roman" w:hAnsi="Times New Roman" w:cs="Times New Roman"/>
              </w:rPr>
              <w:t>.</w:t>
            </w:r>
          </w:p>
        </w:tc>
      </w:tr>
      <w:tr w:rsidR="00535BB8" w:rsidRPr="00B4384B" w14:paraId="10D2A14D" w14:textId="77777777" w:rsidTr="00F87AC2">
        <w:tc>
          <w:tcPr>
            <w:tcW w:w="0" w:type="auto"/>
          </w:tcPr>
          <w:p w14:paraId="5E0CA4A4" w14:textId="6428BD90" w:rsidR="00535BB8" w:rsidRPr="00B4384B" w:rsidRDefault="00535BB8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 оцінювання (як розподіляється 100 балів за курс)</w:t>
            </w:r>
          </w:p>
        </w:tc>
        <w:tc>
          <w:tcPr>
            <w:tcW w:w="0" w:type="auto"/>
          </w:tcPr>
          <w:p w14:paraId="26150E4F" w14:textId="1AB8752B" w:rsidR="00535BB8" w:rsidRPr="00B4384B" w:rsidRDefault="0057440E" w:rsidP="001B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модуль 1, 50 </w:t>
            </w:r>
            <w:proofErr w:type="spellStart"/>
            <w:r>
              <w:rPr>
                <w:rFonts w:ascii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модуль 2</w:t>
            </w:r>
          </w:p>
        </w:tc>
      </w:tr>
      <w:tr w:rsidR="00535BB8" w:rsidRPr="00B4384B" w14:paraId="6C1055F1" w14:textId="77777777" w:rsidTr="00F87AC2">
        <w:tc>
          <w:tcPr>
            <w:tcW w:w="0" w:type="auto"/>
          </w:tcPr>
          <w:p w14:paraId="278F3643" w14:textId="49BDEFB1" w:rsidR="00535BB8" w:rsidRDefault="00535BB8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0" w:type="auto"/>
          </w:tcPr>
          <w:p w14:paraId="3C217EF5" w14:textId="16A13DEF" w:rsidR="00535BB8" w:rsidRPr="00B4384B" w:rsidRDefault="00535BB8" w:rsidP="001B2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Залік</w:t>
            </w:r>
            <w:proofErr w:type="spellEnd"/>
          </w:p>
        </w:tc>
      </w:tr>
      <w:tr w:rsidR="00535BB8" w:rsidRPr="00334E5E" w14:paraId="2E1AA617" w14:textId="77777777" w:rsidTr="00F87AC2">
        <w:tc>
          <w:tcPr>
            <w:tcW w:w="0" w:type="auto"/>
          </w:tcPr>
          <w:p w14:paraId="1ACB58F6" w14:textId="77777777" w:rsidR="00F87AC2" w:rsidRPr="00B4384B" w:rsidRDefault="009E4A4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lastRenderedPageBreak/>
              <w:t>Лектор</w:t>
            </w:r>
          </w:p>
        </w:tc>
        <w:tc>
          <w:tcPr>
            <w:tcW w:w="0" w:type="auto"/>
          </w:tcPr>
          <w:p w14:paraId="0620A326" w14:textId="52246B53" w:rsidR="009E4A42" w:rsidRPr="00B4384B" w:rsidRDefault="00F762B6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0" wp14:anchorId="5AAEEEC5" wp14:editId="040AE63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38100</wp:posOffset>
                  </wp:positionV>
                  <wp:extent cx="1792605" cy="1792605"/>
                  <wp:effectExtent l="0" t="0" r="10795" b="10795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199091_644167519127163_6314939850127452376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Бондарчук В.В., к.е.н., 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доцент, доцент кафедри </w:t>
            </w:r>
            <w:r w:rsidR="00DF067B">
              <w:rPr>
                <w:rFonts w:ascii="Times New Roman" w:hAnsi="Times New Roman" w:cs="Times New Roman"/>
                <w:lang w:val="uk-UA"/>
              </w:rPr>
              <w:t xml:space="preserve">цифрової економіки та 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>міжнародних економічних відносин</w:t>
            </w:r>
          </w:p>
          <w:p w14:paraId="2D1F8AC0" w14:textId="322C3970" w:rsidR="00F87AC2" w:rsidRPr="00B4384B" w:rsidRDefault="00DF067B" w:rsidP="000875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Викладає на факультеті</w:t>
            </w:r>
            <w:r w:rsidR="00AC5B73">
              <w:rPr>
                <w:rFonts w:ascii="Times New Roman" w:hAnsi="Times New Roman" w:cs="Times New Roman"/>
                <w:lang w:val="uk-UA"/>
              </w:rPr>
              <w:t xml:space="preserve"> бізнесу та сфери обслуговування</w:t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міжнародну економіку, 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>міжнародні економічні відносини, міжнародні стратегії економічного розвитку</w:t>
            </w:r>
            <w:r w:rsidR="006648AE" w:rsidRPr="00B4384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BE674B">
              <w:rPr>
                <w:rFonts w:ascii="Times New Roman" w:hAnsi="Times New Roman" w:cs="Times New Roman"/>
                <w:lang w:val="uk-UA"/>
              </w:rPr>
              <w:t xml:space="preserve">пройшов </w:t>
            </w:r>
            <w:proofErr w:type="spellStart"/>
            <w:r w:rsidR="00BE674B">
              <w:rPr>
                <w:rFonts w:ascii="Times New Roman" w:hAnsi="Times New Roman" w:cs="Times New Roman"/>
                <w:lang w:val="uk-UA"/>
              </w:rPr>
              <w:t>накове</w:t>
            </w:r>
            <w:proofErr w:type="spellEnd"/>
            <w:r w:rsidR="00BE674B">
              <w:rPr>
                <w:rFonts w:ascii="Times New Roman" w:hAnsi="Times New Roman" w:cs="Times New Roman"/>
                <w:lang w:val="uk-UA"/>
              </w:rPr>
              <w:t xml:space="preserve"> стажування у Вищій школі економіки (м. Прага, Чехія), </w:t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>має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>сертифікат “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Diploma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Internal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Audit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”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Institute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Financial</w:t>
            </w:r>
            <w:proofErr w:type="spellEnd"/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A42" w:rsidRPr="00B4384B">
              <w:rPr>
                <w:rFonts w:ascii="Times New Roman" w:hAnsi="Times New Roman" w:cs="Times New Roman"/>
                <w:lang w:val="uk-UA"/>
              </w:rPr>
              <w:t>Accountant</w:t>
            </w:r>
            <w:r w:rsidR="0008753C">
              <w:rPr>
                <w:rFonts w:ascii="Times New Roman" w:hAnsi="Times New Roman" w:cs="Times New Roman"/>
                <w:lang w:val="uk-UA"/>
              </w:rPr>
              <w:t>s</w:t>
            </w:r>
            <w:proofErr w:type="spellEnd"/>
            <w:r w:rsidR="00B4384B" w:rsidRPr="00B4384B">
              <w:rPr>
                <w:rFonts w:ascii="Times New Roman" w:hAnsi="Times New Roman" w:cs="Times New Roman"/>
                <w:lang w:val="uk-UA"/>
              </w:rPr>
              <w:t>,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648AE" w:rsidRPr="00B4384B">
              <w:rPr>
                <w:rFonts w:ascii="Times New Roman" w:hAnsi="Times New Roman" w:cs="Times New Roman"/>
                <w:lang w:val="uk-UA"/>
              </w:rPr>
              <w:t>Сертифікат про проходження навчального курсу “Практичні аспекти формулювання та реалізації монетарної політ</w:t>
            </w:r>
            <w:r w:rsidR="00A50151" w:rsidRPr="00B4384B">
              <w:rPr>
                <w:rFonts w:ascii="Times New Roman" w:hAnsi="Times New Roman" w:cs="Times New Roman"/>
                <w:lang w:val="uk-UA"/>
              </w:rPr>
              <w:t>ики</w:t>
            </w:r>
            <w:r w:rsidR="006648AE" w:rsidRPr="00B4384B">
              <w:rPr>
                <w:rFonts w:ascii="Times New Roman" w:hAnsi="Times New Roman" w:cs="Times New Roman"/>
                <w:lang w:val="uk-UA"/>
              </w:rPr>
              <w:t>”</w:t>
            </w:r>
            <w:r w:rsidR="00A50151" w:rsidRPr="00B4384B">
              <w:rPr>
                <w:rFonts w:ascii="Times New Roman" w:hAnsi="Times New Roman" w:cs="Times New Roman"/>
                <w:lang w:val="uk-UA"/>
              </w:rPr>
              <w:t xml:space="preserve"> Національного банку України</w:t>
            </w:r>
            <w:r w:rsidR="004A1F41">
              <w:rPr>
                <w:rFonts w:ascii="Times New Roman" w:hAnsi="Times New Roman" w:cs="Times New Roman"/>
                <w:lang w:val="uk-UA"/>
              </w:rPr>
              <w:t>, навчався</w:t>
            </w:r>
            <w:r w:rsidR="00B4384B">
              <w:rPr>
                <w:rFonts w:ascii="Times New Roman" w:hAnsi="Times New Roman" w:cs="Times New Roman"/>
                <w:lang w:val="uk-UA"/>
              </w:rPr>
              <w:t xml:space="preserve"> на програмі “Управління публічними фінансами” в Київській школі економіки</w:t>
            </w:r>
            <w:r w:rsidR="00BE674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14:paraId="2DDB5B8E" w14:textId="77777777" w:rsidR="00F87AC2" w:rsidRPr="00F87AC2" w:rsidRDefault="00F87AC2" w:rsidP="00B438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AC2" w:rsidRPr="00F87AC2" w:rsidSect="005D6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2"/>
    <w:rsid w:val="00042162"/>
    <w:rsid w:val="0008753C"/>
    <w:rsid w:val="000D213B"/>
    <w:rsid w:val="001B26F7"/>
    <w:rsid w:val="00243195"/>
    <w:rsid w:val="00334E5E"/>
    <w:rsid w:val="003F2ECD"/>
    <w:rsid w:val="004A1F41"/>
    <w:rsid w:val="004C380B"/>
    <w:rsid w:val="00531729"/>
    <w:rsid w:val="00535BB8"/>
    <w:rsid w:val="0057440E"/>
    <w:rsid w:val="005A57CD"/>
    <w:rsid w:val="005D6CB6"/>
    <w:rsid w:val="006648AE"/>
    <w:rsid w:val="00693A88"/>
    <w:rsid w:val="006A00A7"/>
    <w:rsid w:val="008B5FCC"/>
    <w:rsid w:val="009E4A42"/>
    <w:rsid w:val="00A50151"/>
    <w:rsid w:val="00AC5B73"/>
    <w:rsid w:val="00B4384B"/>
    <w:rsid w:val="00BE674B"/>
    <w:rsid w:val="00CB5B12"/>
    <w:rsid w:val="00CD2E01"/>
    <w:rsid w:val="00D300D5"/>
    <w:rsid w:val="00D32169"/>
    <w:rsid w:val="00D35B5B"/>
    <w:rsid w:val="00DF067B"/>
    <w:rsid w:val="00EF5E14"/>
    <w:rsid w:val="00F762B6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8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4C380B"/>
    <w:pPr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80B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table" w:styleId="a3">
    <w:name w:val="Table Grid"/>
    <w:basedOn w:val="a1"/>
    <w:uiPriority w:val="39"/>
    <w:rsid w:val="00F8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Мельник Вікторія Вікторівна</cp:lastModifiedBy>
  <cp:revision>6</cp:revision>
  <dcterms:created xsi:type="dcterms:W3CDTF">2020-03-02T11:58:00Z</dcterms:created>
  <dcterms:modified xsi:type="dcterms:W3CDTF">2020-03-10T14:53:00Z</dcterms:modified>
</cp:coreProperties>
</file>