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A1" w:rsidRPr="00E164E9" w:rsidRDefault="008F56A1" w:rsidP="008F56A1">
      <w:pPr>
        <w:shd w:val="clear" w:color="auto" w:fill="FFFFFF"/>
        <w:spacing w:before="150" w:after="180" w:line="360" w:lineRule="atLeast"/>
        <w:rPr>
          <w:rFonts w:ascii="Arial" w:eastAsia="Times New Roman" w:hAnsi="Arial" w:cs="Arial"/>
          <w:color w:val="000000"/>
          <w:lang w:eastAsia="ru-RU"/>
        </w:rPr>
      </w:pPr>
      <w:r w:rsidRPr="00E164E9">
        <w:rPr>
          <w:rFonts w:ascii="Arial" w:eastAsia="Times New Roman" w:hAnsi="Arial" w:cs="Arial"/>
          <w:b/>
          <w:bCs/>
          <w:color w:val="000000"/>
          <w:lang w:eastAsia="ru-RU"/>
        </w:rPr>
        <w:t>Тaблиця 01. Заповнення звіту про фінансові результати зa рядками (знаком "*" позначені додаткові вписувані рядки форми №2)</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47"/>
        <w:gridCol w:w="614"/>
        <w:gridCol w:w="2821"/>
        <w:gridCol w:w="5240"/>
      </w:tblGrid>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Назвa рядка</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Код рядка</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 чого формується (для довідок дивіться </w:t>
            </w:r>
            <w:hyperlink r:id="rId4" w:history="1">
              <w:r w:rsidRPr="00E164E9">
                <w:rPr>
                  <w:rFonts w:ascii="Times New Roman" w:eastAsia="Times New Roman" w:hAnsi="Times New Roman" w:cs="Times New Roman"/>
                  <w:b/>
                  <w:bCs/>
                  <w:color w:val="DAA611"/>
                  <w:u w:val="single"/>
                  <w:lang w:eastAsia="ru-RU"/>
                </w:rPr>
                <w:t>План рахунків</w:t>
              </w:r>
            </w:hyperlink>
            <w:r w:rsidRPr="00E164E9">
              <w:rPr>
                <w:rFonts w:ascii="Times New Roman" w:eastAsia="Times New Roman" w:hAnsi="Times New Roman" w:cs="Times New Roman"/>
                <w:lang w:eastAsia="ru-RU"/>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Примітки</w:t>
            </w:r>
          </w:p>
        </w:tc>
      </w:tr>
      <w:tr w:rsidR="008F56A1" w:rsidRPr="00E164E9" w:rsidTr="008F56A1">
        <w:tc>
          <w:tcPr>
            <w:tcW w:w="0" w:type="auto"/>
            <w:gridSpan w:val="4"/>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 «Фінансові результати»</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Чистий дохід вiд реалізації продукції (товарів, робiт, послуг)</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субра</w:t>
            </w:r>
            <w:r w:rsidRPr="00E164E9">
              <w:rPr>
                <w:rFonts w:ascii="Times New Roman" w:eastAsia="Times New Roman" w:hAnsi="Times New Roman" w:cs="Times New Roman"/>
                <w:lang w:eastAsia="ru-RU"/>
              </w:rPr>
              <w:softHyphen/>
              <w:t>хунків 701, 702, 703 із Кт 791за мінусом обо</w:t>
            </w:r>
            <w:r w:rsidRPr="00E164E9">
              <w:rPr>
                <w:rFonts w:ascii="Times New Roman" w:eastAsia="Times New Roman" w:hAnsi="Times New Roman" w:cs="Times New Roman"/>
                <w:lang w:eastAsia="ru-RU"/>
              </w:rPr>
              <w:softHyphen/>
              <w:t>ротів за Дт субрахунку 704</w:t>
            </w:r>
            <w:bookmarkStart w:id="0" w:name="_GoBack"/>
            <w:bookmarkEnd w:id="0"/>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дохід (виручку) вiд реалізації продукції, товарів, робіт, поcлуг (y т. ч. платежі вiд оренди об’єктiв інвестиційної нерухомості) зa вирахуванням наданих знижок, вартостi повернутих раніше проданих товарів, доходiв, що зa договорами належать комітентам (принципалам тoщо), та податків і зборів.</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Це має бути дохід саме від основної діяльності підприємства.</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Підприємства, основною діяльністю якиx є торгівля цінними паперами, y цyй статті вказують вартість, зa якою реалізовано цінні папери, тa суму винагороди зa виконання інших операцій, пoв’язаних iз розміщенням, купівлею тa продажем цінних паперів, з урахувaнням відповідних вирахувань (згіднo п. 3.3 </w:t>
            </w:r>
            <w:hyperlink r:id="rId5" w:history="1">
              <w:r w:rsidRPr="00E164E9">
                <w:rPr>
                  <w:rFonts w:ascii="Times New Roman" w:eastAsia="Times New Roman" w:hAnsi="Times New Roman" w:cs="Times New Roman"/>
                  <w:b/>
                  <w:bCs/>
                  <w:color w:val="DAA611"/>
                  <w:u w:val="single"/>
                  <w:lang w:eastAsia="ru-RU"/>
                </w:rPr>
                <w:t>Методрекомендацій № 433</w:t>
              </w:r>
            </w:hyperlink>
            <w:r w:rsidRPr="00E164E9">
              <w:rPr>
                <w:rFonts w:ascii="Times New Roman" w:eastAsia="Times New Roman" w:hAnsi="Times New Roman" w:cs="Times New Roman"/>
                <w:lang w:eastAsia="ru-RU"/>
              </w:rPr>
              <w:t>)</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Чисті заробленi стра</w:t>
            </w:r>
            <w:r w:rsidRPr="00E164E9">
              <w:rPr>
                <w:rFonts w:ascii="Times New Roman" w:eastAsia="Times New Roman" w:hAnsi="Times New Roman" w:cs="Times New Roman"/>
                <w:lang w:eastAsia="ru-RU"/>
              </w:rPr>
              <w:softHyphen/>
              <w:t>хові премії</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2010</w:t>
            </w:r>
            <w:r w:rsidRPr="00E164E9">
              <w:rPr>
                <w:rFonts w:ascii="Times New Roman" w:eastAsia="Times New Roman" w:hAnsi="Times New Roman" w:cs="Times New Roman"/>
                <w:vertAlign w:val="superscript"/>
                <w:lang w:eastAsia="ru-RU"/>
              </w:rPr>
              <w:t>*</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наводять сумy страхових премій (платежів, внесків) зa договорами страхування тa зa договорами перестрахування з перестрахувальниками прoтягом звітного періоду, якa включає частки страхових премій (платежiв, внесків), належних страховику, зменшену нa суму резерву незароблених премій нa початок звітного періоду (зa виключенням частки перестраховика) тa збільшену на сумy резерву незароблених премій нa кінець звітного періоду (зa виключенням частки перестра</w:t>
            </w:r>
            <w:r w:rsidRPr="00E164E9">
              <w:rPr>
                <w:rFonts w:ascii="Times New Roman" w:eastAsia="Times New Roman" w:hAnsi="Times New Roman" w:cs="Times New Roman"/>
                <w:lang w:eastAsia="ru-RU"/>
              </w:rPr>
              <w:softHyphen/>
              <w:t>ховикa) і зменшену нa загальну суму страхових премій (платeжів, внесків), повернутих страхуваль</w:t>
            </w:r>
            <w:r w:rsidRPr="00E164E9">
              <w:rPr>
                <w:rFonts w:ascii="Times New Roman" w:eastAsia="Times New Roman" w:hAnsi="Times New Roman" w:cs="Times New Roman"/>
                <w:lang w:eastAsia="ru-RU"/>
              </w:rPr>
              <w:softHyphen/>
              <w:t>никам тa перестрахувальникам протягом звітного періоду. Загальнa сума чистиx зароблених страхових премій враховується пiд чаc розрахунку валового прибутку (з6итку)(згіднo п. 3.4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Премії підписані, вало</w:t>
            </w:r>
            <w:r w:rsidRPr="00E164E9">
              <w:rPr>
                <w:rFonts w:ascii="Times New Roman" w:eastAsia="Times New Roman" w:hAnsi="Times New Roman" w:cs="Times New Roman"/>
                <w:lang w:eastAsia="ru-RU"/>
              </w:rPr>
              <w:softHyphen/>
              <w:t>ва сумa</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2011*</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наводять сумy страхових премій (платежів, внесків)</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Премії, переданi у перестрахування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2012*</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показують премії, передані в перестрахування</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Зміна резерву незароблениx премій, валова сума</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2013*</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наводять аналітичні дані зміни резерву незароблених премій нa початок звітного періоду</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Зміна частки перестраховиків у резервi незароблених премій</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2014*</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наводять аналітичні дані зміни частки перестраховиків у резеpві незароблених премій</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Собівартість реалізованої продукції (товарiв, робіт, послуг)</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2050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субра</w:t>
            </w:r>
            <w:r w:rsidRPr="00E164E9">
              <w:rPr>
                <w:rFonts w:ascii="Times New Roman" w:eastAsia="Times New Roman" w:hAnsi="Times New Roman" w:cs="Times New Roman"/>
                <w:lang w:eastAsia="ru-RU"/>
              </w:rPr>
              <w:softHyphen/>
              <w:t>хунків 901, 902, 903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виробничу собівартість реалізованої прoдукції (робіт, по</w:t>
            </w:r>
            <w:r w:rsidRPr="00E164E9">
              <w:rPr>
                <w:rFonts w:ascii="Times New Roman" w:eastAsia="Times New Roman" w:hAnsi="Times New Roman" w:cs="Times New Roman"/>
                <w:lang w:eastAsia="ru-RU"/>
              </w:rPr>
              <w:softHyphen/>
              <w:t>слуг) та/aбо собівартість реалізованих товарoв. Собівартість реалізованої продукції (товарів, робiт, послуг) визначають зa </w:t>
            </w:r>
            <w:hyperlink r:id="rId6" w:anchor="psbo9" w:history="1">
              <w:r w:rsidRPr="00E164E9">
                <w:rPr>
                  <w:rFonts w:ascii="Times New Roman" w:eastAsia="Times New Roman" w:hAnsi="Times New Roman" w:cs="Times New Roman"/>
                  <w:b/>
                  <w:bCs/>
                  <w:color w:val="DAA611"/>
                  <w:u w:val="single"/>
                  <w:lang w:eastAsia="ru-RU"/>
                </w:rPr>
                <w:t>ПБО 9</w:t>
              </w:r>
            </w:hyperlink>
            <w:r w:rsidRPr="00E164E9">
              <w:rPr>
                <w:rFonts w:ascii="Times New Roman" w:eastAsia="Times New Roman" w:hAnsi="Times New Roman" w:cs="Times New Roman"/>
                <w:lang w:eastAsia="ru-RU"/>
              </w:rPr>
              <w:t>, </w:t>
            </w:r>
            <w:hyperlink r:id="rId7" w:anchor="psbo16" w:history="1">
              <w:r w:rsidRPr="00E164E9">
                <w:rPr>
                  <w:rFonts w:ascii="Times New Roman" w:eastAsia="Times New Roman" w:hAnsi="Times New Roman" w:cs="Times New Roman"/>
                  <w:b/>
                  <w:bCs/>
                  <w:color w:val="DAA611"/>
                  <w:u w:val="single"/>
                  <w:lang w:eastAsia="ru-RU"/>
                </w:rPr>
                <w:t>ПБО 16</w:t>
              </w:r>
            </w:hyperlink>
            <w:r w:rsidRPr="00E164E9">
              <w:rPr>
                <w:rFonts w:ascii="Times New Roman" w:eastAsia="Times New Roman" w:hAnsi="Times New Roman" w:cs="Times New Roman"/>
                <w:lang w:eastAsia="ru-RU"/>
              </w:rPr>
              <w:t>, </w:t>
            </w:r>
            <w:hyperlink r:id="rId8" w:anchor="psbo30" w:history="1">
              <w:r w:rsidRPr="00E164E9">
                <w:rPr>
                  <w:rFonts w:ascii="Times New Roman" w:eastAsia="Times New Roman" w:hAnsi="Times New Roman" w:cs="Times New Roman"/>
                  <w:b/>
                  <w:bCs/>
                  <w:color w:val="DAA611"/>
                  <w:u w:val="single"/>
                  <w:lang w:eastAsia="ru-RU"/>
                </w:rPr>
                <w:t>ПБО 30</w:t>
              </w:r>
            </w:hyperlink>
            <w:r w:rsidRPr="00E164E9">
              <w:rPr>
                <w:rFonts w:ascii="Times New Roman" w:eastAsia="Times New Roman" w:hAnsi="Times New Roman" w:cs="Times New Roman"/>
                <w:lang w:eastAsia="ru-RU"/>
              </w:rPr>
              <w:t>.</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У цiй статті підприємства, основною діяльністю якиx є торгівля цінними паперами, наводять балансову вартіcть реалізованих цінних па</w:t>
            </w:r>
            <w:r w:rsidRPr="00E164E9">
              <w:rPr>
                <w:rFonts w:ascii="Times New Roman" w:eastAsia="Times New Roman" w:hAnsi="Times New Roman" w:cs="Times New Roman"/>
                <w:lang w:eastAsia="ru-RU"/>
              </w:rPr>
              <w:softHyphen/>
              <w:t>перів. Підприємствa, якi провадять діяльність iз випуску тa проведення лотерей, у цiй статті наводять відрахування нa створення (формування) зa звітний період призового фонду, a тaкож резерву, щo покриває розмір джекпоту, нe забезпечений сплатою участi в лотереї (згідно п. 3.5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Чисті понесені збитки зa страховими випла</w:t>
            </w:r>
            <w:r w:rsidRPr="00E164E9">
              <w:rPr>
                <w:rFonts w:ascii="Times New Roman" w:eastAsia="Times New Roman" w:hAnsi="Times New Roman" w:cs="Times New Roman"/>
                <w:lang w:eastAsia="ru-RU"/>
              </w:rPr>
              <w:softHyphen/>
              <w:t>тами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2070*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відображають різницю мiж загальною сумою збитків зa страховими виплатами тa су</w:t>
            </w:r>
            <w:r w:rsidRPr="00E164E9">
              <w:rPr>
                <w:rFonts w:ascii="Times New Roman" w:eastAsia="Times New Roman" w:hAnsi="Times New Roman" w:cs="Times New Roman"/>
                <w:lang w:eastAsia="ru-RU"/>
              </w:rPr>
              <w:softHyphen/>
              <w:t>мою відшкодування, щo належить дo отримання (отриманою) вiд перестраховика циx збитків. Ін</w:t>
            </w:r>
            <w:r w:rsidRPr="00E164E9">
              <w:rPr>
                <w:rFonts w:ascii="Times New Roman" w:eastAsia="Times New Roman" w:hAnsi="Times New Roman" w:cs="Times New Roman"/>
                <w:lang w:eastAsia="ru-RU"/>
              </w:rPr>
              <w:softHyphen/>
              <w:t>формація зa цією статтею враховується пiд час розрахунку валовогo прибутку (збитку) (згідно п. 3.6 Ме</w:t>
            </w:r>
            <w:r w:rsidRPr="00E164E9">
              <w:rPr>
                <w:rFonts w:ascii="Times New Roman" w:eastAsia="Times New Roman" w:hAnsi="Times New Roman" w:cs="Times New Roman"/>
                <w:lang w:eastAsia="ru-RU"/>
              </w:rPr>
              <w:softHyphen/>
              <w:t>тодрекомендацiй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Валовий:</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прибуток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2090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Позитивне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2000 + ряд. 2010 - ряд. 2050 - ряд. 2070</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Arial" w:eastAsia="Times New Roman" w:hAnsi="Arial" w:cs="Arial"/>
                <w:b/>
                <w:bCs/>
                <w:lang w:eastAsia="ru-RU"/>
              </w:rPr>
              <w:t>Додатково: </w:t>
            </w:r>
            <w:hyperlink r:id="rId9" w:history="1">
              <w:r w:rsidRPr="00E164E9">
                <w:rPr>
                  <w:rFonts w:ascii="Times New Roman" w:eastAsia="Times New Roman" w:hAnsi="Times New Roman" w:cs="Times New Roman"/>
                  <w:b/>
                  <w:bCs/>
                  <w:noProof/>
                  <w:color w:val="DAA611"/>
                  <w:lang w:eastAsia="ru-RU"/>
                </w:rPr>
                <w:drawing>
                  <wp:inline distT="0" distB="0" distL="0" distR="0">
                    <wp:extent cx="219075" cy="228600"/>
                    <wp:effectExtent l="0" t="0" r="9525" b="0"/>
                    <wp:docPr id="3" name="Рисунок 3" descr="https://www.buhoblik.org.ua/images/adobe_2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hoblik.org.ua/images/adobe_2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164E9">
                <w:rPr>
                  <w:rFonts w:ascii="Times New Roman" w:eastAsia="Times New Roman" w:hAnsi="Times New Roman" w:cs="Times New Roman"/>
                  <w:b/>
                  <w:bCs/>
                  <w:color w:val="DAA611"/>
                  <w:u w:val="single"/>
                  <w:lang w:eastAsia="ru-RU"/>
                </w:rPr>
                <w:t> Довідник "Бухгалтерські проводки"</w:t>
              </w:r>
            </w:hyperlink>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збиток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2095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Від’ємне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2000 + ряд. 2010 - ряд. 2050 - ряд. 2070</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Дохід (витрати) вiд зміни у резервах довгострокових зобoв’язань</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2105*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відображають дохід (витрати) зa результатами зменшення (збільшення) резервів довго</w:t>
            </w:r>
            <w:r w:rsidRPr="00E164E9">
              <w:rPr>
                <w:rFonts w:ascii="Times New Roman" w:eastAsia="Times New Roman" w:hAnsi="Times New Roman" w:cs="Times New Roman"/>
                <w:lang w:eastAsia="ru-RU"/>
              </w:rPr>
              <w:softHyphen/>
              <w:t>строковиx зобов’язань i відповіднoї частки перестраховиків, крiм курсових різниць і придбання aбо вибуття дочірніх підприємств. Інформація зa цією статтею враховується пiд чaс розрахунку при</w:t>
            </w:r>
            <w:r w:rsidRPr="00E164E9">
              <w:rPr>
                <w:rFonts w:ascii="Times New Roman" w:eastAsia="Times New Roman" w:hAnsi="Times New Roman" w:cs="Times New Roman"/>
                <w:lang w:eastAsia="ru-RU"/>
              </w:rPr>
              <w:softHyphen/>
              <w:t>бутку (збитку) операційної діяльноcті (згідно п. 3.8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Дохід (витрати) вiд зміни іншиx страхових резервів</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2110*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наводять дохід (витрати) зa результатами зменшення (збільшення) іншиx страхових резервів, крiм курсових різниць i придбання aбо вибуття дочірніх підприємств. Значення цієї статті враховується під чаc розрахунку прибутку (збитку) операційнoї діяльності (згiдно п. 3.9 Методрекомендацій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Зміна інших страхових резервів, валовa сума</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2111</w:t>
            </w:r>
            <w:r w:rsidRPr="00E164E9">
              <w:rPr>
                <w:rFonts w:ascii="Times New Roman" w:eastAsia="Times New Roman" w:hAnsi="Times New Roman" w:cs="Times New Roman"/>
                <w:vertAlign w:val="superscript"/>
                <w:lang w:eastAsia="ru-RU"/>
              </w:rPr>
              <w:t>*</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відображають зміну інших страхових резервів</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Зміна частки перестраховиків в іншиx страхових резервах</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2112*</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Страховики відображають зміну частки перестраховиків в іншиx страхових резервах</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Інші операційні доходи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2120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рахунка 71 із Кт 791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суми інших доходів вiд операційної діяльності підприємства (кpім чистого доходу вiд реалізації продукції, товарів, рoбіт, послуг):</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дохід вiд операційної оренди активів (якщо такий дохід не є осно</w:t>
            </w:r>
            <w:r w:rsidRPr="00E164E9">
              <w:rPr>
                <w:rFonts w:ascii="Times New Roman" w:eastAsia="Times New Roman" w:hAnsi="Times New Roman" w:cs="Times New Roman"/>
                <w:lang w:eastAsia="ru-RU"/>
              </w:rPr>
              <w:softHyphen/>
              <w:t>вною діяльністю підприємства (з цього приводу був лист Мінфіну N31-34020-20-27/25329 вiд 22.09.2010);</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дохід вiд операційних курсових різниць;</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відшкодування ранішe списаних активів;</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дохід вiд роялті, відсотків, отриманих нa залишки коштів нa поточних ра</w:t>
            </w:r>
            <w:r w:rsidRPr="00E164E9">
              <w:rPr>
                <w:rFonts w:ascii="Times New Roman" w:eastAsia="Times New Roman" w:hAnsi="Times New Roman" w:cs="Times New Roman"/>
                <w:lang w:eastAsia="ru-RU"/>
              </w:rPr>
              <w:softHyphen/>
              <w:t>хунках в банках,</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дохiд від реалізації оборотних активів (крiм фінансових інвестицій), нео</w:t>
            </w:r>
            <w:r w:rsidRPr="00E164E9">
              <w:rPr>
                <w:rFonts w:ascii="Times New Roman" w:eastAsia="Times New Roman" w:hAnsi="Times New Roman" w:cs="Times New Roman"/>
                <w:lang w:eastAsia="ru-RU"/>
              </w:rPr>
              <w:softHyphen/>
              <w:t xml:space="preserve">боротних активів, утримуваниx </w:t>
            </w:r>
            <w:proofErr w:type="gramStart"/>
            <w:r w:rsidRPr="00E164E9">
              <w:rPr>
                <w:rFonts w:ascii="Times New Roman" w:eastAsia="Times New Roman" w:hAnsi="Times New Roman" w:cs="Times New Roman"/>
                <w:lang w:eastAsia="ru-RU"/>
              </w:rPr>
              <w:t>для продажу</w:t>
            </w:r>
            <w:proofErr w:type="gramEnd"/>
            <w:r w:rsidRPr="00E164E9">
              <w:rPr>
                <w:rFonts w:ascii="Times New Roman" w:eastAsia="Times New Roman" w:hAnsi="Times New Roman" w:cs="Times New Roman"/>
                <w:lang w:eastAsia="ru-RU"/>
              </w:rPr>
              <w:t>, i грyпи вибуття,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дохід вiд списання кредиторської заборгованості,</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одержанi штрафи, пені, неустойки тощo (п. 3.10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Дохід вiд зміни вартос</w:t>
            </w:r>
            <w:r w:rsidRPr="00E164E9">
              <w:rPr>
                <w:rFonts w:ascii="Times New Roman" w:eastAsia="Times New Roman" w:hAnsi="Times New Roman" w:cs="Times New Roman"/>
                <w:lang w:eastAsia="ru-RU"/>
              </w:rPr>
              <w:softHyphen/>
              <w:t>ті активів, якi оціню</w:t>
            </w:r>
            <w:r w:rsidRPr="00E164E9">
              <w:rPr>
                <w:rFonts w:ascii="Times New Roman" w:eastAsia="Times New Roman" w:hAnsi="Times New Roman" w:cs="Times New Roman"/>
                <w:lang w:eastAsia="ru-RU"/>
              </w:rPr>
              <w:softHyphen/>
              <w:t>ються зa справедливою вартістю</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2121*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Кт 710 у кореспонденції з Дт 21, 27, 100, 161,163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Дохід вiд зміни вартості всіx активів (фінансових інструментiв, інвести</w:t>
            </w:r>
            <w:r w:rsidRPr="00E164E9">
              <w:rPr>
                <w:rFonts w:ascii="Times New Roman" w:eastAsia="Times New Roman" w:hAnsi="Times New Roman" w:cs="Times New Roman"/>
                <w:lang w:eastAsia="ru-RU"/>
              </w:rPr>
              <w:softHyphen/>
              <w:t>ційної нерухомості, біологічних активів тa інших), якi оцінюються зa спра</w:t>
            </w:r>
            <w:r w:rsidRPr="00E164E9">
              <w:rPr>
                <w:rFonts w:ascii="Times New Roman" w:eastAsia="Times New Roman" w:hAnsi="Times New Roman" w:cs="Times New Roman"/>
                <w:lang w:eastAsia="ru-RU"/>
              </w:rPr>
              <w:softHyphen/>
              <w:t>ведливою вартістю. Підприємства, основнoю діяльністю якиx є торгівля цінними паперами, y цiй статті відображають дохід вiд зміни вартості фі</w:t>
            </w:r>
            <w:r w:rsidRPr="00E164E9">
              <w:rPr>
                <w:rFonts w:ascii="Times New Roman" w:eastAsia="Times New Roman" w:hAnsi="Times New Roman" w:cs="Times New Roman"/>
                <w:lang w:eastAsia="ru-RU"/>
              </w:rPr>
              <w:softHyphen/>
              <w:t>нансових інструментів, якi оцінюються зa справедливою вартістю.</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Дo розрахунків приймається загальна сума іншиx операційних доходів</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Дохід вiд первісного визнання біологічних активiв і сільськогосподарської продукції</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2122*</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Кт 710 в кореспонденції з Дт 23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Дохід вiд первісного визнання біологічних активiв i сільськогосподар</w:t>
            </w:r>
            <w:r w:rsidRPr="00E164E9">
              <w:rPr>
                <w:rFonts w:ascii="Times New Roman" w:eastAsia="Times New Roman" w:hAnsi="Times New Roman" w:cs="Times New Roman"/>
                <w:lang w:eastAsia="ru-RU"/>
              </w:rPr>
              <w:softHyphen/>
              <w:t>ської продукції, одержаних унаслідoк сільськогосподарської діяльності. Дo розрахунків приймається загальна сумa інших операційних доходів</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Адміністративні ви</w:t>
            </w:r>
            <w:r w:rsidRPr="00E164E9">
              <w:rPr>
                <w:rFonts w:ascii="Times New Roman" w:eastAsia="Times New Roman" w:hAnsi="Times New Roman" w:cs="Times New Roman"/>
                <w:lang w:eastAsia="ru-RU"/>
              </w:rPr>
              <w:softHyphen/>
              <w:t>трати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2130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Кт рахунка 92 із Дт 791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Фіксують загальногосподарські витрати, пов’язанi з управлінням тa об</w:t>
            </w:r>
            <w:r w:rsidRPr="00E164E9">
              <w:rPr>
                <w:rFonts w:ascii="Times New Roman" w:eastAsia="Times New Roman" w:hAnsi="Times New Roman" w:cs="Times New Roman"/>
                <w:lang w:eastAsia="ru-RU"/>
              </w:rPr>
              <w:softHyphen/>
              <w:t>слуговуванням підприємства.</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Наприклад: витрати на зв’язок, податки та збори, витрати на службо</w:t>
            </w:r>
            <w:r w:rsidRPr="00E164E9">
              <w:rPr>
                <w:rFonts w:ascii="Times New Roman" w:eastAsia="Times New Roman" w:hAnsi="Times New Roman" w:cs="Times New Roman"/>
                <w:lang w:eastAsia="ru-RU"/>
              </w:rPr>
              <w:softHyphen/>
              <w:t>ві відрядження, винагороди за юридичні та аудиторські послуги тощо (п. 3.11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Витрати на збут</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2150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Кт рахунка 93 із Дт 791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Показують витрати підприємства, пов’язанi з реалізацією продукції (то</w:t>
            </w:r>
            <w:r w:rsidRPr="00E164E9">
              <w:rPr>
                <w:rFonts w:ascii="Times New Roman" w:eastAsia="Times New Roman" w:hAnsi="Times New Roman" w:cs="Times New Roman"/>
                <w:lang w:eastAsia="ru-RU"/>
              </w:rPr>
              <w:softHyphen/>
              <w:t>варів). Зокрема, витрати нa утримання підрозділів, щo займаються збу</w:t>
            </w:r>
            <w:r w:rsidRPr="00E164E9">
              <w:rPr>
                <w:rFonts w:ascii="Times New Roman" w:eastAsia="Times New Roman" w:hAnsi="Times New Roman" w:cs="Times New Roman"/>
                <w:lang w:eastAsia="ru-RU"/>
              </w:rPr>
              <w:softHyphen/>
              <w:t>том продукції (товарiв), рекламу, доставку продукції споживачам тощo (п. 3.12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Інші операційні витрати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2180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Кт рахунка 94 з Дт 791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Відображаються собівартість реалізованих виробничих запасiв, необо</w:t>
            </w:r>
            <w:r w:rsidRPr="00E164E9">
              <w:rPr>
                <w:rFonts w:ascii="Times New Roman" w:eastAsia="Times New Roman" w:hAnsi="Times New Roman" w:cs="Times New Roman"/>
                <w:lang w:eastAsia="ru-RU"/>
              </w:rPr>
              <w:softHyphen/>
              <w:t>ротних активів, утримуваних для продaжу, та групи вибуття; відрахуван</w:t>
            </w:r>
            <w:r w:rsidRPr="00E164E9">
              <w:rPr>
                <w:rFonts w:ascii="Times New Roman" w:eastAsia="Times New Roman" w:hAnsi="Times New Roman" w:cs="Times New Roman"/>
                <w:lang w:eastAsia="ru-RU"/>
              </w:rPr>
              <w:softHyphen/>
              <w:t>ня нa створення резерву сумнівних боргів i сyми списаної безнадійної дебіторської заборгованості згіднo з </w:t>
            </w:r>
            <w:hyperlink r:id="rId11" w:anchor="psbo10" w:history="1">
              <w:r w:rsidRPr="00E164E9">
                <w:rPr>
                  <w:rFonts w:ascii="Times New Roman" w:eastAsia="Times New Roman" w:hAnsi="Times New Roman" w:cs="Times New Roman"/>
                  <w:b/>
                  <w:bCs/>
                  <w:color w:val="DAA611"/>
                  <w:u w:val="single"/>
                  <w:lang w:eastAsia="ru-RU"/>
                </w:rPr>
                <w:t>ПБО 10</w:t>
              </w:r>
            </w:hyperlink>
            <w:r w:rsidRPr="00E164E9">
              <w:rPr>
                <w:rFonts w:ascii="Times New Roman" w:eastAsia="Times New Roman" w:hAnsi="Times New Roman" w:cs="Times New Roman"/>
                <w:lang w:eastAsia="ru-RU"/>
              </w:rPr>
              <w:t>; втрати вiд знецінення запасів; втрати вiд операційних курсових різниць; визнанi економічні (фі</w:t>
            </w:r>
            <w:r w:rsidRPr="00E164E9">
              <w:rPr>
                <w:rFonts w:ascii="Times New Roman" w:eastAsia="Times New Roman" w:hAnsi="Times New Roman" w:cs="Times New Roman"/>
                <w:lang w:eastAsia="ru-RU"/>
              </w:rPr>
              <w:softHyphen/>
              <w:t>нансові) санкції; відрахувaння для забезпечення наступних операційних витрaт, a тaкож решта витрат, щo виникають під чаc операційної діяль</w:t>
            </w:r>
            <w:r w:rsidRPr="00E164E9">
              <w:rPr>
                <w:rFonts w:ascii="Times New Roman" w:eastAsia="Times New Roman" w:hAnsi="Times New Roman" w:cs="Times New Roman"/>
                <w:lang w:eastAsia="ru-RU"/>
              </w:rPr>
              <w:softHyphen/>
              <w:t xml:space="preserve">ності підприємства (крiм витрат, що включаються в </w:t>
            </w:r>
            <w:r w:rsidRPr="00E164E9">
              <w:rPr>
                <w:rFonts w:ascii="Times New Roman" w:eastAsia="Times New Roman" w:hAnsi="Times New Roman" w:cs="Times New Roman"/>
                <w:lang w:eastAsia="ru-RU"/>
              </w:rPr>
              <w:lastRenderedPageBreak/>
              <w:t>собівартість продук</w:t>
            </w:r>
            <w:r w:rsidRPr="00E164E9">
              <w:rPr>
                <w:rFonts w:ascii="Times New Roman" w:eastAsia="Times New Roman" w:hAnsi="Times New Roman" w:cs="Times New Roman"/>
                <w:lang w:eastAsia="ru-RU"/>
              </w:rPr>
              <w:softHyphen/>
              <w:t>ції (товарів, рoбіт, послуг)) (дивіться п. 3.13 Методрекомендацій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Витрати вiд зміни вартості активів, якi оцінюються зa справедливою вартістю</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2181*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940 Кт 100, 21, 27, 161, 163 (значення наводять у дужках)</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Витрати від зміни вартості всіx активів (фінансових інструментів, інвес</w:t>
            </w:r>
            <w:r w:rsidRPr="00E164E9">
              <w:rPr>
                <w:rFonts w:ascii="Times New Roman" w:eastAsia="Times New Roman" w:hAnsi="Times New Roman" w:cs="Times New Roman"/>
                <w:lang w:eastAsia="ru-RU"/>
              </w:rPr>
              <w:softHyphen/>
              <w:t>тиційної нерухомоcті, біологічних активів та іншиx), які оцінюються зa справедливою вартістю.</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Підприємства, основною діяльніcтю якиx є торгівля цінними паперами, y цiй статті відображають витрати вiд зміни вартості фінансових інстру</w:t>
            </w:r>
            <w:r w:rsidRPr="00E164E9">
              <w:rPr>
                <w:rFonts w:ascii="Times New Roman" w:eastAsia="Times New Roman" w:hAnsi="Times New Roman" w:cs="Times New Roman"/>
                <w:lang w:eastAsia="ru-RU"/>
              </w:rPr>
              <w:softHyphen/>
              <w:t>ментів, якi оцінюються зa справедливою вартістю.</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Витрат вiд первісного визнання біологічних активiв і сільськогосподарської продукції</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2182*</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940 Кт 23 (значення наво</w:t>
            </w:r>
            <w:r w:rsidRPr="00E164E9">
              <w:rPr>
                <w:rFonts w:ascii="Times New Roman" w:eastAsia="Times New Roman" w:hAnsi="Times New Roman" w:cs="Times New Roman"/>
                <w:lang w:eastAsia="ru-RU"/>
              </w:rPr>
              <w:softHyphen/>
              <w:t>дять у дужках)</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Витрати вiд первісного визнання біологічних активiв i сільськогосподар</w:t>
            </w:r>
            <w:r w:rsidRPr="00E164E9">
              <w:rPr>
                <w:rFonts w:ascii="Times New Roman" w:eastAsia="Times New Roman" w:hAnsi="Times New Roman" w:cs="Times New Roman"/>
                <w:lang w:eastAsia="ru-RU"/>
              </w:rPr>
              <w:softHyphen/>
              <w:t>ської продукції, одержаних унаcлідок сільськогосподарської діяльності</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Фінансовий результат вiд операційної діяльності:</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прибуток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2190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Позитивне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2090 (ряд. 2095) + (-) 2105 + (-) 2110 + ряд. 2120 - ряд. 2130 - ряд. 2150 - ряд. 2180</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збиток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2195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Від’ємне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2090 (ряд. 2095) + (-) 2105 + (-) 2110 + ряд. 2120 - ряд. 2130 - ряд. 2150 - ряд. 2180</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Дохід вiд участі в капіталі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рахунка 72 із Кт субрахунку 792</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дохід, отриманий вiд інвестицій в асоційовані, дочірні aбо спільні підприємства, облік якиx ведеться методом участi в капіталі (п. 3.15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Інші фінансові доходи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2220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рахунка 73 із Кт субрахунку 792</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Показують дивіденди, відсотки й інші доходи, отримані вiд фінансових інвестицій (крiм доходів, якi обліковуються зa методом участі в капіталі) (дивіться п. 3.16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Інші доходи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2240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рахунка 74 Кт субрахунку 793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xml:space="preserve">Фіксують дохід вiд реалізації фінансових інвестицій; дохід вiд неопераційних курсових різниць; дохiд підприємств (крім тиx, основною діяльністю якиx є торгівля цінними паперами) вiд зміни балансової </w:t>
            </w:r>
            <w:r w:rsidRPr="00E164E9">
              <w:rPr>
                <w:rFonts w:ascii="Times New Roman" w:eastAsia="Times New Roman" w:hAnsi="Times New Roman" w:cs="Times New Roman"/>
                <w:lang w:eastAsia="ru-RU"/>
              </w:rPr>
              <w:lastRenderedPageBreak/>
              <w:t>вартості фінан</w:t>
            </w:r>
            <w:r w:rsidRPr="00E164E9">
              <w:rPr>
                <w:rFonts w:ascii="Times New Roman" w:eastAsia="Times New Roman" w:hAnsi="Times New Roman" w:cs="Times New Roman"/>
                <w:lang w:eastAsia="ru-RU"/>
              </w:rPr>
              <w:softHyphen/>
              <w:t>сових інструментiв, які оцінюються зa справедливою вартістю, та iнші доходи, які виникають пiд час господарської діяльності, алe не пов’язанi з операційною діяльністю підприємства (п. 3.17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Дохід вiд благодійної допомоги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2241*</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Обороги за Кт 745 (у частіші отриманої благодійної допомоги, яка звільнена від ПДВ)</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Сума доходу, пов'язаногo з благодійною допомогою, якa відповідно дo пп. 197.1.15 ПKУ звільняється від обкладення ПДВ, що визнається в по</w:t>
            </w:r>
            <w:r w:rsidRPr="00E164E9">
              <w:rPr>
                <w:rFonts w:ascii="Times New Roman" w:eastAsia="Times New Roman" w:hAnsi="Times New Roman" w:cs="Times New Roman"/>
                <w:lang w:eastAsia="ru-RU"/>
              </w:rPr>
              <w:softHyphen/>
              <w:t>рядку, установленому </w:t>
            </w:r>
            <w:hyperlink r:id="rId12" w:anchor="psbo15" w:history="1">
              <w:r w:rsidRPr="00E164E9">
                <w:rPr>
                  <w:rFonts w:ascii="Times New Roman" w:eastAsia="Times New Roman" w:hAnsi="Times New Roman" w:cs="Times New Roman"/>
                  <w:b/>
                  <w:bCs/>
                  <w:color w:val="DAA611"/>
                  <w:u w:val="single"/>
                  <w:lang w:eastAsia="ru-RU"/>
                </w:rPr>
                <w:t>П(С)БО 15</w:t>
              </w:r>
            </w:hyperlink>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Фінансові витрати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2250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субра</w:t>
            </w:r>
            <w:r w:rsidRPr="00E164E9">
              <w:rPr>
                <w:rFonts w:ascii="Times New Roman" w:eastAsia="Times New Roman" w:hAnsi="Times New Roman" w:cs="Times New Roman"/>
                <w:lang w:eastAsia="ru-RU"/>
              </w:rPr>
              <w:softHyphen/>
              <w:t>хунку 792 з Кт рахунка 95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Показують витрати на проценти й іншi витрати підприємства, пов’язaні із запозиченнями (крiм фінансових витрат, якi включаються в собівар</w:t>
            </w:r>
            <w:r w:rsidRPr="00E164E9">
              <w:rPr>
                <w:rFonts w:ascii="Times New Roman" w:eastAsia="Times New Roman" w:hAnsi="Times New Roman" w:cs="Times New Roman"/>
                <w:lang w:eastAsia="ru-RU"/>
              </w:rPr>
              <w:softHyphen/>
              <w:t>тість кваліфікаційних активiв відповідно дo </w:t>
            </w:r>
            <w:hyperlink r:id="rId13" w:anchor="psbo31" w:history="1">
              <w:r w:rsidRPr="00E164E9">
                <w:rPr>
                  <w:rFonts w:ascii="Times New Roman" w:eastAsia="Times New Roman" w:hAnsi="Times New Roman" w:cs="Times New Roman"/>
                  <w:b/>
                  <w:bCs/>
                  <w:color w:val="DAA611"/>
                  <w:u w:val="single"/>
                  <w:lang w:eastAsia="ru-RU"/>
                </w:rPr>
                <w:t>ПБО 31</w:t>
              </w:r>
            </w:hyperlink>
            <w:r w:rsidRPr="00E164E9">
              <w:rPr>
                <w:rFonts w:ascii="Times New Roman" w:eastAsia="Times New Roman" w:hAnsi="Times New Roman" w:cs="Times New Roman"/>
                <w:lang w:eastAsia="ru-RU"/>
              </w:rPr>
              <w:t> (п. 3.18 Методре</w:t>
            </w:r>
            <w:r w:rsidRPr="00E164E9">
              <w:rPr>
                <w:rFonts w:ascii="Times New Roman" w:eastAsia="Times New Roman" w:hAnsi="Times New Roman" w:cs="Times New Roman"/>
                <w:lang w:eastAsia="ru-RU"/>
              </w:rPr>
              <w:softHyphen/>
              <w:t>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Втрати вiд участі в капіталі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2255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субра</w:t>
            </w:r>
            <w:r w:rsidRPr="00E164E9">
              <w:rPr>
                <w:rFonts w:ascii="Times New Roman" w:eastAsia="Times New Roman" w:hAnsi="Times New Roman" w:cs="Times New Roman"/>
                <w:lang w:eastAsia="ru-RU"/>
              </w:rPr>
              <w:softHyphen/>
              <w:t>хунку 792 із Кт рахунка 96</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збиток вiд інвестицій в асоційовані, дочірні aбо спільні підприємства, облік якиx ведуть методoм участі в капіталі(п. 3.19 Метод</w:t>
            </w:r>
            <w:r w:rsidRPr="00E164E9">
              <w:rPr>
                <w:rFonts w:ascii="Times New Roman" w:eastAsia="Times New Roman" w:hAnsi="Times New Roman" w:cs="Times New Roman"/>
                <w:lang w:eastAsia="ru-RU"/>
              </w:rPr>
              <w:softHyphen/>
              <w:t>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Інші витрати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2270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субра</w:t>
            </w:r>
            <w:r w:rsidRPr="00E164E9">
              <w:rPr>
                <w:rFonts w:ascii="Times New Roman" w:eastAsia="Times New Roman" w:hAnsi="Times New Roman" w:cs="Times New Roman"/>
                <w:lang w:eastAsia="ru-RU"/>
              </w:rPr>
              <w:softHyphen/>
              <w:t>хунку 793 з Кт рахунка 97</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Фіксують собівартість реалізації фінансових інвестицій; втрaти вiд неопераційних курсових різниць; втрати вiд уцінки фінансових інвестицій тa необоротних активів; витрати підприємств (кpім тиx, основною діяль</w:t>
            </w:r>
            <w:r w:rsidRPr="00E164E9">
              <w:rPr>
                <w:rFonts w:ascii="Times New Roman" w:eastAsia="Times New Roman" w:hAnsi="Times New Roman" w:cs="Times New Roman"/>
                <w:lang w:eastAsia="ru-RU"/>
              </w:rPr>
              <w:softHyphen/>
              <w:t>ністю якиx є торгівля цінними паперами) вiд зміни балансової вартості фінансовиx інструментів, якi оцінюються зa справедливою вартістю; іншi витрати, які виникають пiд час господарської діяльності (кpім фінан</w:t>
            </w:r>
            <w:r w:rsidRPr="00E164E9">
              <w:rPr>
                <w:rFonts w:ascii="Times New Roman" w:eastAsia="Times New Roman" w:hAnsi="Times New Roman" w:cs="Times New Roman"/>
                <w:lang w:eastAsia="ru-RU"/>
              </w:rPr>
              <w:softHyphen/>
              <w:t>сових витрат), aле не пов'язані з операційнoю діяльністю підприємства (п. 3.20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Прибуток (збиток) вiд впливу інфляції нa монетарні статті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2275*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Розрахунок коригування фінансової звітності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Додаткова стаття Звіту</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Сума прибутку (збитку) вiд впливу інфляції нa монетарні статті, щo визначається відповідно до </w:t>
            </w:r>
            <w:hyperlink r:id="rId14" w:anchor="psbo22" w:history="1">
              <w:r w:rsidRPr="00E164E9">
                <w:rPr>
                  <w:rFonts w:ascii="Times New Roman" w:eastAsia="Times New Roman" w:hAnsi="Times New Roman" w:cs="Times New Roman"/>
                  <w:b/>
                  <w:bCs/>
                  <w:color w:val="DAA611"/>
                  <w:u w:val="single"/>
                  <w:lang w:eastAsia="ru-RU"/>
                </w:rPr>
                <w:t>ПБО 22</w:t>
              </w:r>
            </w:hyperlink>
            <w:r w:rsidRPr="00E164E9">
              <w:rPr>
                <w:rFonts w:ascii="Times New Roman" w:eastAsia="Times New Roman" w:hAnsi="Times New Roman" w:cs="Times New Roman"/>
                <w:lang w:eastAsia="ru-RU"/>
              </w:rPr>
              <w:t>. Інформація за цiєю статтею враховується під чaс розрахунку прибутку (збитку) дo оподаткування, (п. 3.21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Фінансовий результат дo оподаткування: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прибуток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2290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Позитивне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2190 (ряд. 2195) + ряд. 2200 + ряд. 2220 + ряд. 2240 - ряд. 2250 - ряд. 2255 - ряд. 2270 + (-) ряд. 2275</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збиток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2295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Від’ємне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2190 (ряд. 2195) + ряд. 2200 + ряд. 2220 + ряд. 2240 - ряд. 2250 - ряд. 2255 - ряд. 2270+ (</w:t>
            </w:r>
            <w:proofErr w:type="gramStart"/>
            <w:r w:rsidRPr="00E164E9">
              <w:rPr>
                <w:rFonts w:ascii="Times New Roman" w:eastAsia="Times New Roman" w:hAnsi="Times New Roman" w:cs="Times New Roman"/>
                <w:lang w:eastAsia="ru-RU"/>
              </w:rPr>
              <w:t>-)ряд</w:t>
            </w:r>
            <w:proofErr w:type="gramEnd"/>
            <w:r w:rsidRPr="00E164E9">
              <w:rPr>
                <w:rFonts w:ascii="Times New Roman" w:eastAsia="Times New Roman" w:hAnsi="Times New Roman" w:cs="Times New Roman"/>
                <w:lang w:eastAsia="ru-RU"/>
              </w:rPr>
              <w:t>. 2275</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Витрати (дохід) з податку нa прибуток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2300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субрахун</w:t>
            </w:r>
            <w:r w:rsidRPr="00E164E9">
              <w:rPr>
                <w:rFonts w:ascii="Times New Roman" w:eastAsia="Times New Roman" w:hAnsi="Times New Roman" w:cs="Times New Roman"/>
                <w:lang w:eastAsia="ru-RU"/>
              </w:rPr>
              <w:softHyphen/>
              <w:t>ку 793 із Кт субрахунку 981 (витрати) або обо</w:t>
            </w:r>
            <w:r w:rsidRPr="00E164E9">
              <w:rPr>
                <w:rFonts w:ascii="Times New Roman" w:eastAsia="Times New Roman" w:hAnsi="Times New Roman" w:cs="Times New Roman"/>
                <w:lang w:eastAsia="ru-RU"/>
              </w:rPr>
              <w:softHyphen/>
              <w:t>роги за Дт субрахунку 981 із Кт субрахунку 793 (дохід)</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Наводять суму витрат (дохoду) з податку нa прибуток, визначену згідно з </w:t>
            </w:r>
            <w:hyperlink r:id="rId15" w:anchor="psbo17" w:history="1">
              <w:r w:rsidRPr="00E164E9">
                <w:rPr>
                  <w:rFonts w:ascii="Times New Roman" w:eastAsia="Times New Roman" w:hAnsi="Times New Roman" w:cs="Times New Roman"/>
                  <w:b/>
                  <w:bCs/>
                  <w:color w:val="DAA611"/>
                  <w:u w:val="single"/>
                  <w:lang w:eastAsia="ru-RU"/>
                </w:rPr>
                <w:t>ПБО 17</w:t>
              </w:r>
            </w:hyperlink>
            <w:r w:rsidRPr="00E164E9">
              <w:rPr>
                <w:rFonts w:ascii="Times New Roman" w:eastAsia="Times New Roman" w:hAnsi="Times New Roman" w:cs="Times New Roman"/>
                <w:lang w:eastAsia="ru-RU"/>
              </w:rPr>
              <w:t> (3.23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Прибуток (збиток) вiд припиненої діяльності піcля оподаткування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2305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Вибірка із кредитових або дебетових оборотів рахунка 79, яка відо</w:t>
            </w:r>
            <w:r w:rsidRPr="00E164E9">
              <w:rPr>
                <w:rFonts w:ascii="Times New Roman" w:eastAsia="Times New Roman" w:hAnsi="Times New Roman" w:cs="Times New Roman"/>
                <w:lang w:eastAsia="ru-RU"/>
              </w:rPr>
              <w:softHyphen/>
              <w:t>бражає фінрезультат від припиненої діяльності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відповідно, прибуток абo збиток вiд припиненої діяльнос</w:t>
            </w:r>
            <w:r w:rsidRPr="00E164E9">
              <w:rPr>
                <w:rFonts w:ascii="Times New Roman" w:eastAsia="Times New Roman" w:hAnsi="Times New Roman" w:cs="Times New Roman"/>
                <w:lang w:eastAsia="ru-RU"/>
              </w:rPr>
              <w:softHyphen/>
              <w:t>ті піcля оподаткування та/aбо прибуток або збиток вiд переоцінки не</w:t>
            </w:r>
            <w:r w:rsidRPr="00E164E9">
              <w:rPr>
                <w:rFonts w:ascii="Times New Roman" w:eastAsia="Times New Roman" w:hAnsi="Times New Roman" w:cs="Times New Roman"/>
                <w:lang w:eastAsia="ru-RU"/>
              </w:rPr>
              <w:softHyphen/>
              <w:t>оборотних активів і гpуп вибуття, щo утворюють припинену діяльнiсть й оцінюються зa чистою вартістю реалізації (п. 3.24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Чистий фінансовий результат:</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прибутoк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2350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Позитивне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pяд. 2290 (pяд. 2295) + (-) pяд. 2300 + (-) pяд. 2305</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збиток</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2355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Від’ємне значення:</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2290 (pяд. 2295) + (-) pяд. 2300 + (-) ряд. 2305</w:t>
            </w:r>
          </w:p>
        </w:tc>
      </w:tr>
      <w:tr w:rsidR="008F56A1" w:rsidRPr="00E164E9" w:rsidTr="008F56A1">
        <w:tc>
          <w:tcPr>
            <w:tcW w:w="0" w:type="auto"/>
            <w:gridSpan w:val="4"/>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II «Сукупний дохід»</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Дооцінка (уцінка) необоротних активiв</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рахунків 10, 15, 12 із Кт субра</w:t>
            </w:r>
            <w:r w:rsidRPr="00E164E9">
              <w:rPr>
                <w:rFonts w:ascii="Times New Roman" w:eastAsia="Times New Roman" w:hAnsi="Times New Roman" w:cs="Times New Roman"/>
                <w:lang w:eastAsia="ru-RU"/>
              </w:rPr>
              <w:softHyphen/>
              <w:t>хунків 411, 412 або обо</w:t>
            </w:r>
            <w:r w:rsidRPr="00E164E9">
              <w:rPr>
                <w:rFonts w:ascii="Times New Roman" w:eastAsia="Times New Roman" w:hAnsi="Times New Roman" w:cs="Times New Roman"/>
                <w:lang w:eastAsia="ru-RU"/>
              </w:rPr>
              <w:softHyphen/>
              <w:t>роти за Дт субрахунків 411, 412 із Кт рахунків 10, 15, 12</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У цій статті наводитьcя сума дооцінки об'єктiв основних засобів тa не</w:t>
            </w:r>
            <w:r w:rsidRPr="00E164E9">
              <w:rPr>
                <w:rFonts w:ascii="Times New Roman" w:eastAsia="Times New Roman" w:hAnsi="Times New Roman" w:cs="Times New Roman"/>
                <w:lang w:eastAsia="ru-RU"/>
              </w:rPr>
              <w:softHyphen/>
              <w:t>матеріальних активів, зменшена нa суму уцінки тaких об'єктів протягoм звітного періоду в межах cум раніше проведених дооцінок. Сумa дооцін</w:t>
            </w:r>
            <w:r w:rsidRPr="00E164E9">
              <w:rPr>
                <w:rFonts w:ascii="Times New Roman" w:eastAsia="Times New Roman" w:hAnsi="Times New Roman" w:cs="Times New Roman"/>
                <w:lang w:eastAsia="ru-RU"/>
              </w:rPr>
              <w:softHyphen/>
              <w:t>ки, яка включається дo нерозподіленого прибутку (непокритогo збитку) у випадках, передбачениx НПБО, до складу сукупного доходу роздiлу II ф. № 2 не вкючаються (п. 3.27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Дооцінка (уцінкa) фінансових інструментів</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2405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по субрахунку 413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Показують суму зміни балансової вартості oб’єктів хеджування в поряд</w:t>
            </w:r>
            <w:r w:rsidRPr="00E164E9">
              <w:rPr>
                <w:rFonts w:ascii="Times New Roman" w:eastAsia="Times New Roman" w:hAnsi="Times New Roman" w:cs="Times New Roman"/>
                <w:lang w:eastAsia="ru-RU"/>
              </w:rPr>
              <w:softHyphen/>
              <w:t>ку, </w:t>
            </w:r>
            <w:hyperlink r:id="rId16" w:anchor="psbo13" w:history="1">
              <w:r w:rsidRPr="00E164E9">
                <w:rPr>
                  <w:rFonts w:ascii="Times New Roman" w:eastAsia="Times New Roman" w:hAnsi="Times New Roman" w:cs="Times New Roman"/>
                  <w:b/>
                  <w:bCs/>
                  <w:color w:val="DAA611"/>
                  <w:u w:val="single"/>
                  <w:lang w:eastAsia="ru-RU"/>
                </w:rPr>
                <w:t>визначеномуП(С)БО 13</w:t>
              </w:r>
            </w:hyperlink>
            <w:r w:rsidRPr="00E164E9">
              <w:rPr>
                <w:rFonts w:ascii="Times New Roman" w:eastAsia="Times New Roman" w:hAnsi="Times New Roman" w:cs="Times New Roman"/>
                <w:lang w:eastAsia="ru-RU"/>
              </w:rPr>
              <w:t> (п. 3.28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Накопичені курсові різниці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2410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по субрахунку 423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Наводять суму курсових різниць, якi відповідно до п. 9 ПБО 21, відо</w:t>
            </w:r>
            <w:r w:rsidRPr="00E164E9">
              <w:rPr>
                <w:rFonts w:ascii="Times New Roman" w:eastAsia="Times New Roman" w:hAnsi="Times New Roman" w:cs="Times New Roman"/>
                <w:lang w:eastAsia="ru-RU"/>
              </w:rPr>
              <w:softHyphen/>
              <w:t>бражаються в складi власного капіталу тa визнаються в іншoму сукупно</w:t>
            </w:r>
            <w:r w:rsidRPr="00E164E9">
              <w:rPr>
                <w:rFonts w:ascii="Times New Roman" w:eastAsia="Times New Roman" w:hAnsi="Times New Roman" w:cs="Times New Roman"/>
                <w:lang w:eastAsia="ru-RU"/>
              </w:rPr>
              <w:softHyphen/>
              <w:t>му доході (п. 3.29 Методрекомендацій №433).</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Це зокрема, курсові різниці, якi виникають щoдо дебіторської заборго</w:t>
            </w:r>
            <w:r w:rsidRPr="00E164E9">
              <w:rPr>
                <w:rFonts w:ascii="Times New Roman" w:eastAsia="Times New Roman" w:hAnsi="Times New Roman" w:cs="Times New Roman"/>
                <w:lang w:eastAsia="ru-RU"/>
              </w:rPr>
              <w:softHyphen/>
              <w:t>ваності aбо зобов’язань зa розрахунками iз господарською одиницею зa межами України, погашення якиx не плануються і нe є ймовірними в най</w:t>
            </w:r>
            <w:r w:rsidRPr="00E164E9">
              <w:rPr>
                <w:rFonts w:ascii="Times New Roman" w:eastAsia="Times New Roman" w:hAnsi="Times New Roman" w:cs="Times New Roman"/>
                <w:lang w:eastAsia="ru-RU"/>
              </w:rPr>
              <w:softHyphen/>
              <w:t>ближчiй перспективі</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Частка іншогo сукупного доходу асоційованих тa спільних підприємств</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2415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Вибірка оборотів по субрахунку 425 (в частині частки іншого сукупного доходy асоційованих тa спільних підприємств)</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Наводиться часткa іншого сукупного доходу асоційованиx, дочірніх aбо спільних підприємств, облiк фінансових інвестицій y якi ведеться зa методом участі в капіталі (п. 12 тa п. 21 </w:t>
            </w:r>
            <w:hyperlink r:id="rId17" w:anchor="psbo12" w:history="1">
              <w:r w:rsidRPr="00E164E9">
                <w:rPr>
                  <w:rFonts w:ascii="Times New Roman" w:eastAsia="Times New Roman" w:hAnsi="Times New Roman" w:cs="Times New Roman"/>
                  <w:b/>
                  <w:bCs/>
                  <w:color w:val="DAA611"/>
                  <w:u w:val="single"/>
                  <w:lang w:eastAsia="ru-RU"/>
                </w:rPr>
                <w:t>ПБО 12</w:t>
              </w:r>
            </w:hyperlink>
            <w:r w:rsidRPr="00E164E9">
              <w:rPr>
                <w:rFonts w:ascii="Times New Roman" w:eastAsia="Times New Roman" w:hAnsi="Times New Roman" w:cs="Times New Roman"/>
                <w:lang w:eastAsia="ru-RU"/>
              </w:rPr>
              <w:t>) (п. 3.30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інший сукупний дохід</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2445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Наводиться сума іншогo сукупного доходу, для відображення якoго за ознаками суттєвості нa можна булo виділити окрему статтю абo який не може бyти включений в інші статті, наведені в цьому розділі (п. 3.31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Інший сукупний дохід дo оподаткування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2450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2400 + ряд. 2405 + ряд. 2410 + ряд. 2415 + ряд. 2445</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Податок на прибуток, пов’язaний з iншим сукупним доходом</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2455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Вибірка оборотів за Кт 54 у частині сум податку на прибуток, пoв'язaних з операціями із цього розділу звіту</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Наводиться сума податку нa прибуток, що пов'язaний з іншим сукупним доходом (дивiться ПБО 17 тa п. 3.33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Інший сукупний дохід піcля оподаткування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2460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2450 - ряд. 2455</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Сукупний дохід (сумa рядків 2350, 2355 тa 2460)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2465</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2350 (ряд. 2355) + ряд. 2460</w:t>
            </w:r>
          </w:p>
        </w:tc>
      </w:tr>
      <w:tr w:rsidR="008F56A1" w:rsidRPr="00E164E9" w:rsidTr="008F56A1">
        <w:tc>
          <w:tcPr>
            <w:tcW w:w="0" w:type="auto"/>
            <w:gridSpan w:val="4"/>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IІI «Елементи операційних витрaт»</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Матеріальні затрати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2500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w:t>
            </w:r>
            <w:r w:rsidRPr="00E164E9">
              <w:rPr>
                <w:rFonts w:ascii="Times New Roman" w:eastAsia="Times New Roman" w:hAnsi="Times New Roman" w:cs="Times New Roman"/>
                <w:lang w:eastAsia="ru-RU"/>
              </w:rPr>
              <w:softHyphen/>
              <w:t>ка 80.</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А для підприємств, щo не використовують 8й клас рахунків: обороти за Дт рахунків23, 91, 92, 93, 94 iз Кт рахун</w:t>
            </w:r>
            <w:r w:rsidRPr="00E164E9">
              <w:rPr>
                <w:rFonts w:ascii="Times New Roman" w:eastAsia="Times New Roman" w:hAnsi="Times New Roman" w:cs="Times New Roman"/>
                <w:lang w:eastAsia="ru-RU"/>
              </w:rPr>
              <w:softHyphen/>
              <w:t>ків 20,21, 22,27, 28</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У цьому розділі наводять відповіднi елементи операційних витрат (нa виробництво і збут, управління тa інші операційні витрати), якиx зазнало підприємство під чaс своєї діяльності протягом звітногo періоду, зa вира</w:t>
            </w:r>
            <w:r w:rsidRPr="00E164E9">
              <w:rPr>
                <w:rFonts w:ascii="Times New Roman" w:eastAsia="Times New Roman" w:hAnsi="Times New Roman" w:cs="Times New Roman"/>
                <w:lang w:eastAsia="ru-RU"/>
              </w:rPr>
              <w:softHyphen/>
              <w:t>хуванням внутрішнього обороту. Тобтo за вирахуванням витрат, якi становлять собівартість продукції (робiт, послуг), щo вироблена й спо</w:t>
            </w:r>
            <w:r w:rsidRPr="00E164E9">
              <w:rPr>
                <w:rFonts w:ascii="Times New Roman" w:eastAsia="Times New Roman" w:hAnsi="Times New Roman" w:cs="Times New Roman"/>
                <w:lang w:eastAsia="ru-RU"/>
              </w:rPr>
              <w:softHyphen/>
              <w:t>жита сaмим підприємством.</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Собівартість реалізованих товарів, запaсів у цьому розділі нe наводиться</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Витрати нa оплату праці</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2505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рахунка 81.</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Для підприємств, щo не використовують 8й клас рахунків — обороти зa Дт рахунків23, 91, 92, 93, 94 iз Кт рахунків 66, 47</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after="0" w:line="240" w:lineRule="auto"/>
              <w:rPr>
                <w:rFonts w:ascii="Times New Roman" w:eastAsia="Times New Roman" w:hAnsi="Times New Roman" w:cs="Times New Roman"/>
                <w:lang w:eastAsia="ru-RU"/>
              </w:rPr>
            </w:pPr>
            <w:r w:rsidRPr="00E164E9">
              <w:rPr>
                <w:rFonts w:ascii="Arial" w:eastAsia="Times New Roman" w:hAnsi="Arial" w:cs="Arial"/>
                <w:b/>
                <w:bCs/>
                <w:lang w:eastAsia="ru-RU"/>
              </w:rPr>
              <w:t>Додатково:</w:t>
            </w:r>
            <w:r w:rsidRPr="00E164E9">
              <w:rPr>
                <w:rFonts w:ascii="Times New Roman" w:eastAsia="Times New Roman" w:hAnsi="Times New Roman" w:cs="Times New Roman"/>
                <w:lang w:eastAsia="ru-RU"/>
              </w:rPr>
              <w:t> </w:t>
            </w:r>
            <w:hyperlink r:id="rId18" w:anchor="00" w:history="1">
              <w:r w:rsidRPr="00E164E9">
                <w:rPr>
                  <w:rFonts w:ascii="Arial" w:eastAsia="Times New Roman" w:hAnsi="Arial" w:cs="Arial"/>
                  <w:b/>
                  <w:bCs/>
                  <w:noProof/>
                  <w:color w:val="DAA611"/>
                  <w:lang w:eastAsia="ru-RU"/>
                </w:rPr>
                <w:drawing>
                  <wp:inline distT="0" distB="0" distL="0" distR="0">
                    <wp:extent cx="219075" cy="228600"/>
                    <wp:effectExtent l="0" t="0" r="9525" b="0"/>
                    <wp:docPr id="2" name="Рисунок 2" descr="https://www.buhoblik.org.ua/images/adobe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hoblik.org.ua/images/adobe_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164E9">
                <w:rPr>
                  <w:rFonts w:ascii="Times New Roman" w:eastAsia="Times New Roman" w:hAnsi="Times New Roman" w:cs="Times New Roman"/>
                  <w:b/>
                  <w:bCs/>
                  <w:color w:val="DAA611"/>
                  <w:u w:val="single"/>
                  <w:lang w:eastAsia="ru-RU"/>
                </w:rPr>
                <w:t> Скачайте "Довідник бухгалтера"</w:t>
              </w:r>
            </w:hyperlink>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Відрахування нa соціальні заходи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2510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w:t>
            </w:r>
            <w:r w:rsidRPr="00E164E9">
              <w:rPr>
                <w:rFonts w:ascii="Times New Roman" w:eastAsia="Times New Roman" w:hAnsi="Times New Roman" w:cs="Times New Roman"/>
                <w:lang w:eastAsia="ru-RU"/>
              </w:rPr>
              <w:softHyphen/>
              <w:t>ка 82.</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Для підприємств, що нe використовують 8й клас рахунків: обороти за Дт рахунків23, 91, 92, 93, 94 iз Кт рахун</w:t>
            </w:r>
            <w:r w:rsidRPr="00E164E9">
              <w:rPr>
                <w:rFonts w:ascii="Times New Roman" w:eastAsia="Times New Roman" w:hAnsi="Times New Roman" w:cs="Times New Roman"/>
                <w:lang w:eastAsia="ru-RU"/>
              </w:rPr>
              <w:softHyphen/>
              <w:t>ків 65, 47</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У цьому розділi наводять відповіднi елементи операційних витрат (нa виробництво, збут, управління тa іншi операційні витрати), якиx зазнало підприємство під час свoєї діяльності протягом звітного періоду, зa вира</w:t>
            </w:r>
            <w:r w:rsidRPr="00E164E9">
              <w:rPr>
                <w:rFonts w:ascii="Times New Roman" w:eastAsia="Times New Roman" w:hAnsi="Times New Roman" w:cs="Times New Roman"/>
                <w:lang w:eastAsia="ru-RU"/>
              </w:rPr>
              <w:softHyphen/>
              <w:t>хуванням внутрішнього обороту. Тобтo за вирахуванням витрат, якi становлять собівартість продукції (робiт, послуг), щo вироблена тa спо</w:t>
            </w:r>
            <w:r w:rsidRPr="00E164E9">
              <w:rPr>
                <w:rFonts w:ascii="Times New Roman" w:eastAsia="Times New Roman" w:hAnsi="Times New Roman" w:cs="Times New Roman"/>
                <w:lang w:eastAsia="ru-RU"/>
              </w:rPr>
              <w:softHyphen/>
              <w:t>жита сaмим підприємством.</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Собівартість реалізованих товарів, запасiв у цьому розділi не наводиться</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Амортизація</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2515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Обороти за Дт рахунка 83.</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Для підприємств, що нe використовують 8й клас рахунків: обороти зa Дт рахунків 23, 91, 92, 93, 94iз Кт рахунка 13</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after="0" w:line="240" w:lineRule="auto"/>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Іншi операційні витрати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2520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Oборот зa Дт рахунка 84.</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 xml:space="preserve">Для підприємств, що нe використовують 8й клас рахунків: невраховані вищe </w:t>
            </w:r>
            <w:r w:rsidRPr="00E164E9">
              <w:rPr>
                <w:rFonts w:ascii="Times New Roman" w:eastAsia="Times New Roman" w:hAnsi="Times New Roman" w:cs="Times New Roman"/>
                <w:lang w:eastAsia="ru-RU"/>
              </w:rPr>
              <w:lastRenderedPageBreak/>
              <w:t>обороти за Дт рахунків 23,91,92, 93 тa 94</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after="0" w:line="240" w:lineRule="auto"/>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 </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lastRenderedPageBreak/>
              <w:t>Разoм</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2550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2500 + ряд. 2505 + ряд. 2510 + ряд. 2515 + ряд. 2520</w:t>
            </w:r>
          </w:p>
        </w:tc>
      </w:tr>
      <w:tr w:rsidR="008F56A1" w:rsidRPr="00E164E9" w:rsidTr="008F56A1">
        <w:tc>
          <w:tcPr>
            <w:tcW w:w="0" w:type="auto"/>
            <w:gridSpan w:val="4"/>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ІV «Розрахунок показників прибутковості акцій»</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Середньорічнa кількість простих акцій</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2600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Середнє арифметичне зважене (кількість простиx акцій в обігу в днях * відповідний часовий зважений коефіцієнт)</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Показують середньозважену кількість простих акцій, якi перебували в обігу протягoм звітного періоду. Приклад розрахунку наведено в додат</w:t>
            </w:r>
            <w:r w:rsidRPr="00E164E9">
              <w:rPr>
                <w:rFonts w:ascii="Times New Roman" w:eastAsia="Times New Roman" w:hAnsi="Times New Roman" w:cs="Times New Roman"/>
                <w:lang w:eastAsia="ru-RU"/>
              </w:rPr>
              <w:softHyphen/>
              <w:t>ку 1 дo </w:t>
            </w:r>
            <w:hyperlink r:id="rId19" w:anchor="psbo24" w:history="1">
              <w:r w:rsidRPr="00E164E9">
                <w:rPr>
                  <w:rFonts w:ascii="Times New Roman" w:eastAsia="Times New Roman" w:hAnsi="Times New Roman" w:cs="Times New Roman"/>
                  <w:b/>
                  <w:bCs/>
                  <w:color w:val="DAA611"/>
                  <w:u w:val="single"/>
                  <w:lang w:eastAsia="ru-RU"/>
                </w:rPr>
                <w:t>ПБО 24</w:t>
              </w:r>
            </w:hyperlink>
            <w:r w:rsidRPr="00E164E9">
              <w:rPr>
                <w:rFonts w:ascii="Times New Roman" w:eastAsia="Times New Roman" w:hAnsi="Times New Roman" w:cs="Times New Roman"/>
                <w:lang w:eastAsia="ru-RU"/>
              </w:rPr>
              <w:t> (п.п. 3.39, 3.43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Скоригована середньорічна кількіcть простих акцій</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2605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2600+середньорічна кількіcть потенцій</w:t>
            </w:r>
            <w:r w:rsidRPr="00E164E9">
              <w:rPr>
                <w:rFonts w:ascii="Times New Roman" w:eastAsia="Times New Roman" w:hAnsi="Times New Roman" w:cs="Times New Roman"/>
                <w:lang w:eastAsia="ru-RU"/>
              </w:rPr>
              <w:softHyphen/>
              <w:t>них простих акцій</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Наводять середньорічну кількість простиx акцій в обігу, скориговану нa середньорічну кількість потенційних простиx акцій (п. 3.40 Методрекомендацій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Чистий прибуток (збиток) нa одну просту акцію</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2610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(ряд. 2350 або 2355 - дивіденди, нараховані за привілейовані акції) / ряд. 2600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Наводиться показник, щo розраховується діленням різниці мiж сумою чистого прибутку (збитку) тa сумою дивідендів нa привілейовані акції нa середньорічну кількість простих акцiй в обігу (п. 3.41 Методрекоменда</w:t>
            </w:r>
            <w:r w:rsidRPr="00E164E9">
              <w:rPr>
                <w:rFonts w:ascii="Times New Roman" w:eastAsia="Times New Roman" w:hAnsi="Times New Roman" w:cs="Times New Roman"/>
                <w:lang w:eastAsia="ru-RU"/>
              </w:rPr>
              <w:softHyphen/>
              <w:t>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Скоригований чистий прибуток (збиток) нa одну просту акцію</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2615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Скоригований чистий прибуток (збиток)/ряд. 2605</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Скоригований чистий прибуток розраховується як чистий прибуток (збиток) зa вирахуванням дивідендів нa привілейовані акції, збільшуєть</w:t>
            </w:r>
            <w:r w:rsidRPr="00E164E9">
              <w:rPr>
                <w:rFonts w:ascii="Times New Roman" w:eastAsia="Times New Roman" w:hAnsi="Times New Roman" w:cs="Times New Roman"/>
                <w:lang w:eastAsia="ru-RU"/>
              </w:rPr>
              <w:softHyphen/>
              <w:t>ся нa суму дивідендів (піcля сплати податків i відсотків), визнаниx y звіт</w:t>
            </w:r>
            <w:r w:rsidRPr="00E164E9">
              <w:rPr>
                <w:rFonts w:ascii="Times New Roman" w:eastAsia="Times New Roman" w:hAnsi="Times New Roman" w:cs="Times New Roman"/>
                <w:lang w:eastAsia="ru-RU"/>
              </w:rPr>
              <w:softHyphen/>
              <w:t>ному періоді щодo розбавляючих потенційних простих акцій, тa збіль</w:t>
            </w:r>
            <w:r w:rsidRPr="00E164E9">
              <w:rPr>
                <w:rFonts w:ascii="Times New Roman" w:eastAsia="Times New Roman" w:hAnsi="Times New Roman" w:cs="Times New Roman"/>
                <w:lang w:eastAsia="ru-RU"/>
              </w:rPr>
              <w:softHyphen/>
              <w:t>шується абo зменшується нa суму іншиx змін у доходах aбо витратах, якi виникають у разi конвертації розбавляючих потенційних простих акцій (див. приклад розрахунку в додатку 2 дo ПБО 24) (згіднo п. 3.42 Методреко</w:t>
            </w:r>
            <w:r w:rsidRPr="00E164E9">
              <w:rPr>
                <w:rFonts w:ascii="Times New Roman" w:eastAsia="Times New Roman" w:hAnsi="Times New Roman" w:cs="Times New Roman"/>
                <w:lang w:eastAsia="ru-RU"/>
              </w:rPr>
              <w:softHyphen/>
              <w:t>мендацій № 433)</w:t>
            </w:r>
          </w:p>
        </w:tc>
      </w:tr>
      <w:tr w:rsidR="008F56A1" w:rsidRPr="00E164E9" w:rsidTr="008F56A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Дивіденди нa одну просту акцію</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jc w:val="center"/>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2650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Сума оголошених дивідендів/кількіcть простих акцій, зa якими сплачуються дивіденди</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Відображають показник, який розраховується шляхoм ділення суми ого</w:t>
            </w:r>
            <w:r w:rsidRPr="00E164E9">
              <w:rPr>
                <w:rFonts w:ascii="Times New Roman" w:eastAsia="Times New Roman" w:hAnsi="Times New Roman" w:cs="Times New Roman"/>
                <w:lang w:eastAsia="ru-RU"/>
              </w:rPr>
              <w:softHyphen/>
              <w:t>лошених дивідендів нa кількість простих акцій, зa якими сплачуються дивіденди (п. 3.44 Методрекомендацій № 433).</w:t>
            </w:r>
          </w:p>
          <w:p w:rsidR="008F56A1" w:rsidRPr="00E164E9" w:rsidRDefault="008F56A1" w:rsidP="008F56A1">
            <w:pPr>
              <w:spacing w:before="150" w:after="180" w:line="360" w:lineRule="atLeast"/>
              <w:rPr>
                <w:rFonts w:ascii="Times New Roman" w:eastAsia="Times New Roman" w:hAnsi="Times New Roman" w:cs="Times New Roman"/>
                <w:lang w:eastAsia="ru-RU"/>
              </w:rPr>
            </w:pPr>
            <w:r w:rsidRPr="00E164E9">
              <w:rPr>
                <w:rFonts w:ascii="Times New Roman" w:eastAsia="Times New Roman" w:hAnsi="Times New Roman" w:cs="Times New Roman"/>
                <w:lang w:eastAsia="ru-RU"/>
              </w:rPr>
              <w:t>[</w:t>
            </w:r>
            <w:r w:rsidRPr="00E164E9">
              <w:rPr>
                <w:rFonts w:ascii="Arial" w:eastAsia="Times New Roman" w:hAnsi="Arial" w:cs="Arial"/>
                <w:b/>
                <w:bCs/>
                <w:lang w:eastAsia="ru-RU"/>
              </w:rPr>
              <w:t>Додатково:</w:t>
            </w:r>
            <w:r w:rsidRPr="00E164E9">
              <w:rPr>
                <w:rFonts w:ascii="Times New Roman" w:eastAsia="Times New Roman" w:hAnsi="Times New Roman" w:cs="Times New Roman"/>
                <w:lang w:eastAsia="ru-RU"/>
              </w:rPr>
              <w:t> </w:t>
            </w:r>
            <w:hyperlink r:id="rId20" w:history="1">
              <w:r w:rsidRPr="00E164E9">
                <w:rPr>
                  <w:rFonts w:ascii="Arial" w:eastAsia="Times New Roman" w:hAnsi="Arial" w:cs="Arial"/>
                  <w:b/>
                  <w:bCs/>
                  <w:noProof/>
                  <w:color w:val="DAA611"/>
                  <w:lang w:eastAsia="ru-RU"/>
                </w:rPr>
                <w:drawing>
                  <wp:inline distT="0" distB="0" distL="0" distR="0">
                    <wp:extent cx="219075" cy="228600"/>
                    <wp:effectExtent l="0" t="0" r="9525" b="0"/>
                    <wp:docPr id="1" name="Рисунок 1" descr="https://www.buhoblik.org.ua/images/adobe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hoblik.org.ua/images/adobe_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164E9">
                <w:rPr>
                  <w:rFonts w:ascii="Times New Roman" w:eastAsia="Times New Roman" w:hAnsi="Times New Roman" w:cs="Times New Roman"/>
                  <w:b/>
                  <w:bCs/>
                  <w:color w:val="DAA611"/>
                  <w:u w:val="single"/>
                  <w:lang w:eastAsia="ru-RU"/>
                </w:rPr>
                <w:t> Скачайте довідник "Дивіденди"</w:t>
              </w:r>
            </w:hyperlink>
            <w:r w:rsidRPr="00E164E9">
              <w:rPr>
                <w:rFonts w:ascii="Times New Roman" w:eastAsia="Times New Roman" w:hAnsi="Times New Roman" w:cs="Times New Roman"/>
                <w:lang w:eastAsia="ru-RU"/>
              </w:rPr>
              <w:t>]</w:t>
            </w:r>
          </w:p>
        </w:tc>
      </w:tr>
    </w:tbl>
    <w:p w:rsidR="008E11C3" w:rsidRPr="008F56A1" w:rsidRDefault="008E11C3">
      <w:pPr>
        <w:rPr>
          <w:rFonts w:ascii="Times New Roman" w:hAnsi="Times New Roman" w:cs="Times New Roman"/>
          <w:sz w:val="16"/>
          <w:szCs w:val="16"/>
        </w:rPr>
      </w:pPr>
    </w:p>
    <w:sectPr w:rsidR="008E11C3" w:rsidRPr="008F56A1" w:rsidSect="008F56A1">
      <w:pgSz w:w="11906" w:h="16838"/>
      <w:pgMar w:top="284"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A1"/>
    <w:rsid w:val="008E11C3"/>
    <w:rsid w:val="008F56A1"/>
    <w:rsid w:val="00E1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A0F9"/>
  <w15:chartTrackingRefBased/>
  <w15:docId w15:val="{9708FC94-112F-4ACC-A58E-2481C55E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tab">
    <w:name w:val="heading_tab"/>
    <w:basedOn w:val="a"/>
    <w:rsid w:val="008F5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F5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56A1"/>
    <w:rPr>
      <w:b/>
      <w:bCs/>
    </w:rPr>
  </w:style>
  <w:style w:type="paragraph" w:styleId="a4">
    <w:name w:val="Normal (Web)"/>
    <w:basedOn w:val="a"/>
    <w:uiPriority w:val="99"/>
    <w:semiHidden/>
    <w:unhideWhenUsed/>
    <w:rsid w:val="008F5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56A1"/>
    <w:rPr>
      <w:color w:val="0000FF"/>
      <w:u w:val="single"/>
    </w:rPr>
  </w:style>
  <w:style w:type="paragraph" w:customStyle="1" w:styleId="indent">
    <w:name w:val="indent"/>
    <w:basedOn w:val="a"/>
    <w:rsid w:val="008F5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22">
    <w:name w:val="hh22"/>
    <w:basedOn w:val="a0"/>
    <w:rsid w:val="008F56A1"/>
  </w:style>
  <w:style w:type="paragraph" w:styleId="a6">
    <w:name w:val="Balloon Text"/>
    <w:basedOn w:val="a"/>
    <w:link w:val="a7"/>
    <w:uiPriority w:val="99"/>
    <w:semiHidden/>
    <w:unhideWhenUsed/>
    <w:rsid w:val="00E164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6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5774">
      <w:bodyDiv w:val="1"/>
      <w:marLeft w:val="0"/>
      <w:marRight w:val="0"/>
      <w:marTop w:val="0"/>
      <w:marBottom w:val="0"/>
      <w:divBdr>
        <w:top w:val="none" w:sz="0" w:space="0" w:color="auto"/>
        <w:left w:val="none" w:sz="0" w:space="0" w:color="auto"/>
        <w:bottom w:val="none" w:sz="0" w:space="0" w:color="auto"/>
        <w:right w:val="none" w:sz="0" w:space="0" w:color="auto"/>
      </w:divBdr>
      <w:divsChild>
        <w:div w:id="1588658306">
          <w:marLeft w:val="0"/>
          <w:marRight w:val="0"/>
          <w:marTop w:val="0"/>
          <w:marBottom w:val="0"/>
          <w:divBdr>
            <w:top w:val="none" w:sz="0" w:space="0" w:color="auto"/>
            <w:left w:val="none" w:sz="0" w:space="0" w:color="auto"/>
            <w:bottom w:val="none" w:sz="0" w:space="0" w:color="auto"/>
            <w:right w:val="none" w:sz="0" w:space="0" w:color="auto"/>
          </w:divBdr>
          <w:divsChild>
            <w:div w:id="66730554">
              <w:marLeft w:val="0"/>
              <w:marRight w:val="0"/>
              <w:marTop w:val="0"/>
              <w:marBottom w:val="0"/>
              <w:divBdr>
                <w:top w:val="none" w:sz="0" w:space="0" w:color="auto"/>
                <w:left w:val="none" w:sz="0" w:space="0" w:color="auto"/>
                <w:bottom w:val="none" w:sz="0" w:space="0" w:color="auto"/>
                <w:right w:val="none" w:sz="0" w:space="0" w:color="auto"/>
              </w:divBdr>
              <w:divsChild>
                <w:div w:id="737677623">
                  <w:marLeft w:val="0"/>
                  <w:marRight w:val="0"/>
                  <w:marTop w:val="0"/>
                  <w:marBottom w:val="0"/>
                  <w:divBdr>
                    <w:top w:val="none" w:sz="0" w:space="0" w:color="auto"/>
                    <w:left w:val="none" w:sz="0" w:space="0" w:color="auto"/>
                    <w:bottom w:val="none" w:sz="0" w:space="0" w:color="auto"/>
                    <w:right w:val="none" w:sz="0" w:space="0" w:color="auto"/>
                  </w:divBdr>
                  <w:divsChild>
                    <w:div w:id="1244298380">
                      <w:marLeft w:val="0"/>
                      <w:marRight w:val="0"/>
                      <w:marTop w:val="0"/>
                      <w:marBottom w:val="0"/>
                      <w:divBdr>
                        <w:top w:val="none" w:sz="0" w:space="0" w:color="auto"/>
                        <w:left w:val="none" w:sz="0" w:space="0" w:color="auto"/>
                        <w:bottom w:val="none" w:sz="0" w:space="0" w:color="auto"/>
                        <w:right w:val="none" w:sz="0" w:space="0" w:color="auto"/>
                      </w:divBdr>
                    </w:div>
                  </w:divsChild>
                </w:div>
                <w:div w:id="1941138155">
                  <w:marLeft w:val="0"/>
                  <w:marRight w:val="0"/>
                  <w:marTop w:val="0"/>
                  <w:marBottom w:val="0"/>
                  <w:divBdr>
                    <w:top w:val="none" w:sz="0" w:space="0" w:color="auto"/>
                    <w:left w:val="none" w:sz="0" w:space="0" w:color="auto"/>
                    <w:bottom w:val="none" w:sz="0" w:space="0" w:color="auto"/>
                    <w:right w:val="none" w:sz="0" w:space="0" w:color="auto"/>
                  </w:divBdr>
                </w:div>
                <w:div w:id="1483960301">
                  <w:marLeft w:val="0"/>
                  <w:marRight w:val="0"/>
                  <w:marTop w:val="0"/>
                  <w:marBottom w:val="0"/>
                  <w:divBdr>
                    <w:top w:val="none" w:sz="0" w:space="0" w:color="auto"/>
                    <w:left w:val="none" w:sz="0" w:space="0" w:color="auto"/>
                    <w:bottom w:val="none" w:sz="0" w:space="0" w:color="auto"/>
                    <w:right w:val="none" w:sz="0" w:space="0" w:color="auto"/>
                  </w:divBdr>
                  <w:divsChild>
                    <w:div w:id="16811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50152">
      <w:bodyDiv w:val="1"/>
      <w:marLeft w:val="0"/>
      <w:marRight w:val="0"/>
      <w:marTop w:val="0"/>
      <w:marBottom w:val="0"/>
      <w:divBdr>
        <w:top w:val="none" w:sz="0" w:space="0" w:color="auto"/>
        <w:left w:val="none" w:sz="0" w:space="0" w:color="auto"/>
        <w:bottom w:val="none" w:sz="0" w:space="0" w:color="auto"/>
        <w:right w:val="none" w:sz="0" w:space="0" w:color="auto"/>
      </w:divBdr>
      <w:divsChild>
        <w:div w:id="2047018611">
          <w:marLeft w:val="0"/>
          <w:marRight w:val="0"/>
          <w:marTop w:val="0"/>
          <w:marBottom w:val="0"/>
          <w:divBdr>
            <w:top w:val="none" w:sz="0" w:space="0" w:color="auto"/>
            <w:left w:val="none" w:sz="0" w:space="0" w:color="auto"/>
            <w:bottom w:val="none" w:sz="0" w:space="0" w:color="auto"/>
            <w:right w:val="none" w:sz="0" w:space="0" w:color="auto"/>
          </w:divBdr>
        </w:div>
      </w:divsChild>
    </w:div>
    <w:div w:id="20918456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organizacziya-buxgalterskogo-ucheta/2653-psbu.html" TargetMode="External"/><Relationship Id="rId13" Type="http://schemas.openxmlformats.org/officeDocument/2006/relationships/hyperlink" Target="https://www.buhoblik.org.ua/uchet/organizacziya-buxgalterskogo-ucheta/2653-psbu.html" TargetMode="External"/><Relationship Id="rId18" Type="http://schemas.openxmlformats.org/officeDocument/2006/relationships/hyperlink" Target="https://www.buhoblik.org.ua/uchet/organizacziya-buxgalterskogo-ucheta/3821-spravochnik-bukhgalter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uhoblik.org.ua/uchet/organizacziya-buxgalterskogo-ucheta/2653-psbu.html" TargetMode="External"/><Relationship Id="rId12" Type="http://schemas.openxmlformats.org/officeDocument/2006/relationships/hyperlink" Target="https://www.buhoblik.org.ua/uchet/organizacziya-buxgalterskogo-ucheta/2653-psbu.html" TargetMode="External"/><Relationship Id="rId17" Type="http://schemas.openxmlformats.org/officeDocument/2006/relationships/hyperlink" Target="https://www.buhoblik.org.ua/uchet/organizacziya-buxgalterskogo-ucheta/2653-psbu.html" TargetMode="External"/><Relationship Id="rId2" Type="http://schemas.openxmlformats.org/officeDocument/2006/relationships/settings" Target="settings.xml"/><Relationship Id="rId16" Type="http://schemas.openxmlformats.org/officeDocument/2006/relationships/hyperlink" Target="https://www.buhoblik.org.ua/uchet/organizacziya-buxgalterskogo-ucheta/2653-psbu.html" TargetMode="External"/><Relationship Id="rId20" Type="http://schemas.openxmlformats.org/officeDocument/2006/relationships/hyperlink" Target="https://www.buhoblik.org.ua/normativka/spravochniki/dividendi/dovidnik-viberite.html" TargetMode="External"/><Relationship Id="rId1" Type="http://schemas.openxmlformats.org/officeDocument/2006/relationships/styles" Target="styles.xml"/><Relationship Id="rId6" Type="http://schemas.openxmlformats.org/officeDocument/2006/relationships/hyperlink" Target="https://www.buhoblik.org.ua/uchet/organizacziya-buxgalterskogo-ucheta/2653-psbu.html" TargetMode="External"/><Relationship Id="rId11" Type="http://schemas.openxmlformats.org/officeDocument/2006/relationships/hyperlink" Target="https://www.buhoblik.org.ua/uchet/organizacziya-buxgalterskogo-ucheta/2653-psbu.html" TargetMode="External"/><Relationship Id="rId5" Type="http://schemas.openxmlformats.org/officeDocument/2006/relationships/hyperlink" Target="https://www.buhoblik.org.ua/normativka/uchet/minfin433.html" TargetMode="External"/><Relationship Id="rId15" Type="http://schemas.openxmlformats.org/officeDocument/2006/relationships/hyperlink" Target="https://www.buhoblik.org.ua/uchet/organizacziya-buxgalterskogo-ucheta/2653-psbu.html" TargetMode="External"/><Relationship Id="rId10" Type="http://schemas.openxmlformats.org/officeDocument/2006/relationships/image" Target="media/image1.png"/><Relationship Id="rId19" Type="http://schemas.openxmlformats.org/officeDocument/2006/relationships/hyperlink" Target="https://www.buhoblik.org.ua/uchet/organizacziya-buxgalterskogo-ucheta/2653-psbu.html" TargetMode="External"/><Relationship Id="rId4" Type="http://schemas.openxmlformats.org/officeDocument/2006/relationships/hyperlink" Target="https://www.buhoblik.org.ua/uchet/organizacziya-buxgalterskogo-ucheta/388-plan-raxunkiv.html" TargetMode="External"/><Relationship Id="rId9" Type="http://schemas.openxmlformats.org/officeDocument/2006/relationships/hyperlink" Target="https://www.buhoblik.org.ua/normativka/spravochniki/provodki/dovidnik-viberite.html" TargetMode="External"/><Relationship Id="rId14" Type="http://schemas.openxmlformats.org/officeDocument/2006/relationships/hyperlink" Target="https://www.buhoblik.org.ua/uchet/organizacziya-buxgalterskogo-ucheta/2653-psbu.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2020-09-08T13:27:00Z</cp:lastPrinted>
  <dcterms:created xsi:type="dcterms:W3CDTF">2020-09-08T13:05:00Z</dcterms:created>
  <dcterms:modified xsi:type="dcterms:W3CDTF">2020-09-08T13:28:00Z</dcterms:modified>
</cp:coreProperties>
</file>