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FD" w:rsidRPr="009C6A96" w:rsidRDefault="00AD28FD" w:rsidP="009C6A96">
      <w:pPr>
        <w:shd w:val="clear" w:color="auto" w:fill="FFFFFF"/>
        <w:spacing w:after="0" w:line="240" w:lineRule="auto"/>
        <w:jc w:val="center"/>
        <w:outlineLvl w:val="4"/>
        <w:rPr>
          <w:rFonts w:ascii="Times New Roman" w:eastAsia="Times New Roman" w:hAnsi="Times New Roman" w:cs="Times New Roman"/>
          <w:sz w:val="28"/>
          <w:szCs w:val="28"/>
          <w:lang w:val="uk-UA" w:eastAsia="ru-RU"/>
        </w:rPr>
      </w:pPr>
      <w:r w:rsidRPr="009C6A96">
        <w:rPr>
          <w:rFonts w:ascii="Times New Roman" w:eastAsia="Times New Roman" w:hAnsi="Times New Roman" w:cs="Times New Roman"/>
          <w:sz w:val="28"/>
          <w:szCs w:val="28"/>
          <w:lang w:val="uk-UA" w:eastAsia="ru-RU"/>
        </w:rPr>
        <w:t>Структура Балансу</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Баланс складається з двох рівних між собою частин — активу та пасиву.</w:t>
      </w:r>
    </w:p>
    <w:p w:rsidR="00AD28FD" w:rsidRPr="009C6A96" w:rsidRDefault="00AD28FD" w:rsidP="009C6A96">
      <w:pPr>
        <w:shd w:val="clear" w:color="auto" w:fill="FFFFFF"/>
        <w:spacing w:after="0" w:line="240" w:lineRule="auto"/>
        <w:jc w:val="both"/>
        <w:rPr>
          <w:rFonts w:ascii="Arial" w:eastAsia="Times New Roman" w:hAnsi="Arial" w:cs="Arial"/>
          <w:b/>
          <w:i/>
          <w:sz w:val="20"/>
          <w:szCs w:val="20"/>
          <w:lang w:val="uk-UA" w:eastAsia="ru-RU"/>
        </w:rPr>
      </w:pPr>
      <w:r w:rsidRPr="009C6A96">
        <w:rPr>
          <w:rFonts w:ascii="Arial" w:eastAsia="Times New Roman" w:hAnsi="Arial" w:cs="Arial"/>
          <w:b/>
          <w:i/>
          <w:sz w:val="20"/>
          <w:szCs w:val="20"/>
          <w:lang w:val="uk-UA" w:eastAsia="ru-RU"/>
        </w:rPr>
        <w:t>Актив містить три розділи:</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 Необоротні активи.</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ІI. Оборотні активи.</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ІІІ. Необоротні активи, утримувані для продажу, та групи вибуття.</w:t>
      </w:r>
    </w:p>
    <w:p w:rsidR="00AD28FD" w:rsidRPr="009C6A96" w:rsidRDefault="00AD28FD" w:rsidP="009C6A96">
      <w:pPr>
        <w:shd w:val="clear" w:color="auto" w:fill="FFFFFF"/>
        <w:spacing w:after="0" w:line="240" w:lineRule="auto"/>
        <w:jc w:val="both"/>
        <w:rPr>
          <w:rFonts w:ascii="Arial" w:eastAsia="Times New Roman" w:hAnsi="Arial" w:cs="Arial"/>
          <w:b/>
          <w:i/>
          <w:sz w:val="20"/>
          <w:szCs w:val="20"/>
          <w:lang w:val="uk-UA" w:eastAsia="ru-RU"/>
        </w:rPr>
      </w:pPr>
      <w:r w:rsidRPr="009C6A96">
        <w:rPr>
          <w:rFonts w:ascii="Arial" w:eastAsia="Times New Roman" w:hAnsi="Arial" w:cs="Arial"/>
          <w:b/>
          <w:i/>
          <w:sz w:val="20"/>
          <w:szCs w:val="20"/>
          <w:lang w:val="uk-UA" w:eastAsia="ru-RU"/>
        </w:rPr>
        <w:t>Пасив має чотири обов’язкові розділи й один — додатковий:</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 Власний капітал.</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ІІ. Довгострокові зобов’язання і забезпечення.</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ІІІ. Поточні зобов’язання і забезпечення.</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ІV. Зобов’язання, пов’язані з необоротними активами, утримуваними для продажу, та групами вибуття.</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V. Чиста вартість активів недержавного пенсійного фонду (додатковий рядок Балансу).</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Як ми вже зазначали, під час складання Балансу застосовують «правило викреслювання рядків» і механізм додавання рядків. А тому останній розділ (так само, як і додаткові рядки) наводять у тому випадку, коли показник є суттєвим і має достовірну оцінку.</w:t>
      </w:r>
    </w:p>
    <w:p w:rsidR="00AD28FD" w:rsidRPr="009C6A96" w:rsidRDefault="00AD28FD" w:rsidP="009C6A96">
      <w:pPr>
        <w:shd w:val="clear" w:color="auto" w:fill="FFFFFF"/>
        <w:spacing w:after="0" w:line="240" w:lineRule="auto"/>
        <w:jc w:val="both"/>
        <w:outlineLvl w:val="4"/>
        <w:rPr>
          <w:rFonts w:ascii="Arial" w:eastAsia="Times New Roman" w:hAnsi="Arial" w:cs="Arial"/>
          <w:sz w:val="20"/>
          <w:szCs w:val="20"/>
          <w:lang w:val="uk-UA" w:eastAsia="ru-RU"/>
        </w:rPr>
      </w:pPr>
      <w:bookmarkStart w:id="0" w:name="_GoBack"/>
      <w:bookmarkEnd w:id="0"/>
      <w:r w:rsidRPr="009C6A96">
        <w:rPr>
          <w:rFonts w:ascii="Arial" w:eastAsia="Times New Roman" w:hAnsi="Arial" w:cs="Arial"/>
          <w:sz w:val="20"/>
          <w:szCs w:val="20"/>
          <w:lang w:val="uk-UA" w:eastAsia="ru-RU"/>
        </w:rPr>
        <w:t>Одиниця виміру</w:t>
      </w:r>
    </w:p>
    <w:p w:rsidR="00AD28FD" w:rsidRPr="009C6A96"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Керуючись зазначеним у шапці форми, показники Балансу щодо активів, зобов’язань і власного капіталу підприємства слід наводити в тисячах гривень без десяткових знаків.</w:t>
      </w:r>
    </w:p>
    <w:p w:rsidR="00AD28FD" w:rsidRPr="009C6A96" w:rsidRDefault="00AD28FD" w:rsidP="009C6A96">
      <w:pPr>
        <w:shd w:val="clear" w:color="auto" w:fill="FFFFFF"/>
        <w:spacing w:after="0" w:line="240" w:lineRule="auto"/>
        <w:jc w:val="both"/>
        <w:outlineLvl w:val="4"/>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Як заповнювати Баланс</w:t>
      </w:r>
    </w:p>
    <w:p w:rsidR="00AD28FD" w:rsidRPr="009C6A96" w:rsidRDefault="005D5F95" w:rsidP="009C6A96">
      <w:pPr>
        <w:shd w:val="clear" w:color="auto" w:fill="FFFFFF"/>
        <w:spacing w:after="0" w:line="240" w:lineRule="auto"/>
        <w:jc w:val="both"/>
        <w:rPr>
          <w:rFonts w:ascii="Arial" w:eastAsia="Times New Roman" w:hAnsi="Arial" w:cs="Arial"/>
          <w:sz w:val="20"/>
          <w:szCs w:val="20"/>
          <w:lang w:val="uk-UA" w:eastAsia="ru-RU"/>
        </w:rPr>
      </w:pPr>
      <w:hyperlink r:id="rId5" w:tgtFrame="_blank" w:history="1">
        <w:r w:rsidR="00AD28FD" w:rsidRPr="009C6A96">
          <w:rPr>
            <w:rFonts w:ascii="Arial" w:eastAsia="Times New Roman" w:hAnsi="Arial" w:cs="Arial"/>
            <w:sz w:val="20"/>
            <w:szCs w:val="20"/>
            <w:u w:val="single"/>
            <w:lang w:val="uk-UA" w:eastAsia="ru-RU"/>
          </w:rPr>
          <w:t>НП(С)БО 1</w:t>
        </w:r>
      </w:hyperlink>
      <w:r w:rsidR="00AD28FD" w:rsidRPr="009C6A96">
        <w:rPr>
          <w:rFonts w:ascii="Arial" w:eastAsia="Times New Roman" w:hAnsi="Arial" w:cs="Arial"/>
          <w:sz w:val="20"/>
          <w:szCs w:val="20"/>
          <w:lang w:val="uk-UA" w:eastAsia="ru-RU"/>
        </w:rPr>
        <w:t> не містить інструктивних указівок щодо його заповнення. Однак можна керуватися Методичними рекомендаціями щодо заповнення форм фінансової звітності, затвердженими наказом від 28.03.2013 р. </w:t>
      </w:r>
      <w:hyperlink r:id="rId6" w:tgtFrame="_blank" w:history="1">
        <w:r w:rsidR="00AD28FD" w:rsidRPr="009C6A96">
          <w:rPr>
            <w:rFonts w:ascii="Arial" w:eastAsia="Times New Roman" w:hAnsi="Arial" w:cs="Arial"/>
            <w:sz w:val="20"/>
            <w:szCs w:val="20"/>
            <w:u w:val="single"/>
            <w:lang w:val="uk-UA" w:eastAsia="ru-RU"/>
          </w:rPr>
          <w:t>№ 433</w:t>
        </w:r>
      </w:hyperlink>
      <w:r w:rsidR="00AD28FD" w:rsidRPr="009C6A96">
        <w:rPr>
          <w:rFonts w:ascii="Arial" w:eastAsia="Times New Roman" w:hAnsi="Arial" w:cs="Arial"/>
          <w:sz w:val="20"/>
          <w:szCs w:val="20"/>
          <w:lang w:val="uk-UA" w:eastAsia="ru-RU"/>
        </w:rPr>
        <w:t> (далі — </w:t>
      </w:r>
      <w:hyperlink r:id="rId7" w:tgtFrame="_blank" w:history="1">
        <w:r w:rsidR="00AD28FD" w:rsidRPr="009C6A96">
          <w:rPr>
            <w:rFonts w:ascii="Arial" w:eastAsia="Times New Roman" w:hAnsi="Arial" w:cs="Arial"/>
            <w:sz w:val="20"/>
            <w:szCs w:val="20"/>
            <w:u w:val="single"/>
            <w:lang w:val="uk-UA" w:eastAsia="ru-RU"/>
          </w:rPr>
          <w:t>Методрекомендації</w:t>
        </w:r>
      </w:hyperlink>
      <w:r w:rsidR="00AD28FD" w:rsidRPr="009C6A96">
        <w:rPr>
          <w:rFonts w:ascii="Arial" w:eastAsia="Times New Roman" w:hAnsi="Arial" w:cs="Arial"/>
          <w:sz w:val="20"/>
          <w:szCs w:val="20"/>
          <w:lang w:val="uk-UA" w:eastAsia="ru-RU"/>
        </w:rPr>
        <w:t>). Крім того, наказом Мінфіну України від 11.04.2013 р. </w:t>
      </w:r>
      <w:hyperlink r:id="rId8" w:tgtFrame="_blank" w:history="1">
        <w:r w:rsidR="00AD28FD" w:rsidRPr="009C6A96">
          <w:rPr>
            <w:rFonts w:ascii="Arial" w:eastAsia="Times New Roman" w:hAnsi="Arial" w:cs="Arial"/>
            <w:sz w:val="20"/>
            <w:szCs w:val="20"/>
            <w:u w:val="single"/>
            <w:lang w:val="uk-UA" w:eastAsia="ru-RU"/>
          </w:rPr>
          <w:t>№ 476</w:t>
        </w:r>
      </w:hyperlink>
      <w:r w:rsidR="00AD28FD" w:rsidRPr="009C6A96">
        <w:rPr>
          <w:rFonts w:ascii="Arial" w:eastAsia="Times New Roman" w:hAnsi="Arial" w:cs="Arial"/>
          <w:sz w:val="20"/>
          <w:szCs w:val="20"/>
          <w:lang w:val="uk-UA" w:eastAsia="ru-RU"/>
        </w:rPr>
        <w:t> затверджені Методичні рекомендації з перевірки порівнянності показників фінансової звітності, які теж потрібно взяти до уваги.</w:t>
      </w:r>
    </w:p>
    <w:p w:rsidR="00AD28FD" w:rsidRDefault="00AD28FD" w:rsidP="009C6A96">
      <w:pPr>
        <w:shd w:val="clear" w:color="auto" w:fill="FFFFFF"/>
        <w:spacing w:after="0" w:line="240" w:lineRule="auto"/>
        <w:jc w:val="both"/>
        <w:rPr>
          <w:rFonts w:ascii="Arial" w:eastAsia="Times New Roman" w:hAnsi="Arial" w:cs="Arial"/>
          <w:sz w:val="20"/>
          <w:szCs w:val="20"/>
          <w:lang w:val="uk-UA" w:eastAsia="ru-RU"/>
        </w:rPr>
      </w:pPr>
      <w:r w:rsidRPr="009C6A96">
        <w:rPr>
          <w:rFonts w:ascii="Arial" w:eastAsia="Times New Roman" w:hAnsi="Arial" w:cs="Arial"/>
          <w:sz w:val="20"/>
          <w:szCs w:val="20"/>
          <w:lang w:val="uk-UA" w:eastAsia="ru-RU"/>
        </w:rPr>
        <w:t>Розгляньмо, що та в якому рядку слід показувати в Балансі.</w:t>
      </w:r>
    </w:p>
    <w:p w:rsidR="009C6A96" w:rsidRPr="009C6A96" w:rsidRDefault="009C6A96" w:rsidP="009C6A96">
      <w:pPr>
        <w:shd w:val="clear" w:color="auto" w:fill="FFFFFF"/>
        <w:spacing w:after="0" w:line="240" w:lineRule="auto"/>
        <w:jc w:val="both"/>
        <w:rPr>
          <w:rFonts w:ascii="Arial" w:eastAsia="Times New Roman" w:hAnsi="Arial" w:cs="Arial"/>
          <w:sz w:val="20"/>
          <w:szCs w:val="20"/>
          <w:lang w:val="uk-UA" w:eastAsia="ru-RU"/>
        </w:rPr>
      </w:pPr>
    </w:p>
    <w:p w:rsidR="00AD28FD" w:rsidRPr="00AD28FD" w:rsidRDefault="00AD28FD" w:rsidP="00AD28FD">
      <w:pPr>
        <w:shd w:val="clear" w:color="auto" w:fill="FFFFFF"/>
        <w:spacing w:after="100" w:afterAutospacing="1" w:line="240" w:lineRule="auto"/>
        <w:jc w:val="center"/>
        <w:rPr>
          <w:rFonts w:ascii="Arial" w:eastAsia="Times New Roman" w:hAnsi="Arial" w:cs="Arial"/>
          <w:color w:val="212529"/>
          <w:sz w:val="20"/>
          <w:szCs w:val="20"/>
          <w:lang w:eastAsia="ru-RU"/>
        </w:rPr>
      </w:pPr>
      <w:r w:rsidRPr="00AD28FD">
        <w:rPr>
          <w:rFonts w:ascii="Arial" w:eastAsia="Times New Roman" w:hAnsi="Arial" w:cs="Arial"/>
          <w:b/>
          <w:bCs/>
          <w:color w:val="212529"/>
          <w:sz w:val="20"/>
          <w:szCs w:val="20"/>
          <w:lang w:eastAsia="ru-RU"/>
        </w:rPr>
        <w:t>Баланс (Звіт про фінансовий стан)</w:t>
      </w:r>
    </w:p>
    <w:p w:rsidR="00AD28FD" w:rsidRPr="00AD28FD" w:rsidRDefault="00AD28FD" w:rsidP="00AD28FD">
      <w:pPr>
        <w:shd w:val="clear" w:color="auto" w:fill="FFFFFF"/>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Актив Форма № 1</w:t>
      </w:r>
    </w:p>
    <w:tbl>
      <w:tblPr>
        <w:tblW w:w="5000" w:type="pct"/>
        <w:tblCellSpacing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2143"/>
        <w:gridCol w:w="803"/>
        <w:gridCol w:w="6393"/>
      </w:tblGrid>
      <w:tr w:rsidR="00AD28FD" w:rsidRPr="00AD28FD" w:rsidTr="00AD28FD">
        <w:trPr>
          <w:tblHeade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Назва рядка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Код рядка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 початок звітного періоду, на кінець звітного періоду</w:t>
            </w:r>
          </w:p>
        </w:tc>
      </w:tr>
      <w:tr w:rsidR="00AD28FD" w:rsidRPr="00AD28FD" w:rsidTr="00AD28FD">
        <w:trPr>
          <w:tblCellSpacing w:w="0" w:type="dxa"/>
        </w:trPr>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I. Необоротні активи</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Нематеріальні активи: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вартість об’єктів, які віднесені до складу нематеріальних активів згідно з </w:t>
            </w:r>
            <w:hyperlink r:id="rId9" w:tgtFrame="_blank" w:history="1">
              <w:r w:rsidRPr="00AD28FD">
                <w:rPr>
                  <w:rFonts w:ascii="Arial" w:eastAsia="Times New Roman" w:hAnsi="Arial" w:cs="Arial"/>
                  <w:color w:val="31B5C5"/>
                  <w:sz w:val="16"/>
                  <w:szCs w:val="16"/>
                  <w:u w:val="single"/>
                  <w:lang w:eastAsia="ru-RU"/>
                </w:rPr>
                <w:t>П(С)БО 8</w:t>
              </w:r>
            </w:hyperlink>
            <w:r w:rsidRPr="00AD28FD">
              <w:rPr>
                <w:rFonts w:ascii="Arial" w:eastAsia="Times New Roman" w:hAnsi="Arial" w:cs="Arial"/>
                <w:color w:val="212529"/>
                <w:sz w:val="16"/>
                <w:szCs w:val="16"/>
                <w:lang w:eastAsia="ru-RU"/>
              </w:rPr>
              <w:t> «Нематеріальні активи».</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відображає залишкову вартість нематеріальних активів. Його показник розраховують так:</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1000 = Рядок 1001 – Рядок 1002</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первісна вартість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1001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рядку відображають первісну вартість нематеріальних активів (вартість придбання, собівартість розробки, тощо) уведених в експлуатацію нематеріальних активів, визнаних такими за </w:t>
            </w:r>
            <w:hyperlink r:id="rId10" w:tgtFrame="_blank" w:history="1">
              <w:r w:rsidRPr="00AD28FD">
                <w:rPr>
                  <w:rFonts w:ascii="Arial" w:eastAsia="Times New Roman" w:hAnsi="Arial" w:cs="Arial"/>
                  <w:color w:val="31B5C5"/>
                  <w:sz w:val="16"/>
                  <w:szCs w:val="16"/>
                  <w:u w:val="single"/>
                  <w:lang w:eastAsia="ru-RU"/>
                </w:rPr>
                <w:t>П(С)БО 8</w:t>
              </w:r>
            </w:hyperlink>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накопичена амортизація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1002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133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відображає суму амортизації нематеріальних активів, накопиченої за час їх експлуатації (наводять у дужках)</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Незавершені капітальні</w:t>
            </w:r>
            <w:r w:rsidRPr="00AD28FD">
              <w:rPr>
                <w:rFonts w:ascii="Arial" w:eastAsia="Times New Roman" w:hAnsi="Arial" w:cs="Arial"/>
                <w:color w:val="212529"/>
                <w:sz w:val="16"/>
                <w:szCs w:val="16"/>
                <w:lang w:eastAsia="ru-RU"/>
              </w:rPr>
              <w:br/>
              <w:t>інвестиції</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1005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У статті відображають вартість не завершених на дату балансу капітальних інвестицій у необоротні активи на будівництво, реконструкцію, модернізацію (інші поліпшення, що збільшують первісну (переоцінену) вартість необоротних активів), виготовлення, створення, вирощування, придбання об’єктів основних засобів, нематеріальних активів, довгострокових біологічних активів (у т.ч. необоротних матеріальних активів, призначених для заміни діючих, і устаткування </w:t>
            </w:r>
            <w:proofErr w:type="gramStart"/>
            <w:r w:rsidRPr="00AD28FD">
              <w:rPr>
                <w:rFonts w:ascii="Arial" w:eastAsia="Times New Roman" w:hAnsi="Arial" w:cs="Arial"/>
                <w:color w:val="212529"/>
                <w:sz w:val="16"/>
                <w:szCs w:val="16"/>
                <w:lang w:eastAsia="ru-RU"/>
              </w:rPr>
              <w:t>для монтажу</w:t>
            </w:r>
            <w:proofErr w:type="gramEnd"/>
            <w:r w:rsidRPr="00AD28FD">
              <w:rPr>
                <w:rFonts w:ascii="Arial" w:eastAsia="Times New Roman" w:hAnsi="Arial" w:cs="Arial"/>
                <w:color w:val="212529"/>
                <w:sz w:val="16"/>
                <w:szCs w:val="16"/>
                <w:lang w:eastAsia="ru-RU"/>
              </w:rPr>
              <w:t>).</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Зверніть увагу: вартість основних засобів і нематеріальних активів, унесених до статутного (пайового) фонду (капіталу) підприємства його засновниками (пайовиками, учасниками), вартість безоплатно одержаних основних засобів і нематеріальних активів і сума переоцінки необоротних активів до складу капітальних інвестицій не входять і на рахунку 15 не відображаються (лист Мінфіну України від 17.11.2003 р. </w:t>
            </w:r>
            <w:hyperlink r:id="rId11" w:tgtFrame="_blank" w:history="1">
              <w:r w:rsidRPr="00AD28FD">
                <w:rPr>
                  <w:rFonts w:ascii="Arial" w:eastAsia="Times New Roman" w:hAnsi="Arial" w:cs="Arial"/>
                  <w:color w:val="31B5C5"/>
                  <w:sz w:val="16"/>
                  <w:szCs w:val="16"/>
                  <w:u w:val="single"/>
                  <w:lang w:eastAsia="ru-RU"/>
                </w:rPr>
                <w:t>№ 31-04200-04-5/5570</w:t>
              </w:r>
            </w:hyperlink>
            <w:r w:rsidRPr="00AD28FD">
              <w:rPr>
                <w:rFonts w:ascii="Arial" w:eastAsia="Times New Roman" w:hAnsi="Arial" w:cs="Arial"/>
                <w:color w:val="212529"/>
                <w:sz w:val="16"/>
                <w:szCs w:val="16"/>
                <w:lang w:eastAsia="ru-RU"/>
              </w:rPr>
              <w:t>). А тому й у цьому рядку не відображатимуться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Основні засоби: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наводять вартість власних й отриманих на умовах фінансового лізингу об’єктів і орендованих цілісних майнових комплексів, які віднесені до складу основних засобів згідно з </w:t>
            </w:r>
            <w:hyperlink r:id="rId12" w:tgtFrame="_blank" w:history="1">
              <w:r w:rsidRPr="00AD28FD">
                <w:rPr>
                  <w:rFonts w:ascii="Arial" w:eastAsia="Times New Roman" w:hAnsi="Arial" w:cs="Arial"/>
                  <w:color w:val="31B5C5"/>
                  <w:sz w:val="16"/>
                  <w:szCs w:val="16"/>
                  <w:u w:val="single"/>
                  <w:lang w:eastAsia="ru-RU"/>
                </w:rPr>
                <w:t>П(С)БО 7</w:t>
              </w:r>
            </w:hyperlink>
            <w:r w:rsidRPr="00AD28FD">
              <w:rPr>
                <w:rFonts w:ascii="Arial" w:eastAsia="Times New Roman" w:hAnsi="Arial" w:cs="Arial"/>
                <w:color w:val="212529"/>
                <w:sz w:val="16"/>
                <w:szCs w:val="16"/>
                <w:lang w:eastAsia="ru-RU"/>
              </w:rPr>
              <w:t> «Основні засоби», а також вартість основних засобів, отриманих у довірче управління або на праві господарського відання чи праві оперативного управління. У цій статті також наводять вартість інших необоротних матеріальних активів.</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1010 відображає залишкову вартість основних засобів й інших необоротних матеріальних активів.</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рядка розраховують так:</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1010 = Рядок 1011 – Рядок 1012</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первісна вартість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1011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10, 11 (не враховують сальдо Дт 100)</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Тут наводять первісну (переоцінену) вартість основних засобів й інших необоротних матеріальних активів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знос</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1012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131, 132 (не враховують знос інвестиційної нерухомості, якщо її облік ведуть за первісною вартістю)</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Суму зносу основних засобів й інших необоротних матеріальних активів відображають за даними бухгалтерського обліку та наводять у дужках</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Інвестиційна нерухомість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вартість об’єктів, що віднесені до інвестиційної нерухомості згідно з </w:t>
            </w:r>
            <w:hyperlink r:id="rId13" w:tgtFrame="_blank" w:history="1">
              <w:r w:rsidRPr="00AD28FD">
                <w:rPr>
                  <w:rFonts w:ascii="Arial" w:eastAsia="Times New Roman" w:hAnsi="Arial" w:cs="Arial"/>
                  <w:color w:val="31B5C5"/>
                  <w:sz w:val="16"/>
                  <w:szCs w:val="16"/>
                  <w:u w:val="single"/>
                  <w:lang w:eastAsia="ru-RU"/>
                </w:rPr>
                <w:t>П(С)БО 32</w:t>
              </w:r>
            </w:hyperlink>
            <w:r w:rsidRPr="00AD28FD">
              <w:rPr>
                <w:rFonts w:ascii="Arial" w:eastAsia="Times New Roman" w:hAnsi="Arial" w:cs="Arial"/>
                <w:color w:val="212529"/>
                <w:sz w:val="16"/>
                <w:szCs w:val="16"/>
                <w:lang w:eastAsia="ru-RU"/>
              </w:rPr>
              <w:t> «Інвестиційна нерухомість».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 У разі якщо підприємство обліковує інвестиційну нерухомість за первісною вартістю (з урахуванням зносу), тут наводять її залишкову вартість: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1015 = Рядок 1016 – Рядок 1017.</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2) У разі якщо інвестиційну нерухомість обліковують за справедливою вартістю, тут зазначають її справедливу вартість на дату балансу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100</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Первісна вартість інвестиційної нерухомості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1016*</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100, Кт 135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інвестиційну нерухомість обліковують за первісною вартістю, у таких рядках наводять первісну вартість інвестиційної нерухомості та суму зносу (у дужках)</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Знос інвестиційної нерухомості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1017*</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Довгострокові біологічні активи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вартість довгострокових біологічних активів, облік яких ведуть за </w:t>
            </w:r>
            <w:hyperlink r:id="rId14" w:tgtFrame="_blank" w:history="1">
              <w:r w:rsidRPr="00AD28FD">
                <w:rPr>
                  <w:rFonts w:ascii="Arial" w:eastAsia="Times New Roman" w:hAnsi="Arial" w:cs="Arial"/>
                  <w:color w:val="31B5C5"/>
                  <w:sz w:val="16"/>
                  <w:szCs w:val="16"/>
                  <w:u w:val="single"/>
                  <w:lang w:eastAsia="ru-RU"/>
                </w:rPr>
                <w:t>П(С)БО 30</w:t>
              </w:r>
            </w:hyperlink>
            <w:r w:rsidRPr="00AD28FD">
              <w:rPr>
                <w:rFonts w:ascii="Arial" w:eastAsia="Times New Roman" w:hAnsi="Arial" w:cs="Arial"/>
                <w:color w:val="212529"/>
                <w:sz w:val="16"/>
                <w:szCs w:val="16"/>
                <w:lang w:eastAsia="ru-RU"/>
              </w:rPr>
              <w:t> «Біологічні активи».</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 У разі якщо підприємство обліковує довгострокові біологічні активи за первісною вартістю з урахуванням зносу, тут відображають їх залишкову вартість: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1020 = Рядок 1021 – Рядок 1022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2) У разі якщо довгострокові біологічні активи оцінюють за справедливою вартістю, тут наводять їх справедливу вартість на дату балансу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161, 163, 165</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Первісна вартість довгострокових біологічних активів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1021*</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162, 164, 166, Кт 134</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довгострокові біологічні активи обліковують за первісною вартістю, то в додаткових статтях окремо наводять їх первісну вартість і суму накопиченої амортизації (у дужках)</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Накопичена амортизація довгострокових біологічних активів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1022*</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Довгострокові фінансові інвестиції:</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Times New Roman" w:eastAsia="Times New Roman" w:hAnsi="Times New Roman" w:cs="Times New Roman"/>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які обліковуються за методом участі в капіталі інших підприємств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1030</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141, 142, 143</w:t>
            </w:r>
          </w:p>
          <w:p w:rsidR="00AD28FD" w:rsidRPr="00AD28FD" w:rsidRDefault="00AD28FD" w:rsidP="00AD28FD">
            <w:pPr>
              <w:spacing w:after="0" w:line="240" w:lineRule="auto"/>
              <w:rPr>
                <w:rFonts w:ascii="Arial" w:eastAsia="Times New Roman" w:hAnsi="Arial" w:cs="Arial"/>
                <w:color w:val="212529"/>
                <w:sz w:val="16"/>
                <w:szCs w:val="16"/>
                <w:lang w:eastAsia="ru-RU"/>
              </w:rPr>
            </w:pPr>
            <w:proofErr w:type="gramStart"/>
            <w:r w:rsidRPr="00AD28FD">
              <w:rPr>
                <w:rFonts w:ascii="Arial" w:eastAsia="Times New Roman" w:hAnsi="Arial" w:cs="Arial"/>
                <w:color w:val="212529"/>
                <w:sz w:val="16"/>
                <w:szCs w:val="16"/>
                <w:lang w:eastAsia="ru-RU"/>
              </w:rPr>
              <w:t>У рядках</w:t>
            </w:r>
            <w:proofErr w:type="gramEnd"/>
            <w:r w:rsidRPr="00AD28FD">
              <w:rPr>
                <w:rFonts w:ascii="Arial" w:eastAsia="Times New Roman" w:hAnsi="Arial" w:cs="Arial"/>
                <w:color w:val="212529"/>
                <w:sz w:val="16"/>
                <w:szCs w:val="16"/>
                <w:lang w:eastAsia="ru-RU"/>
              </w:rPr>
              <w:t xml:space="preserve"> 1030 та 1035 наводять фінансові інвестиції, які підприємство має намір утримувати протягом періоду, що перевищує рік, а також усі інвестиції, які не можуть бути вільно реалізовані в будь-який момент.</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Окремо виділяють: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інвестиції, які обліковують за методом участі в капіталі інших підприємств (в асоційовані, дочірні підприємства й у спільну діяльність);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інші фінансові інвестиції, що обліковують за справедливою вартістю чи собівартістю з урахуванням зменшення корисності інвестиції</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 інші фінансові інвестиції</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1035</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Довгострокова дебіторська</w:t>
            </w:r>
            <w:r w:rsidRPr="00AD28FD">
              <w:rPr>
                <w:rFonts w:ascii="Arial" w:eastAsia="Times New Roman" w:hAnsi="Arial" w:cs="Arial"/>
                <w:color w:val="212529"/>
                <w:sz w:val="16"/>
                <w:szCs w:val="16"/>
                <w:lang w:eastAsia="ru-RU"/>
              </w:rPr>
              <w:br/>
              <w:t>заборгованість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181, 182, 183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рядку відображають заборгованість фізичних і юридичних осіб, яка не виникає під час нормального операційного циклу та буде погашена після 12 місяців із дати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Відстрочені податкові активи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1045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17</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рядку показують суму податку на прибуток, що буде відшкодовано в наступних періодах (унаслідок тимчасової різниці між обліковою та податковою базами оцінки) і який визначають за </w:t>
            </w:r>
            <w:hyperlink r:id="rId15" w:tgtFrame="_blank" w:history="1">
              <w:r w:rsidRPr="00AD28FD">
                <w:rPr>
                  <w:rFonts w:ascii="Arial" w:eastAsia="Times New Roman" w:hAnsi="Arial" w:cs="Arial"/>
                  <w:color w:val="31B5C5"/>
                  <w:sz w:val="16"/>
                  <w:szCs w:val="16"/>
                  <w:u w:val="single"/>
                  <w:lang w:eastAsia="ru-RU"/>
                </w:rPr>
                <w:t>П(С)БО 17</w:t>
              </w:r>
            </w:hyperlink>
            <w:r w:rsidRPr="00AD28FD">
              <w:rPr>
                <w:rFonts w:ascii="Arial" w:eastAsia="Times New Roman" w:hAnsi="Arial" w:cs="Arial"/>
                <w:color w:val="212529"/>
                <w:sz w:val="16"/>
                <w:szCs w:val="16"/>
                <w:lang w:eastAsia="ru-RU"/>
              </w:rPr>
              <w:t> «Податок на прибуток»</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Гудвіл</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191, 193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наводять суму перевищення вартості придбання над часткою покупця у справедливій вартості придбаних ідентифікованих активів, зобов’язань і непередбачених зобов’язань на дату придбання, що визначають відповідно до </w:t>
            </w:r>
            <w:hyperlink r:id="rId16" w:tgtFrame="_blank" w:history="1">
              <w:r w:rsidRPr="00AD28FD">
                <w:rPr>
                  <w:rFonts w:ascii="Arial" w:eastAsia="Times New Roman" w:hAnsi="Arial" w:cs="Arial"/>
                  <w:color w:val="31B5C5"/>
                  <w:sz w:val="16"/>
                  <w:szCs w:val="16"/>
                  <w:u w:val="single"/>
                  <w:lang w:eastAsia="ru-RU"/>
                </w:rPr>
                <w:t>П(С)БО 19</w:t>
              </w:r>
            </w:hyperlink>
            <w:r w:rsidRPr="00AD28FD">
              <w:rPr>
                <w:rFonts w:ascii="Arial" w:eastAsia="Times New Roman" w:hAnsi="Arial" w:cs="Arial"/>
                <w:color w:val="212529"/>
                <w:sz w:val="16"/>
                <w:szCs w:val="16"/>
                <w:lang w:eastAsia="ru-RU"/>
              </w:rPr>
              <w:t> «Об’єднання підприємств»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Відстрочені аквізиційні витрати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1060*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страховики відображають аквізиційні витрати, що мали місце протягом поточного та/або попередніх звітних періодів, але які належать до наступних звітних періодів та визнаються у витратах одночасно з визнанням відповідної заробленої премії протягом строку дії страхового договору (контракту)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Залишок коштів у централізованих страхових резервних фондах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1065*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страховики відображають кошти у централізованих страхових резервних фондах, зокрема, які перебувають в управлінні Моторно-транспортного страхового бюро України, але які належать страховикам</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Інші необоротні активи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1090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відносять вартість необоротних активів, для відображення яких за ознаками суттєвості не можна було виділити окрему статтю або які не можуть бути включені до наведених вище статей розділу «Необоротні активи»</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Усього за розділом I</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1095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Такий показник розраховують як суму рядків 1000, 1005, 1010, 1015, 1020, 1030, 1035, 1040, 1045, 1050, 1060, 1065, 1090</w:t>
            </w:r>
          </w:p>
        </w:tc>
      </w:tr>
      <w:tr w:rsidR="00AD28FD" w:rsidRPr="00AD28FD" w:rsidTr="00AD28FD">
        <w:trPr>
          <w:tblCellSpacing w:w="0" w:type="dxa"/>
        </w:trPr>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II. Оборотні активи</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Запаси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20, 22, 23, 25, 26, 27, 28 (згорнуте сальдо без урахування субрахунку 286)</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загальну вартість активів, що визнають запасами згідно з </w:t>
            </w:r>
            <w:hyperlink r:id="rId17" w:tgtFrame="_blank" w:history="1">
              <w:r w:rsidRPr="00AD28FD">
                <w:rPr>
                  <w:rFonts w:ascii="Arial" w:eastAsia="Times New Roman" w:hAnsi="Arial" w:cs="Arial"/>
                  <w:color w:val="31B5C5"/>
                  <w:sz w:val="16"/>
                  <w:szCs w:val="16"/>
                  <w:u w:val="single"/>
                  <w:lang w:eastAsia="ru-RU"/>
                </w:rPr>
                <w:t>П(С)БО 9</w:t>
              </w:r>
            </w:hyperlink>
            <w:r w:rsidRPr="00AD28FD">
              <w:rPr>
                <w:rFonts w:ascii="Arial" w:eastAsia="Times New Roman" w:hAnsi="Arial" w:cs="Arial"/>
                <w:color w:val="212529"/>
                <w:sz w:val="16"/>
                <w:szCs w:val="16"/>
                <w:lang w:eastAsia="ru-RU"/>
              </w:rPr>
              <w:t>«Запаси», які:</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 утримують для подальшого продажу </w:t>
            </w:r>
            <w:proofErr w:type="gramStart"/>
            <w:r w:rsidRPr="00AD28FD">
              <w:rPr>
                <w:rFonts w:ascii="Arial" w:eastAsia="Times New Roman" w:hAnsi="Arial" w:cs="Arial"/>
                <w:color w:val="212529"/>
                <w:sz w:val="16"/>
                <w:szCs w:val="16"/>
                <w:lang w:eastAsia="ru-RU"/>
              </w:rPr>
              <w:t>за умов</w:t>
            </w:r>
            <w:proofErr w:type="gramEnd"/>
            <w:r w:rsidRPr="00AD28FD">
              <w:rPr>
                <w:rFonts w:ascii="Arial" w:eastAsia="Times New Roman" w:hAnsi="Arial" w:cs="Arial"/>
                <w:color w:val="212529"/>
                <w:sz w:val="16"/>
                <w:szCs w:val="16"/>
                <w:lang w:eastAsia="ru-RU"/>
              </w:rPr>
              <w:t xml:space="preserve"> звичайної господарської діяльності;</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перебувають у процесі виробництва з метою подальшого продажу продукту виробництва;</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утримують для споживання під час виробництва продукції, виконання робіт і надання послуг, а також управління підприємством.</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підприємство наводить у Балансі додаткові рядки 1101–1104, то показник рядка 1100 має бути більшим або дорівнювати сумі рядків 1101, 1102, 1103, 1104.</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Саме показник цього рядка щодо запасів включають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Виробничі запаси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1101*</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20, 22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Вартість запасів, малоцінних і швидкозношуваних предметів, сировини, основ і допоміжних матеріалів, палива, купівельних напівфабрикатів і комплектуючих виробів, запасних частин, тари, будівельних матеріалів й інших матеріалів, призначених для споживання під час нормального операційного циклу.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23, 25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Витрати на незавершене виробництво та незавершені роботи (послуги), а також вартість напівфабрикатів власного виробництва й валова заборгованість замовників за будівельними контрактами.</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Сальдо Дт 26, 27</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Запаси виробів на складі, обробка яких завершена та які пройшли випробування, приймання, укомплектовані згідно з умовами договорів із замовниками й відповідають технічним умовам і стандартам. Продукція, яка не відповідає наведеним вимогам (крім браку), і роботи, які не прийняті замовником, відображають у складі незавершеного виробництва.</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28 (за мінусом Дт 286 та Кт 285)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Вартість (без суми торгових націнок) залишків товарів, які придбані підприємствами для подальшого продажу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Незавершене виробництво</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1102*</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Готова продукція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1103*</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Об’єднати з верхньою ячейкою</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Товари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1104*</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Поточні біологічні активи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21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вартість поточних біологічних активів тваринництва (дорослі тварини на відгодівлі й у нагулі, птиця, звірі, кролики, дорослі тварини, вибракувані з основного стада для реалізації, молодняк тварин на вирощуванні та відгодівлі) за справедливою або первісною вартістю — залежно від методу оцінки, який застосовує підприємство.</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Крім того, тут відображають біологічні активи рослинництва (зернові, технічні, овочеві й інші культури) за справедливою вартістю, облік яких ведуть за </w:t>
            </w:r>
            <w:hyperlink r:id="rId18" w:tgtFrame="_blank" w:history="1">
              <w:r w:rsidRPr="00AD28FD">
                <w:rPr>
                  <w:rFonts w:ascii="Arial" w:eastAsia="Times New Roman" w:hAnsi="Arial" w:cs="Arial"/>
                  <w:color w:val="31B5C5"/>
                  <w:sz w:val="16"/>
                  <w:szCs w:val="16"/>
                  <w:u w:val="single"/>
                  <w:lang w:eastAsia="ru-RU"/>
                </w:rPr>
                <w:t>П(С)БО 30</w:t>
              </w:r>
            </w:hyperlink>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Депозити перестрахування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страховики наводять суму за угодами перестрахування, які характеризуються переданням незначного страхового ризику або відсутністю передання страхового ризику та використовуються переважно як засіб оптимізації грошових потоків у короткостроковій та середньостроковій перспективі</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Векселі одержані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34</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заборгованість покупців, замовників та інших дебіторів за відвантажену продукцію (товари), інші активи, виконані роботи й надані послуги, яка забезпечена векселями</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Дебіторська заборгованість за продукцію, товари, роботи, послуги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1125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36 мінус сальдо Кт 38</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заборгованість покупців або замовників за надані їм продукцію, товари, роботи чи послуги (крім заборгованості, яка забезпечена векселем, якщо така інформація наводиться в окремій статті), скоригована на резерв сумнівних боргів (нетто)</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Дебіторська заборгованість за розрахунками: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Times New Roman" w:eastAsia="Times New Roman" w:hAnsi="Times New Roman" w:cs="Times New Roman"/>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за виданими авансами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1130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371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Тут показують суму авансів, наданих іншим підприємствам у рахунок наступних платежів, а також сплачений авансовий внесок із податку на прибуток згідно з податковим законодавством (саме в рядку 1130, а не 1135, як зазначено в п. 2.28 </w:t>
            </w:r>
            <w:hyperlink r:id="rId19" w:tgtFrame="_blank" w:history="1">
              <w:r w:rsidRPr="00AD28FD">
                <w:rPr>
                  <w:rFonts w:ascii="Arial" w:eastAsia="Times New Roman" w:hAnsi="Arial" w:cs="Arial"/>
                  <w:color w:val="31B5C5"/>
                  <w:sz w:val="16"/>
                  <w:szCs w:val="16"/>
                  <w:u w:val="single"/>
                  <w:lang w:eastAsia="ru-RU"/>
                </w:rPr>
                <w:t>Методрекомендацій</w:t>
              </w:r>
            </w:hyperlink>
            <w:r w:rsidRPr="00AD28FD">
              <w:rPr>
                <w:rFonts w:ascii="Arial" w:eastAsia="Times New Roman" w:hAnsi="Arial" w:cs="Arial"/>
                <w:color w:val="212529"/>
                <w:sz w:val="16"/>
                <w:szCs w:val="16"/>
                <w:lang w:eastAsia="ru-RU"/>
              </w:rPr>
              <w:t>).</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Зверніть увагу: тут також відображають дебетове сальдо рахунка 63(Дт 63) за контрагентами й договорами, за якими перераховано аванси. Тобто сальдо за рахунком 63 відображають розгорнуто: за Дт 63 — </w:t>
            </w:r>
            <w:proofErr w:type="gramStart"/>
            <w:r w:rsidRPr="00AD28FD">
              <w:rPr>
                <w:rFonts w:ascii="Arial" w:eastAsia="Times New Roman" w:hAnsi="Arial" w:cs="Arial"/>
                <w:color w:val="212529"/>
                <w:sz w:val="16"/>
                <w:szCs w:val="16"/>
                <w:lang w:eastAsia="ru-RU"/>
              </w:rPr>
              <w:t>у рядку</w:t>
            </w:r>
            <w:proofErr w:type="gramEnd"/>
            <w:r w:rsidRPr="00AD28FD">
              <w:rPr>
                <w:rFonts w:ascii="Arial" w:eastAsia="Times New Roman" w:hAnsi="Arial" w:cs="Arial"/>
                <w:color w:val="212529"/>
                <w:sz w:val="16"/>
                <w:szCs w:val="16"/>
                <w:lang w:eastAsia="ru-RU"/>
              </w:rPr>
              <w:t xml:space="preserve"> 1130, за Кт 63 — у рядку 1615. Однак це лише у випадку, коли підприємство в бухобліку не використовує авансового субрахунку 371, а безпосередньо відображає виданий аванс за Дт 63 Кт рахунка обліку грошових коштів (що трапляється доволі часто)</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з бюджетом</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1135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641 і 642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У цій статті наводять дебіторську заборгованість фінансових і податкових органів, а також переплату за податками, зборами й іншими платежами </w:t>
            </w:r>
            <w:proofErr w:type="gramStart"/>
            <w:r w:rsidRPr="00AD28FD">
              <w:rPr>
                <w:rFonts w:ascii="Arial" w:eastAsia="Times New Roman" w:hAnsi="Arial" w:cs="Arial"/>
                <w:color w:val="212529"/>
                <w:sz w:val="16"/>
                <w:szCs w:val="16"/>
                <w:lang w:eastAsia="ru-RU"/>
              </w:rPr>
              <w:t>до бюджету</w:t>
            </w:r>
            <w:proofErr w:type="gramEnd"/>
            <w:r w:rsidRPr="00AD28FD">
              <w:rPr>
                <w:rFonts w:ascii="Arial" w:eastAsia="Times New Roman" w:hAnsi="Arial" w:cs="Arial"/>
                <w:color w:val="212529"/>
                <w:sz w:val="16"/>
                <w:szCs w:val="16"/>
                <w:lang w:eastAsia="ru-RU"/>
              </w:rPr>
              <w:t>.</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Цей рядок повинен бути більшим або дорівнювати рядку 1136</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у тому числі з податку на прибуток</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1136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64 (субрахунок податку на прибуток)</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Окремий рядок відведено для відображення дебіторської заборгованості з податку на прибуток. Показник цього рядка не підлягає включенню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Дебіторська заборгованість за розрахунками з нарахованих доходів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373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нараховані дивіденди, проценти, роялті тощо</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Дебіторська заборгованість</w:t>
            </w:r>
            <w:r w:rsidRPr="00AD28FD">
              <w:rPr>
                <w:rFonts w:ascii="Arial" w:eastAsia="Times New Roman" w:hAnsi="Arial" w:cs="Arial"/>
                <w:color w:val="212529"/>
                <w:sz w:val="16"/>
                <w:szCs w:val="16"/>
                <w:lang w:eastAsia="ru-RU"/>
              </w:rPr>
              <w:br/>
              <w:t>за розрахунками з внутрішніх розрахунків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1145*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682, 683 та 36, 377 (у частині пов’язаних сторін)</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заборгованість пов’язаних сторін і дебіторську заборгованість із внутрішніх розрахунків, зокрема між учасниками групи тощо</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Інша поточна дебіторська</w:t>
            </w:r>
            <w:r w:rsidRPr="00AD28FD">
              <w:rPr>
                <w:rFonts w:ascii="Arial" w:eastAsia="Times New Roman" w:hAnsi="Arial" w:cs="Arial"/>
                <w:color w:val="212529"/>
                <w:sz w:val="16"/>
                <w:szCs w:val="16"/>
                <w:lang w:eastAsia="ru-RU"/>
              </w:rPr>
              <w:br/>
              <w:t>заборгованість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1155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372, 374, 375, 376, 377, 378</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заборгованість дебіторів, яка не відображена в окремих статтях щодо розкриття інформації про дебіторську заборгованість або яка не може бути включена до інших статей дебіторської заборгованості та яка відображається у складі оборотних активів. Показники наводять у Балансі за вартістю, яку визначають згідно з </w:t>
            </w:r>
            <w:hyperlink r:id="rId20" w:tgtFrame="_blank" w:history="1">
              <w:r w:rsidRPr="00AD28FD">
                <w:rPr>
                  <w:rFonts w:ascii="Arial" w:eastAsia="Times New Roman" w:hAnsi="Arial" w:cs="Arial"/>
                  <w:color w:val="31B5C5"/>
                  <w:sz w:val="16"/>
                  <w:szCs w:val="16"/>
                  <w:u w:val="single"/>
                  <w:lang w:eastAsia="ru-RU"/>
                </w:rPr>
                <w:t>П(С)БО 10</w:t>
              </w:r>
            </w:hyperlink>
            <w:r w:rsidRPr="00AD28FD">
              <w:rPr>
                <w:rFonts w:ascii="Arial" w:eastAsia="Times New Roman" w:hAnsi="Arial" w:cs="Arial"/>
                <w:color w:val="212529"/>
                <w:sz w:val="16"/>
                <w:szCs w:val="16"/>
                <w:lang w:eastAsia="ru-RU"/>
              </w:rPr>
              <w:t> «Дебіторська заборгованість»</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Поточні фінансові інвестиції</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1160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352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Стаття присвячена фінансовим інвестиціям, які підприємства мають намір утримувати протягом періоду, що не перевищує року та які можуть бути вільно реалізовані </w:t>
            </w:r>
            <w:proofErr w:type="gramStart"/>
            <w:r w:rsidRPr="00AD28FD">
              <w:rPr>
                <w:rFonts w:ascii="Arial" w:eastAsia="Times New Roman" w:hAnsi="Arial" w:cs="Arial"/>
                <w:color w:val="212529"/>
                <w:sz w:val="16"/>
                <w:szCs w:val="16"/>
                <w:lang w:eastAsia="ru-RU"/>
              </w:rPr>
              <w:t>в будь</w:t>
            </w:r>
            <w:proofErr w:type="gramEnd"/>
            <w:r w:rsidRPr="00AD28FD">
              <w:rPr>
                <w:rFonts w:ascii="Arial" w:eastAsia="Times New Roman" w:hAnsi="Arial" w:cs="Arial"/>
                <w:color w:val="212529"/>
                <w:sz w:val="16"/>
                <w:szCs w:val="16"/>
                <w:lang w:eastAsia="ru-RU"/>
              </w:rPr>
              <w:t>-який момент (крім інвестицій, що є еквівалентами грошових коштів).</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Крім того, тут відображають довгострокові фінансові інвестиції, які підлягають погашенню протягом 12 місяців із дати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Гроші та їх еквіваленти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1165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30, 31, 313, 333, 335, 351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У статті відображають готівку в касі підприємства, гроші на поточних й інших рахунках </w:t>
            </w:r>
            <w:proofErr w:type="gramStart"/>
            <w:r w:rsidRPr="00AD28FD">
              <w:rPr>
                <w:rFonts w:ascii="Arial" w:eastAsia="Times New Roman" w:hAnsi="Arial" w:cs="Arial"/>
                <w:color w:val="212529"/>
                <w:sz w:val="16"/>
                <w:szCs w:val="16"/>
                <w:lang w:eastAsia="ru-RU"/>
              </w:rPr>
              <w:t>у банках</w:t>
            </w:r>
            <w:proofErr w:type="gramEnd"/>
            <w:r w:rsidRPr="00AD28FD">
              <w:rPr>
                <w:rFonts w:ascii="Arial" w:eastAsia="Times New Roman" w:hAnsi="Arial" w:cs="Arial"/>
                <w:color w:val="212529"/>
                <w:sz w:val="16"/>
                <w:szCs w:val="16"/>
                <w:lang w:eastAsia="ru-RU"/>
              </w:rPr>
              <w:t>, які можуть бути вільно використані для поточних операцій, а також грошові кошти в дорозі, електронні гроші, еквіваленти грошей (у національній або іноземній валюті).</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Кошти, які внаслідок обмежень не можна використати для операцій протягом року, починаючи з дати балансу або протягом операційного циклу, виключають із цього рядка та відносять до необоротних активів.</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різні види грошей та їх еквівалентів розшифровують у додаткових рядках, то показник такого рядка 1165 повинен бути більшим або дорівнювати сумі рядків 1166, 1167</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Готівка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1166*</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301, 302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Готівка в касі підприємства.</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 підсумку Балансу цю статтю не включають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311, 312, 313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Гроші на поточних й інших рахунках </w:t>
            </w:r>
            <w:proofErr w:type="gramStart"/>
            <w:r w:rsidRPr="00AD28FD">
              <w:rPr>
                <w:rFonts w:ascii="Arial" w:eastAsia="Times New Roman" w:hAnsi="Arial" w:cs="Arial"/>
                <w:color w:val="212529"/>
                <w:sz w:val="16"/>
                <w:szCs w:val="16"/>
                <w:lang w:eastAsia="ru-RU"/>
              </w:rPr>
              <w:t>у банках</w:t>
            </w:r>
            <w:proofErr w:type="gramEnd"/>
            <w:r w:rsidRPr="00AD28FD">
              <w:rPr>
                <w:rFonts w:ascii="Arial" w:eastAsia="Times New Roman" w:hAnsi="Arial" w:cs="Arial"/>
                <w:color w:val="212529"/>
                <w:sz w:val="16"/>
                <w:szCs w:val="16"/>
                <w:lang w:eastAsia="ru-RU"/>
              </w:rPr>
              <w:t>, які можуть бути вільно використані для поточних операцій.</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 підсумку Балансу ця стаття не включається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Рахунки в банках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1167*</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Витрати майбутніх періодів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1170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39</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такому рядку відображають витрати, що були протягом поточного чи попередніх звітних періодів, але належать до наступних звітних періодів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Частка перестраховика</w:t>
            </w:r>
            <w:r w:rsidRPr="00AD28FD">
              <w:rPr>
                <w:rFonts w:ascii="Arial" w:eastAsia="Times New Roman" w:hAnsi="Arial" w:cs="Arial"/>
                <w:color w:val="212529"/>
                <w:sz w:val="16"/>
                <w:szCs w:val="16"/>
                <w:lang w:eastAsia="ru-RU"/>
              </w:rPr>
              <w:br/>
              <w:t>в страхових резервах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1180*</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додаткових рядках 1180–1184 страховики наводять визначену й оцінену суму частки перестраховиків у страхових резервах кожного виду відповідно до вимог чинного законодавства.</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 підсумку балансу включають загальну суму частки перестрахувальника у страхових резервах.</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Рядок 1180, який повинен бути більшим або дорівнювати сумі рядків 1181, 1182, 1183, 1184</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тому числі 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резервах довгострокових зобов’язань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1181*</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 резервах збитків або резервах належних виплат</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1182*</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 резервах незароблених премій</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1183*</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інших страхових резервах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1184*</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Інші оборотні активи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1190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Зазначають вартість оборотних активів, для відображення яких за ознаками суттєвості не можна було виділити окрему статтю або які не можуть бути включені до наведених вище статей розділу «Оборотні активи», у т.ч.:</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 вартість грошових документів підприємства в національній та іноземній валютах;</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331, 331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2) дебетове сальдо рахунків обліку ПДВ</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643, 644</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Усього за розділом II</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1195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Розрахунково рядок визначають як суму рядків 1100, 1110, 1115, 1120, 1125, 1130, 1135, 1140, 1145, 1155, 1160, 1165, 1170, 1180, 1190</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III. Необоротні активи, утримувані для продажу, та групи вибуття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1200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Дт 286</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р. ІІІ, який складається лише з одного рядка 1200, відображають вартість необоротних активів і груп вибуття, утримуваних для продажу, що визначається відповідно до </w:t>
            </w:r>
            <w:hyperlink r:id="rId21" w:tgtFrame="_blank" w:history="1">
              <w:r w:rsidRPr="00AD28FD">
                <w:rPr>
                  <w:rFonts w:ascii="Arial" w:eastAsia="Times New Roman" w:hAnsi="Arial" w:cs="Arial"/>
                  <w:color w:val="31B5C5"/>
                  <w:sz w:val="16"/>
                  <w:szCs w:val="16"/>
                  <w:u w:val="single"/>
                  <w:lang w:eastAsia="ru-RU"/>
                </w:rPr>
                <w:t>П(С)БО 27</w:t>
              </w:r>
            </w:hyperlink>
            <w:r w:rsidRPr="00AD28FD">
              <w:rPr>
                <w:rFonts w:ascii="Arial" w:eastAsia="Times New Roman" w:hAnsi="Arial" w:cs="Arial"/>
                <w:color w:val="212529"/>
                <w:sz w:val="16"/>
                <w:szCs w:val="16"/>
                <w:lang w:eastAsia="ru-RU"/>
              </w:rPr>
              <w:t>«Необоротні активи, утримувані для продажу, та припинена діяльність».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Зверніть увагу: у такому рядку не відображатимуть необоротний актив, який не відповідає умовам згідно з </w:t>
            </w:r>
            <w:hyperlink r:id="rId22" w:tgtFrame="_blank" w:history="1">
              <w:r w:rsidRPr="00AD28FD">
                <w:rPr>
                  <w:rFonts w:ascii="Arial" w:eastAsia="Times New Roman" w:hAnsi="Arial" w:cs="Arial"/>
                  <w:color w:val="31B5C5"/>
                  <w:sz w:val="16"/>
                  <w:szCs w:val="16"/>
                  <w:u w:val="single"/>
                  <w:lang w:eastAsia="ru-RU"/>
                </w:rPr>
                <w:t>П(С)БО 27</w:t>
              </w:r>
            </w:hyperlink>
            <w:r w:rsidRPr="00AD28FD">
              <w:rPr>
                <w:rFonts w:ascii="Arial" w:eastAsia="Times New Roman" w:hAnsi="Arial" w:cs="Arial"/>
                <w:color w:val="212529"/>
                <w:sz w:val="16"/>
                <w:szCs w:val="16"/>
                <w:lang w:eastAsia="ru-RU"/>
              </w:rPr>
              <w:t>. Навіть якщо він і призначений для продажу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Баланс</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1300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Баланс утворюється із суми рядків 1095, 1195 та 1200</w:t>
            </w:r>
          </w:p>
        </w:tc>
      </w:tr>
    </w:tbl>
    <w:p w:rsidR="00AD28FD" w:rsidRPr="00AD28FD" w:rsidRDefault="00AD28FD" w:rsidP="00AD28FD">
      <w:pPr>
        <w:shd w:val="clear" w:color="auto" w:fill="FFFFFF"/>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Пасив</w:t>
      </w:r>
    </w:p>
    <w:tbl>
      <w:tblPr>
        <w:tblW w:w="5000" w:type="pct"/>
        <w:tblCellSpacing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2401"/>
        <w:gridCol w:w="807"/>
        <w:gridCol w:w="6131"/>
      </w:tblGrid>
      <w:tr w:rsidR="00AD28FD" w:rsidRPr="00AD28FD" w:rsidTr="00AD28FD">
        <w:trPr>
          <w:tblHeade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Назва рядка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Код рядка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 початок звітного періоду, на кінець звітного періоду</w:t>
            </w:r>
          </w:p>
        </w:tc>
      </w:tr>
      <w:tr w:rsidR="00AD28FD" w:rsidRPr="00AD28FD" w:rsidTr="00AD28FD">
        <w:trPr>
          <w:tblCellSpacing w:w="0" w:type="dxa"/>
        </w:trPr>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I. Власний капітал</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Зареєстрований (пайовий) капітал</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40</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Перший рядок першого розділу пасиву раніше мав назву «статутний капітал». Зараз його перейменували.</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Однак, незважаючи на це, тут усе ще наводять зафіксовану в установчих документах суму статутного капіталу, іншого зареєстрованого капіталу, а також пайовий капітал у сумі, яка формується відповідно до законодавства</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Внески до незареєстрованого статутного капіталу</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1401*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404</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Інформація про внески, які надходять для формування статутного капіталу, зокрема акціонерного товариства, після його оголошення та до реєстрації відповідних змін до установчих документів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Капітал у дооцінках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1405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наводять суму дооцінки необоротних активів і фінансових інструментів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Додатковий капітал</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1) емісійний дохід (сума, </w:t>
            </w:r>
            <w:proofErr w:type="gramStart"/>
            <w:r w:rsidRPr="00AD28FD">
              <w:rPr>
                <w:rFonts w:ascii="Arial" w:eastAsia="Times New Roman" w:hAnsi="Arial" w:cs="Arial"/>
                <w:color w:val="212529"/>
                <w:sz w:val="16"/>
                <w:szCs w:val="16"/>
                <w:lang w:eastAsia="ru-RU"/>
              </w:rPr>
              <w:t>на яку</w:t>
            </w:r>
            <w:proofErr w:type="gramEnd"/>
            <w:r w:rsidRPr="00AD28FD">
              <w:rPr>
                <w:rFonts w:ascii="Arial" w:eastAsia="Times New Roman" w:hAnsi="Arial" w:cs="Arial"/>
                <w:color w:val="212529"/>
                <w:sz w:val="16"/>
                <w:szCs w:val="16"/>
                <w:lang w:eastAsia="ru-RU"/>
              </w:rPr>
              <w:t xml:space="preserve"> вартість продажу акцій власної емісії перевищує їхню номінальну вартість);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421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2) сума капіталу, який вкладено засновниками понад статутний капітал;</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422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3) вартість безкоштовно отриманих необоротних активів, накопичені курсові різниці, які відповідно до </w:t>
            </w:r>
            <w:hyperlink r:id="rId23" w:tgtFrame="_blank" w:history="1">
              <w:r w:rsidRPr="00AD28FD">
                <w:rPr>
                  <w:rFonts w:ascii="Arial" w:eastAsia="Times New Roman" w:hAnsi="Arial" w:cs="Arial"/>
                  <w:color w:val="31B5C5"/>
                  <w:sz w:val="16"/>
                  <w:szCs w:val="16"/>
                  <w:u w:val="single"/>
                  <w:lang w:eastAsia="ru-RU"/>
                </w:rPr>
                <w:t>П(С)БО 21</w:t>
              </w:r>
            </w:hyperlink>
            <w:r w:rsidRPr="00AD28FD">
              <w:rPr>
                <w:rFonts w:ascii="Arial" w:eastAsia="Times New Roman" w:hAnsi="Arial" w:cs="Arial"/>
                <w:color w:val="212529"/>
                <w:sz w:val="16"/>
                <w:szCs w:val="16"/>
                <w:lang w:eastAsia="ru-RU"/>
              </w:rPr>
              <w:t> відображають у складі власного капіталу;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4) інші складові додаткового капіталу.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423, 424, 425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показник цього рядка розшифровують у додаткових рядках 1411 та 1412, то такий рядок має перевищувати або дорівнювати сумі рядків 1411 та 1412</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Емісійний дохід</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1411*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421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Якщо інформація про розмір емісійного доходу відповідає ознакам суттєвості, її розкривають </w:t>
            </w:r>
            <w:proofErr w:type="gramStart"/>
            <w:r w:rsidRPr="00AD28FD">
              <w:rPr>
                <w:rFonts w:ascii="Arial" w:eastAsia="Times New Roman" w:hAnsi="Arial" w:cs="Arial"/>
                <w:color w:val="212529"/>
                <w:sz w:val="16"/>
                <w:szCs w:val="16"/>
                <w:lang w:eastAsia="ru-RU"/>
              </w:rPr>
              <w:t>у такому рядку</w:t>
            </w:r>
            <w:proofErr w:type="gramEnd"/>
            <w:r w:rsidRPr="00AD28FD">
              <w:rPr>
                <w:rFonts w:ascii="Arial" w:eastAsia="Times New Roman" w:hAnsi="Arial" w:cs="Arial"/>
                <w:color w:val="212529"/>
                <w:sz w:val="16"/>
                <w:szCs w:val="16"/>
                <w:lang w:eastAsia="ru-RU"/>
              </w:rPr>
              <w:t>.</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Цей рядок включають до загальної суми додаткового капіталу, відображеної в рядку 1410, і не включають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Накопичені курсові різниці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1412*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423 (у частині суми курсових різниць, віднесених на збільшення власного капіталу)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Інформація про розмір накопичених курсових різниць.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Цей рядок включають до загальної суми додаткового капіталу, відображеної в рядку 1410, і не включають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Резервний капітал</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наводять суми резервів, створених відповідно до чинного законодавства або установчих документів за рахунок нерозподіленого прибутку підприємства</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Нерозподілений прибуток</w:t>
            </w:r>
            <w:r w:rsidRPr="00AD28FD">
              <w:rPr>
                <w:rFonts w:ascii="Arial" w:eastAsia="Times New Roman" w:hAnsi="Arial" w:cs="Arial"/>
                <w:color w:val="212529"/>
                <w:sz w:val="16"/>
                <w:szCs w:val="16"/>
                <w:lang w:eastAsia="ru-RU"/>
              </w:rPr>
              <w:br/>
              <w:t>(непокритий збиток)</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441, Дт 442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або суму нерозподіленого прибутку, або суму непокритого збитку. Суму непокритого збитку наводять у дужках та вираховують під час визначення підсумку власного капіталу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Неоплачений капітал</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1425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46</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У статті відображають заборгованість власників (учасників) за внесками до статутного капіталу. Цю суму наводять </w:t>
            </w:r>
            <w:proofErr w:type="gramStart"/>
            <w:r w:rsidRPr="00AD28FD">
              <w:rPr>
                <w:rFonts w:ascii="Arial" w:eastAsia="Times New Roman" w:hAnsi="Arial" w:cs="Arial"/>
                <w:color w:val="212529"/>
                <w:sz w:val="16"/>
                <w:szCs w:val="16"/>
                <w:lang w:eastAsia="ru-RU"/>
              </w:rPr>
              <w:t>у дужках</w:t>
            </w:r>
            <w:proofErr w:type="gramEnd"/>
            <w:r w:rsidRPr="00AD28FD">
              <w:rPr>
                <w:rFonts w:ascii="Arial" w:eastAsia="Times New Roman" w:hAnsi="Arial" w:cs="Arial"/>
                <w:color w:val="212529"/>
                <w:sz w:val="16"/>
                <w:szCs w:val="16"/>
                <w:lang w:eastAsia="ru-RU"/>
              </w:rPr>
              <w:t xml:space="preserve"> і вираховують під час визначення підсумку власного капіталу.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рядків 1425 має бути меншим або дорівнювати рядку 1400</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Вилучений капітал</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1430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У статті господарські товариства відображають фактичну собівартість акцій власної емісії або часток, викуплених товариством у його учасників. Суму за цією статтею наводять </w:t>
            </w:r>
            <w:proofErr w:type="gramStart"/>
            <w:r w:rsidRPr="00AD28FD">
              <w:rPr>
                <w:rFonts w:ascii="Arial" w:eastAsia="Times New Roman" w:hAnsi="Arial" w:cs="Arial"/>
                <w:color w:val="212529"/>
                <w:sz w:val="16"/>
                <w:szCs w:val="16"/>
                <w:lang w:eastAsia="ru-RU"/>
              </w:rPr>
              <w:t>у дужках</w:t>
            </w:r>
            <w:proofErr w:type="gramEnd"/>
            <w:r w:rsidRPr="00AD28FD">
              <w:rPr>
                <w:rFonts w:ascii="Arial" w:eastAsia="Times New Roman" w:hAnsi="Arial" w:cs="Arial"/>
                <w:color w:val="212529"/>
                <w:sz w:val="16"/>
                <w:szCs w:val="16"/>
                <w:lang w:eastAsia="ru-RU"/>
              </w:rPr>
              <w:t>, і вона підлягає вирахуванню під час визначення підсумку власного капіталу.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має бути меншим або дорівнювати рядку 1400</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Інші резерви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1435*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зазначеному додатковому рядку страховики наводять інші компоненти власного капіталу, які не можуть бути включені до наведених вище статей розділу. Сума інших резервів входить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Усього за розділом I</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1495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цього рядка розраховують як суму рядків 1400, 1405, 1410, 1415, 1435 «плюс» або «мінус» рядок 1420 «мінус» рядки 1425, 1430</w:t>
            </w:r>
          </w:p>
        </w:tc>
      </w:tr>
      <w:tr w:rsidR="00AD28FD" w:rsidRPr="00AD28FD" w:rsidTr="00AD28FD">
        <w:trPr>
          <w:tblCellSpacing w:w="0" w:type="dxa"/>
        </w:trPr>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II. Довгострокові зобов’язання та забезпечення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Відстрочені податкові зобов’язання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54</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наводять суму податку на прибуток, що підлягає сплаті в майбутніх періодах і визначається за </w:t>
            </w:r>
            <w:hyperlink r:id="rId24" w:tgtFrame="_blank" w:history="1">
              <w:r w:rsidRPr="00AD28FD">
                <w:rPr>
                  <w:rFonts w:ascii="Arial" w:eastAsia="Times New Roman" w:hAnsi="Arial" w:cs="Arial"/>
                  <w:color w:val="31B5C5"/>
                  <w:sz w:val="16"/>
                  <w:szCs w:val="16"/>
                  <w:u w:val="single"/>
                  <w:lang w:eastAsia="ru-RU"/>
                </w:rPr>
                <w:t>П(С)БО 17</w:t>
              </w:r>
            </w:hyperlink>
            <w:r w:rsidRPr="00AD28FD">
              <w:rPr>
                <w:rFonts w:ascii="Arial" w:eastAsia="Times New Roman" w:hAnsi="Arial" w:cs="Arial"/>
                <w:color w:val="212529"/>
                <w:sz w:val="16"/>
                <w:szCs w:val="16"/>
                <w:lang w:eastAsia="ru-RU"/>
              </w:rPr>
              <w:t> «Податок на прибуток»</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Пенсійні зобов’язання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1505*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472 (у частині вказаних пенсійних зобов’язань)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цьому рядку наводять довгострокові зобов’язання, пов’язані з виплатами по закінченню трудової діяльності</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Довгострокові кредити банків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501, 502, 503, 504</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У статті відображають заборгованість підприємства банкам за отриманими від них позиками, яка не є поточним зобов’язанням</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Інші довгострокові зобов’язання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51, 52, 53, 55 (505, 506 у частині відсоткових позик)</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Стаття відображає довгострокову заборгованість підприємства, що не включена до інших статей, у яких розкривають інформацію про довгострокові зобов’язання, зокрема зобов’язання із залучення позикових коштів (крім кредитів банків), на які нараховують відсотки</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Довгострокові забезпечення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47</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нараховані у звітному періоді майбутні витрати та платежі (витрати на оплату майбутніх відпусток, гарантійні зобов’язання тощо), розмір яких на дату складання Балансу може бути визначений тільки шляхом попередніх (прогнозних) оцінок.</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підприємство додатково заповнює рядок 1521, то сума, наведена в рядку 1520, повинна перевищувати або дорівнювати рядку 1521</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Довгострокові забезпечення витрат персоналу</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1521*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471, 472, 477 (у частині довгострокових забезпечень витрат персоналу)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довгострокова виплата персоналу може бути визнана суттєвою статтею балансу, її наводять у цій додатковій статті. Такий рядок лише розшифровує рядок 1521, і його не включають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Цільове фінансування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1525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48</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Наводять залишок коштів цільового фінансування та цільових надходжень, які отримані з бюджету та з інших джерел (у т.ч. кошти, вивільнені від оподаткування у зв’язку з наданням пільг із податку на прибуток підприємств).</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Якщо показник цільового фінансування конкретизують у додатковому рядку 1526, то рядок 1525 повинен перевищувати або дорівнювати йому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Благодійна допомога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1526*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483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відображають залишок коштів (вартість товарів, робіт, послуг), отриманих у вигляді благодійної допомоги, які відповідно до законодавства звільняються від обкладення ПДВ. До підсумку балансу цей рядок включають у складі рядка 1525</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Страхові резерви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1530*</w:t>
            </w:r>
          </w:p>
        </w:tc>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49</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додаткових рядках 1530–1534 статті страховики наводять і розшифровують суму резерву незароблених премій, резерву збитків або резерву належних виплат, резерву довгострокових зобов’язань й інших страхових резервів. До підсумку балансу відносять загальну суму страхових резервів, тобто рядок 1530. Тому він має перевищувати або дорівнювати сумі рядків 1531, 1532, 1533, 1534</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тому числі: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резерв довгострокових зобов’язань</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1531*</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резерв збитків або резерв належних виплат</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1532*</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резерв незароблених премій</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1533*</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інші страхові резерви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1534*</w:t>
            </w:r>
          </w:p>
        </w:tc>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Інвестиційні контракти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1535*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страховики наводять суму за контрактами, які створюють фінансові активи чи фінансові зобов’язання та мають юридичну форму договору страхування, але які не передбачають передання страховику значного страхового ризику, отже, не відповідають визначенню страхового контракту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Призовий фонд</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475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підприємства, які провадять діяльність із випуску та проведення лотерей на території України, наводять залишок сформованого призового фонду, що підлягає виплаті переможцям лотереї відповідно до оприлюднених умов її випуску та проведення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Резерв на виплату джек-поту</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1545*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476</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підприємства, які провадять діяльність із випуску та проведення лотерей на території України, наводять залишок сформованого резерву на виплату джекпоту, не забезпеченого сплатою участі в лотереї</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Усього за розділом II</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1595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цього рядка розраховують як суму рядків 1500, 1505, 1510, 1515, 1520, 1525, 1530, 1535, 1540, 1545</w:t>
            </w:r>
          </w:p>
        </w:tc>
      </w:tr>
      <w:tr w:rsidR="00AD28FD" w:rsidRPr="00AD28FD" w:rsidTr="00AD28FD">
        <w:trPr>
          <w:tblCellSpacing w:w="0" w:type="dxa"/>
        </w:trPr>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IІІ. Поточні зобов’язання та забезпечення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Короткострокові кредити банків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60, 31 (якщо на цьому рахунку обліковують овердрафт)</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Стаття призначена для відображення поточних зобов’язань підприємства перед банками за отриманими від них кредитами</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Векселі видані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1605*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відображають суму заборгованості, на яку підприємство видало векселі на забезпечення постачань (робіт, послуг) постачальників, підрядників й інших кредиторів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Поточна кредиторська заборгованість за:</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Times New Roman" w:eastAsia="Times New Roman" w:hAnsi="Times New Roman" w:cs="Times New Roman"/>
                <w:sz w:val="16"/>
                <w:szCs w:val="16"/>
                <w:lang w:eastAsia="ru-RU"/>
              </w:rPr>
            </w:pP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довгостроковими зобов’язаннями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1610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суму довгострокових зобов’язань, яка підлягає погашенню протягом 12 місяців із дати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товари, роботи, послуги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63</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суму заборгованості постачальникам і підрядникам за матеріальні цінності, виконані роботи й отримані послуги (крім заборгованості, забезпеченої векселями, якщо її наводять у статті рядка 1605). Якщо ж заборгованість, забезпечена векселями, не відображають у рядку 1605, то її слід наводити в такому рядку (сальдо Кт 62)</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розрахунками з бюджетом</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641, 642</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xml:space="preserve">Ця стаття відображає заборгованість підприємства за всіма видами платежів </w:t>
            </w:r>
            <w:proofErr w:type="gramStart"/>
            <w:r w:rsidRPr="00AD28FD">
              <w:rPr>
                <w:rFonts w:ascii="Arial" w:eastAsia="Times New Roman" w:hAnsi="Arial" w:cs="Arial"/>
                <w:color w:val="212529"/>
                <w:sz w:val="16"/>
                <w:szCs w:val="16"/>
                <w:lang w:eastAsia="ru-RU"/>
              </w:rPr>
              <w:t>до бюджету</w:t>
            </w:r>
            <w:proofErr w:type="gramEnd"/>
            <w:r w:rsidRPr="00AD28FD">
              <w:rPr>
                <w:rFonts w:ascii="Arial" w:eastAsia="Times New Roman" w:hAnsi="Arial" w:cs="Arial"/>
                <w:color w:val="212529"/>
                <w:sz w:val="16"/>
                <w:szCs w:val="16"/>
                <w:lang w:eastAsia="ru-RU"/>
              </w:rPr>
              <w:t xml:space="preserve"> (включаючи податки з працівників підприємства). Оскільки в рядку 1621 додатково показують заборгованість за податком на прибуток, то показник такого рядка повинен перевищувати або дорівнювати йому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у тому числі з податку на прибуток</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1621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641 (субрахунок податку на прибуток)</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 окремому рядку зазначають поточну кредиторську заборгованість із податку на прибуток. Цей рядок ураховують у підсумку балансу у складі рядка 1620</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розрахунками зі страхування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1625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65</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відображають суму заборгованості за відрахуваннями на загальнообов’язкове державне соціальне страхування, страхування майна підприємства й індивідуальне страхування його працівників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розрахунками з оплати праці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1630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66</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наводять заборгованість підприємства з оплати праці, включаючи депоновану заробітну плату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Поточна кредиторська заборгованість за одержаними авансами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1635*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681</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відображають суми авансів, одержаних від інших осіб.</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Зверніть увагу: якщо підприємство не використовує авансовий субрахунок 681 (а показує такі аванси безпосередньо через субрахунок 361), то порядок відображення кредиторської заборгованості за одержаними авансами дещо зміниться. Тоді залишок на рахунку 361 відображатимуть розгорнуто: у такому рядку (1635) — сальдо Кт 361, а в рядку 1125 — сальдо Дт 361</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lastRenderedPageBreak/>
              <w:t>Поточна кредиторська заборгованість за розрахунками з учасниками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67</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відображають заборгованість підприємства його учасникам (засновникам), пов’язану з розподілом прибутку (дивіденди тощо) і капіталу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Поточна кредиторська заборгованість із внутрішніх розрахунків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1645*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682, 683 та 63 (у частині зобов’язань перед пов’язаними особами)</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Такий додатковий рядок призначений для відображення заборгованості підприємства пов’язаним сторонам і кредиторської заборгованості з внутрішніх розрахунків, зокрема між учасниками групи тощо</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Поточна кредиторська заборгованість за страховою діяльністю</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страховики відображають суму кредиторської заборгованості за страховими виплатами, страховими преміями, отриманими авансами, суму кредиторської заборгованості перед страховими агентами, брокерами й посередниками та премій до сплати перестраховикам, іншу кредиторську заборгованість за страховою діяльністю</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Поточні забезпечення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1660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471, 473, 474 (у частині поточних забезпечень)</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Тут наводять суму забезпечень, які планують використати протягом 12 місяців із дати балансу, для покриття витрат, щодо яких відповідне забезпечення було створено</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Доходи майбутніх періодів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1665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69</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статті наводять доходи, отримані протягом поточного чи попередніх звітних періодів, які належать до наступних звітних періодів</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Відстрочені комісійні доходи від перестраховиків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1670*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цій додатковій статті страховики наводять неамортизований залишок комісійних винагород, отримуваних від перестраховиків, які були віднесені на майбутні періоди для їх відповідності преміям, переданим у перестрахування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Інші поточні зобов’язання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1690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статті фіксують суми зобов’язань, для відображення яких за ознаками суттєвості не можна було виділити окрему статтю або які не можуть бути включені до інших статей, наведених у р. ІІІ</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Усього за розділом IІІ</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1695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цього рядка розраховують як суму рядків 1600, 1605, 1610, 1615, 1620, 1625, 1630, 1635, 1640, 1645, 1650, 1660, 1665, 1670, 1690</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ІV. Зобов’язання, пов’язані</w:t>
            </w:r>
            <w:r w:rsidRPr="00AD28FD">
              <w:rPr>
                <w:rFonts w:ascii="Arial" w:eastAsia="Times New Roman" w:hAnsi="Arial" w:cs="Arial"/>
                <w:color w:val="212529"/>
                <w:sz w:val="16"/>
                <w:szCs w:val="16"/>
                <w:lang w:eastAsia="ru-RU"/>
              </w:rPr>
              <w:br/>
              <w:t>з необоротними активами, утримуваними для продажу, та групами вибуття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1700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Сальдо Кт 680</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Для р. IV відведено лише один рядок, де відображають, власне, зобов’язання, що визначаються відповідно до </w:t>
            </w:r>
            <w:hyperlink r:id="rId25" w:tgtFrame="_blank" w:history="1">
              <w:r w:rsidRPr="00AD28FD">
                <w:rPr>
                  <w:rFonts w:ascii="Arial" w:eastAsia="Times New Roman" w:hAnsi="Arial" w:cs="Arial"/>
                  <w:color w:val="31B5C5"/>
                  <w:sz w:val="16"/>
                  <w:szCs w:val="16"/>
                  <w:u w:val="single"/>
                  <w:lang w:eastAsia="ru-RU"/>
                </w:rPr>
                <w:t>П(С)БО 27</w:t>
              </w:r>
            </w:hyperlink>
            <w:r w:rsidRPr="00AD28FD">
              <w:rPr>
                <w:rFonts w:ascii="Arial" w:eastAsia="Times New Roman" w:hAnsi="Arial" w:cs="Arial"/>
                <w:color w:val="212529"/>
                <w:sz w:val="16"/>
                <w:szCs w:val="16"/>
                <w:lang w:eastAsia="ru-RU"/>
              </w:rPr>
              <w:t>«Діяльність, що припиняється»</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V. Чиста вартість активів недержавного пенсійного фонду</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У додатковому р. V, для якого теж відведено лише один рядок, недержавні пенсійні фонди відображають різницю між вартістю активів пенсійного фонду на звітну дату й сумою зобов’язань пенсійного фонду, що підлягають виконанню на звітну дату.</w:t>
            </w:r>
          </w:p>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Показник цього рядка включають до підсумку балансу</w:t>
            </w:r>
          </w:p>
        </w:tc>
      </w:tr>
      <w:tr w:rsidR="00AD28FD" w:rsidRPr="00AD28FD" w:rsidTr="00AD28FD">
        <w:trPr>
          <w:tblCellSpacing w:w="0"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b/>
                <w:bCs/>
                <w:color w:val="212529"/>
                <w:sz w:val="16"/>
                <w:szCs w:val="16"/>
                <w:lang w:eastAsia="ru-RU"/>
              </w:rPr>
              <w:t>Баланс</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jc w:val="center"/>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1900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center"/>
            <w:hideMark/>
          </w:tcPr>
          <w:p w:rsidR="00AD28FD" w:rsidRPr="00AD28FD" w:rsidRDefault="00AD28FD" w:rsidP="00AD28FD">
            <w:pPr>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Баланс утворюється із суми рядків 1495, 1595, 1695, 1700, 1800 та дорівнює рядку 1300</w:t>
            </w:r>
          </w:p>
        </w:tc>
      </w:tr>
    </w:tbl>
    <w:p w:rsidR="00AD28FD" w:rsidRPr="00AD28FD" w:rsidRDefault="00AD28FD" w:rsidP="00AD28FD">
      <w:pPr>
        <w:shd w:val="clear" w:color="auto" w:fill="FFFFFF"/>
        <w:spacing w:after="0" w:line="240" w:lineRule="auto"/>
        <w:rPr>
          <w:rFonts w:ascii="Arial" w:eastAsia="Times New Roman" w:hAnsi="Arial" w:cs="Arial"/>
          <w:color w:val="212529"/>
          <w:sz w:val="16"/>
          <w:szCs w:val="16"/>
          <w:lang w:eastAsia="ru-RU"/>
        </w:rPr>
      </w:pPr>
      <w:r w:rsidRPr="00AD28FD">
        <w:rPr>
          <w:rFonts w:ascii="Arial" w:eastAsia="Times New Roman" w:hAnsi="Arial" w:cs="Arial"/>
          <w:color w:val="212529"/>
          <w:sz w:val="16"/>
          <w:szCs w:val="16"/>
          <w:lang w:eastAsia="ru-RU"/>
        </w:rPr>
        <w:t>* Зірочкою позначені додаткові рядки, які наведені в додатку 3 </w:t>
      </w:r>
      <w:hyperlink r:id="rId26" w:tgtFrame="_blank" w:history="1">
        <w:r w:rsidRPr="00AD28FD">
          <w:rPr>
            <w:rFonts w:ascii="Arial" w:eastAsia="Times New Roman" w:hAnsi="Arial" w:cs="Arial"/>
            <w:color w:val="31B5C5"/>
            <w:sz w:val="16"/>
            <w:szCs w:val="16"/>
            <w:u w:val="single"/>
            <w:lang w:eastAsia="ru-RU"/>
          </w:rPr>
          <w:t>НП(С)БО 1</w:t>
        </w:r>
      </w:hyperlink>
      <w:r w:rsidRPr="00AD28FD">
        <w:rPr>
          <w:rFonts w:ascii="Arial" w:eastAsia="Times New Roman" w:hAnsi="Arial" w:cs="Arial"/>
          <w:color w:val="212529"/>
          <w:sz w:val="16"/>
          <w:szCs w:val="16"/>
          <w:lang w:eastAsia="ru-RU"/>
        </w:rPr>
        <w:t> та можуть бути додані до Балансу.</w:t>
      </w:r>
    </w:p>
    <w:p w:rsidR="00FF51EA" w:rsidRPr="00AD28FD" w:rsidRDefault="00FF51EA" w:rsidP="00AD28FD">
      <w:pPr>
        <w:spacing w:after="0"/>
        <w:rPr>
          <w:sz w:val="16"/>
          <w:szCs w:val="16"/>
        </w:rPr>
      </w:pPr>
    </w:p>
    <w:sectPr w:rsidR="00FF51EA" w:rsidRPr="00AD2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FD"/>
    <w:rsid w:val="001F6179"/>
    <w:rsid w:val="005D5F95"/>
    <w:rsid w:val="009C6A96"/>
    <w:rsid w:val="00AD28FD"/>
    <w:rsid w:val="00FF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EA626-F789-42A2-97E1-1BB3EE24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AD28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D28F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D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28FD"/>
    <w:rPr>
      <w:color w:val="0000FF"/>
      <w:u w:val="single"/>
    </w:rPr>
  </w:style>
  <w:style w:type="character" w:styleId="a5">
    <w:name w:val="Strong"/>
    <w:basedOn w:val="a0"/>
    <w:uiPriority w:val="22"/>
    <w:qFormat/>
    <w:rsid w:val="00AD28FD"/>
    <w:rPr>
      <w:b/>
      <w:bCs/>
    </w:rPr>
  </w:style>
  <w:style w:type="paragraph" w:styleId="a6">
    <w:name w:val="Balloon Text"/>
    <w:basedOn w:val="a"/>
    <w:link w:val="a7"/>
    <w:uiPriority w:val="99"/>
    <w:semiHidden/>
    <w:unhideWhenUsed/>
    <w:rsid w:val="00AD28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2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buh.com.ua/ru/documents/oneregulations/1815" TargetMode="External"/><Relationship Id="rId13" Type="http://schemas.openxmlformats.org/officeDocument/2006/relationships/hyperlink" Target="https://interbuh.com.ua/ua/documents/oneregulations/1655" TargetMode="External"/><Relationship Id="rId18" Type="http://schemas.openxmlformats.org/officeDocument/2006/relationships/hyperlink" Target="https://interbuh.com.ua/ua/documents/oneregulations/1656" TargetMode="External"/><Relationship Id="rId26" Type="http://schemas.openxmlformats.org/officeDocument/2006/relationships/hyperlink" Target="https://interbuh.com.ua/ua/documents/oneregulations/22380" TargetMode="External"/><Relationship Id="rId3" Type="http://schemas.openxmlformats.org/officeDocument/2006/relationships/settings" Target="settings.xml"/><Relationship Id="rId21" Type="http://schemas.openxmlformats.org/officeDocument/2006/relationships/hyperlink" Target="https://interbuh.com.ua/ua/documents/oneregulations/24694" TargetMode="External"/><Relationship Id="rId7" Type="http://schemas.openxmlformats.org/officeDocument/2006/relationships/hyperlink" Target="https://interbuh.com.ua/ru/documents/oneregulations/4601" TargetMode="External"/><Relationship Id="rId12" Type="http://schemas.openxmlformats.org/officeDocument/2006/relationships/hyperlink" Target="https://interbuh.com.ua/ua/documents/oneregulations/74289" TargetMode="External"/><Relationship Id="rId17" Type="http://schemas.openxmlformats.org/officeDocument/2006/relationships/hyperlink" Target="https://interbuh.com.ua/ua/documents/oneregulations/79499" TargetMode="External"/><Relationship Id="rId25" Type="http://schemas.openxmlformats.org/officeDocument/2006/relationships/hyperlink" Target="https://interbuh.com.ua/ua/documents/oneregulations/24694" TargetMode="External"/><Relationship Id="rId2" Type="http://schemas.openxmlformats.org/officeDocument/2006/relationships/styles" Target="styles.xml"/><Relationship Id="rId16" Type="http://schemas.openxmlformats.org/officeDocument/2006/relationships/hyperlink" Target="https://interbuh.com.ua/ua/documents/oneregulations/6564" TargetMode="External"/><Relationship Id="rId20" Type="http://schemas.openxmlformats.org/officeDocument/2006/relationships/hyperlink" Target="https://interbuh.com.ua/ua/documents/oneregulations/6596" TargetMode="External"/><Relationship Id="rId1" Type="http://schemas.openxmlformats.org/officeDocument/2006/relationships/customXml" Target="../customXml/item1.xml"/><Relationship Id="rId6" Type="http://schemas.openxmlformats.org/officeDocument/2006/relationships/hyperlink" Target="https://interbuh.com.ua/ru/documents/oneregulations/4601" TargetMode="External"/><Relationship Id="rId11" Type="http://schemas.openxmlformats.org/officeDocument/2006/relationships/hyperlink" Target="https://interbuh.com.ua/ua/documents/oneregulations/1831" TargetMode="External"/><Relationship Id="rId24" Type="http://schemas.openxmlformats.org/officeDocument/2006/relationships/hyperlink" Target="https://interbuh.com.ua/ua/documents/oneregulations/6601" TargetMode="External"/><Relationship Id="rId5" Type="http://schemas.openxmlformats.org/officeDocument/2006/relationships/hyperlink" Target="https://interbuh.com.ua/ua/documents/oneregulations/22380" TargetMode="External"/><Relationship Id="rId15" Type="http://schemas.openxmlformats.org/officeDocument/2006/relationships/hyperlink" Target="https://interbuh.com.ua/ua/documents/oneregulations/6601" TargetMode="External"/><Relationship Id="rId23" Type="http://schemas.openxmlformats.org/officeDocument/2006/relationships/hyperlink" Target="https://interbuh.com.ua/ua/documents/oneregulations/43396" TargetMode="External"/><Relationship Id="rId28" Type="http://schemas.openxmlformats.org/officeDocument/2006/relationships/theme" Target="theme/theme1.xml"/><Relationship Id="rId10" Type="http://schemas.openxmlformats.org/officeDocument/2006/relationships/hyperlink" Target="https://interbuh.com.ua/ua/documents/oneregulations/79498" TargetMode="External"/><Relationship Id="rId19" Type="http://schemas.openxmlformats.org/officeDocument/2006/relationships/hyperlink" Target="https://interbuh.com.ua/ru/documents/oneregulations/4601" TargetMode="External"/><Relationship Id="rId4" Type="http://schemas.openxmlformats.org/officeDocument/2006/relationships/webSettings" Target="webSettings.xml"/><Relationship Id="rId9" Type="http://schemas.openxmlformats.org/officeDocument/2006/relationships/hyperlink" Target="https://interbuh.com.ua/ua/documents/oneregulations/79498" TargetMode="External"/><Relationship Id="rId14" Type="http://schemas.openxmlformats.org/officeDocument/2006/relationships/hyperlink" Target="https://interbuh.com.ua/ua/documents/oneregulations/1656" TargetMode="External"/><Relationship Id="rId22" Type="http://schemas.openxmlformats.org/officeDocument/2006/relationships/hyperlink" Target="https://interbuh.com.ua/ua/documents/oneregulations/246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4BA1-89DD-4052-BE77-3FC40606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4785</Words>
  <Characters>27280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2020-09-08T10:24:00Z</cp:lastPrinted>
  <dcterms:created xsi:type="dcterms:W3CDTF">2020-09-08T10:20:00Z</dcterms:created>
  <dcterms:modified xsi:type="dcterms:W3CDTF">2021-03-09T21:39:00Z</dcterms:modified>
</cp:coreProperties>
</file>