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CAD" w:rsidRPr="005A3D8B" w:rsidRDefault="00E55CAD" w:rsidP="00E55CAD">
      <w:pPr>
        <w:jc w:val="center"/>
        <w:rPr>
          <w:b/>
          <w:sz w:val="28"/>
          <w:szCs w:val="28"/>
          <w:lang w:val="uk-UA"/>
        </w:rPr>
      </w:pPr>
      <w:r w:rsidRPr="005A3D8B">
        <w:rPr>
          <w:b/>
          <w:sz w:val="28"/>
          <w:szCs w:val="28"/>
          <w:lang w:val="uk-UA"/>
        </w:rPr>
        <w:t>Перелік питань</w:t>
      </w:r>
    </w:p>
    <w:p w:rsidR="00E55CAD" w:rsidRDefault="00E55CAD" w:rsidP="00E55CAD">
      <w:pPr>
        <w:tabs>
          <w:tab w:val="left" w:pos="851"/>
        </w:tabs>
        <w:jc w:val="center"/>
        <w:rPr>
          <w:sz w:val="28"/>
          <w:szCs w:val="28"/>
          <w:lang w:val="uk-UA"/>
        </w:rPr>
      </w:pPr>
      <w:r w:rsidRPr="005A3D8B">
        <w:rPr>
          <w:sz w:val="28"/>
          <w:szCs w:val="28"/>
          <w:lang w:val="uk-UA"/>
        </w:rPr>
        <w:t xml:space="preserve">з навчальної дисципліни </w:t>
      </w:r>
    </w:p>
    <w:p w:rsidR="00E55CAD" w:rsidRPr="00BE46B1" w:rsidRDefault="00E55CAD" w:rsidP="00E55CAD">
      <w:pPr>
        <w:tabs>
          <w:tab w:val="left" w:pos="851"/>
        </w:tabs>
        <w:jc w:val="center"/>
        <w:rPr>
          <w:sz w:val="28"/>
          <w:szCs w:val="28"/>
          <w:u w:val="single"/>
          <w:lang w:val="uk-UA"/>
        </w:rPr>
      </w:pPr>
      <w:r w:rsidRPr="00BE46B1">
        <w:rPr>
          <w:sz w:val="28"/>
          <w:szCs w:val="28"/>
          <w:u w:val="single"/>
          <w:lang w:val="uk-UA"/>
        </w:rPr>
        <w:t>«</w:t>
      </w:r>
      <w:r>
        <w:rPr>
          <w:sz w:val="28"/>
          <w:szCs w:val="28"/>
          <w:u w:val="single"/>
          <w:lang w:val="uk-UA"/>
        </w:rPr>
        <w:t>Фінансове планування</w:t>
      </w:r>
      <w:r w:rsidRPr="00BE46B1">
        <w:rPr>
          <w:sz w:val="28"/>
          <w:szCs w:val="28"/>
          <w:u w:val="single"/>
          <w:lang w:val="uk-UA"/>
        </w:rPr>
        <w:t>»</w:t>
      </w:r>
    </w:p>
    <w:p w:rsidR="00E55CAD" w:rsidRPr="00BE46B1" w:rsidRDefault="00E55CAD" w:rsidP="00E55CAD">
      <w:pPr>
        <w:jc w:val="center"/>
        <w:rPr>
          <w:bCs/>
          <w:kern w:val="36"/>
          <w:sz w:val="28"/>
          <w:szCs w:val="28"/>
          <w:lang w:val="uk-UA"/>
        </w:rPr>
      </w:pPr>
      <w:r w:rsidRPr="00BE46B1">
        <w:rPr>
          <w:bCs/>
          <w:kern w:val="36"/>
          <w:sz w:val="28"/>
          <w:szCs w:val="28"/>
          <w:lang w:val="uk-UA"/>
        </w:rPr>
        <w:t>за спеціальністю</w:t>
      </w:r>
      <w:r w:rsidRPr="00BE46B1">
        <w:rPr>
          <w:sz w:val="28"/>
          <w:szCs w:val="28"/>
          <w:lang w:val="uk-UA"/>
        </w:rPr>
        <w:t xml:space="preserve">: </w:t>
      </w:r>
      <w:r w:rsidRPr="00BE46B1">
        <w:rPr>
          <w:bCs/>
          <w:kern w:val="36"/>
          <w:sz w:val="28"/>
          <w:szCs w:val="28"/>
          <w:lang w:val="uk-UA"/>
        </w:rPr>
        <w:t>051 «Економіка»</w:t>
      </w:r>
    </w:p>
    <w:p w:rsidR="00E55CAD" w:rsidRDefault="00E55CAD" w:rsidP="00E55CAD">
      <w:pPr>
        <w:jc w:val="center"/>
        <w:rPr>
          <w:bCs/>
          <w:kern w:val="36"/>
          <w:sz w:val="28"/>
          <w:szCs w:val="28"/>
          <w:lang w:val="uk-UA"/>
        </w:rPr>
      </w:pPr>
      <w:r w:rsidRPr="00BE46B1">
        <w:rPr>
          <w:bCs/>
          <w:kern w:val="36"/>
          <w:sz w:val="28"/>
          <w:szCs w:val="28"/>
          <w:lang w:val="uk-UA"/>
        </w:rPr>
        <w:t>освітнього ступеня «бакалавр</w:t>
      </w:r>
    </w:p>
    <w:p w:rsidR="00E55CAD" w:rsidRPr="00BE46B1" w:rsidRDefault="00E55CAD" w:rsidP="00E55CAD">
      <w:pPr>
        <w:jc w:val="center"/>
        <w:rPr>
          <w:b/>
          <w:sz w:val="28"/>
          <w:szCs w:val="28"/>
          <w:lang w:val="uk-UA"/>
        </w:rPr>
      </w:pPr>
    </w:p>
    <w:tbl>
      <w:tblPr>
        <w:tblStyle w:val="a3"/>
        <w:tblW w:w="5000" w:type="pct"/>
        <w:tblLook w:val="04A0" w:firstRow="1" w:lastRow="0" w:firstColumn="1" w:lastColumn="0" w:noHBand="0" w:noVBand="1"/>
      </w:tblPr>
      <w:tblGrid>
        <w:gridCol w:w="723"/>
        <w:gridCol w:w="9131"/>
      </w:tblGrid>
      <w:tr w:rsidR="00E55CAD" w:rsidRPr="00BE46B1" w:rsidTr="00E55CAD">
        <w:tc>
          <w:tcPr>
            <w:tcW w:w="367" w:type="pct"/>
          </w:tcPr>
          <w:p w:rsidR="00E55CAD" w:rsidRPr="00BE46B1" w:rsidRDefault="00E55CAD" w:rsidP="00661969">
            <w:pPr>
              <w:jc w:val="center"/>
              <w:rPr>
                <w:sz w:val="28"/>
                <w:szCs w:val="28"/>
                <w:lang w:val="uk-UA"/>
              </w:rPr>
            </w:pPr>
            <w:r w:rsidRPr="00BE46B1">
              <w:rPr>
                <w:sz w:val="28"/>
                <w:szCs w:val="28"/>
                <w:lang w:val="uk-UA"/>
              </w:rPr>
              <w:t>№</w:t>
            </w:r>
          </w:p>
          <w:p w:rsidR="00E55CAD" w:rsidRPr="00BE46B1" w:rsidRDefault="00E55CAD" w:rsidP="00661969">
            <w:pPr>
              <w:jc w:val="center"/>
              <w:rPr>
                <w:sz w:val="28"/>
                <w:szCs w:val="28"/>
                <w:lang w:val="uk-UA"/>
              </w:rPr>
            </w:pPr>
            <w:r w:rsidRPr="00BE46B1">
              <w:rPr>
                <w:sz w:val="28"/>
                <w:szCs w:val="28"/>
                <w:lang w:val="uk-UA"/>
              </w:rPr>
              <w:t>з/п</w:t>
            </w:r>
          </w:p>
        </w:tc>
        <w:tc>
          <w:tcPr>
            <w:tcW w:w="4633" w:type="pct"/>
            <w:vAlign w:val="center"/>
          </w:tcPr>
          <w:p w:rsidR="00E55CAD" w:rsidRPr="00BE46B1" w:rsidRDefault="00E55CAD" w:rsidP="00661969">
            <w:pPr>
              <w:jc w:val="center"/>
              <w:rPr>
                <w:sz w:val="28"/>
                <w:szCs w:val="28"/>
                <w:lang w:val="uk-UA"/>
              </w:rPr>
            </w:pPr>
            <w:r w:rsidRPr="00BE46B1">
              <w:rPr>
                <w:sz w:val="28"/>
                <w:szCs w:val="28"/>
                <w:lang w:val="uk-UA"/>
              </w:rPr>
              <w:t>Зміст питання</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1.</w:t>
            </w:r>
          </w:p>
        </w:tc>
        <w:tc>
          <w:tcPr>
            <w:tcW w:w="4633" w:type="pct"/>
          </w:tcPr>
          <w:p w:rsidR="00E55CAD" w:rsidRPr="00E55CAD" w:rsidRDefault="00E55CAD" w:rsidP="00661969">
            <w:pPr>
              <w:jc w:val="both"/>
              <w:rPr>
                <w:sz w:val="28"/>
                <w:szCs w:val="28"/>
                <w:lang w:val="uk-UA"/>
              </w:rPr>
            </w:pPr>
            <w:r w:rsidRPr="00E55CAD">
              <w:rPr>
                <w:color w:val="000000"/>
                <w:sz w:val="28"/>
                <w:szCs w:val="28"/>
                <w:shd w:val="clear" w:color="auto" w:fill="FFFFFF"/>
                <w:lang w:val="uk-UA"/>
              </w:rPr>
              <w:t>Принцип при використанні фінансової звітності, згідно з яким фінансова звітність повинна містити всю інформацію про фактичні та потенційні наслідки операцій та подій, яка може вплинути на рішення, що приймаються на її основі</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2.</w:t>
            </w:r>
          </w:p>
        </w:tc>
        <w:tc>
          <w:tcPr>
            <w:tcW w:w="4633" w:type="pct"/>
          </w:tcPr>
          <w:p w:rsidR="00E55CAD" w:rsidRPr="00E55CAD" w:rsidRDefault="00E55CAD" w:rsidP="00661969">
            <w:pPr>
              <w:tabs>
                <w:tab w:val="left" w:pos="567"/>
                <w:tab w:val="left" w:pos="851"/>
              </w:tabs>
              <w:contextualSpacing/>
              <w:jc w:val="both"/>
              <w:rPr>
                <w:sz w:val="28"/>
                <w:szCs w:val="28"/>
                <w:lang w:val="uk-UA" w:eastAsia="uk-UA"/>
              </w:rPr>
            </w:pPr>
            <w:r w:rsidRPr="00E55CAD">
              <w:rPr>
                <w:color w:val="000000"/>
                <w:sz w:val="28"/>
                <w:szCs w:val="28"/>
                <w:shd w:val="clear" w:color="auto" w:fill="FFFFFF"/>
                <w:lang w:val="uk-UA"/>
              </w:rPr>
              <w:t>Принцип при використанні фінансової звітності, який передбачає постійне (із року в рік) застосування підприємством обраної облікової політики. Зміна облікової політики повинна бути обґрунтована і розкрита у фінансовій звітності;</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3.</w:t>
            </w:r>
          </w:p>
        </w:tc>
        <w:tc>
          <w:tcPr>
            <w:tcW w:w="4633" w:type="pct"/>
          </w:tcPr>
          <w:p w:rsidR="00E55CAD" w:rsidRPr="00E55CAD" w:rsidRDefault="00E55CAD" w:rsidP="00661969">
            <w:pPr>
              <w:jc w:val="both"/>
              <w:rPr>
                <w:sz w:val="28"/>
                <w:szCs w:val="28"/>
                <w:lang w:val="uk-UA"/>
              </w:rPr>
            </w:pPr>
            <w:r w:rsidRPr="00E55CAD">
              <w:rPr>
                <w:color w:val="000000"/>
                <w:sz w:val="28"/>
                <w:szCs w:val="28"/>
                <w:shd w:val="clear" w:color="auto" w:fill="FFFFFF"/>
                <w:lang w:val="uk-UA"/>
              </w:rPr>
              <w:t>Принцип при використанні фінансової звітності, згідно з яким методи оцінки, що застосовуються в бухгалтерському обліку, повинні запобігати заниженню оцінки зобов’язань та витрат і завищенню оцінки активів і доходів підприємства;</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4.</w:t>
            </w:r>
          </w:p>
        </w:tc>
        <w:tc>
          <w:tcPr>
            <w:tcW w:w="4633" w:type="pct"/>
          </w:tcPr>
          <w:p w:rsidR="00E55CAD" w:rsidRPr="00E55CAD" w:rsidRDefault="00E55CAD" w:rsidP="00661969">
            <w:pPr>
              <w:tabs>
                <w:tab w:val="left" w:pos="567"/>
                <w:tab w:val="left" w:pos="851"/>
              </w:tabs>
              <w:contextualSpacing/>
              <w:jc w:val="both"/>
              <w:rPr>
                <w:sz w:val="28"/>
                <w:szCs w:val="28"/>
                <w:lang w:val="uk-UA" w:eastAsia="uk-UA"/>
              </w:rPr>
            </w:pPr>
            <w:r w:rsidRPr="00E55CAD">
              <w:rPr>
                <w:color w:val="000000"/>
                <w:sz w:val="28"/>
                <w:szCs w:val="28"/>
                <w:shd w:val="clear" w:color="auto" w:fill="FFFFFF"/>
                <w:lang w:val="uk-UA"/>
              </w:rPr>
              <w:t xml:space="preserve">Принцип  при використанні фінансової звітності, за яким операції повинні обліковуватись відповідно до їх сутності, а не </w:t>
            </w:r>
            <w:r>
              <w:rPr>
                <w:color w:val="000000"/>
                <w:sz w:val="28"/>
                <w:szCs w:val="28"/>
                <w:shd w:val="clear" w:color="auto" w:fill="FFFFFF"/>
                <w:lang w:val="uk-UA"/>
              </w:rPr>
              <w:t>лише виходячи з юридичної форми</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5.</w:t>
            </w:r>
          </w:p>
        </w:tc>
        <w:tc>
          <w:tcPr>
            <w:tcW w:w="4633" w:type="pct"/>
          </w:tcPr>
          <w:p w:rsidR="00E55CAD" w:rsidRPr="00E55CAD" w:rsidRDefault="00E55CAD" w:rsidP="00661969">
            <w:pPr>
              <w:jc w:val="both"/>
              <w:rPr>
                <w:sz w:val="28"/>
                <w:szCs w:val="28"/>
                <w:lang w:val="uk-UA"/>
              </w:rPr>
            </w:pPr>
            <w:r>
              <w:rPr>
                <w:color w:val="000000"/>
                <w:sz w:val="28"/>
                <w:szCs w:val="28"/>
                <w:shd w:val="clear" w:color="auto" w:fill="FFFFFF"/>
                <w:lang w:val="uk-UA"/>
              </w:rPr>
              <w:t xml:space="preserve">Принцип при використанні фінансової </w:t>
            </w:r>
            <w:r w:rsidRPr="00E55CAD">
              <w:rPr>
                <w:color w:val="000000"/>
                <w:sz w:val="28"/>
                <w:szCs w:val="28"/>
                <w:shd w:val="clear" w:color="auto" w:fill="FFFFFF"/>
                <w:lang w:val="uk-UA"/>
              </w:rPr>
              <w:t>звітності, який передбачає вимірювання та узагальнення всіх операцій підприємства у його фінансовій звіт</w:t>
            </w:r>
            <w:r>
              <w:rPr>
                <w:color w:val="000000"/>
                <w:sz w:val="28"/>
                <w:szCs w:val="28"/>
                <w:shd w:val="clear" w:color="auto" w:fill="FFFFFF"/>
                <w:lang w:val="uk-UA"/>
              </w:rPr>
              <w:t>ності в єдиній грошовій одиниці</w:t>
            </w:r>
          </w:p>
        </w:tc>
      </w:tr>
      <w:tr w:rsidR="00E55CAD" w:rsidRPr="00E55CAD" w:rsidTr="00E55CAD">
        <w:trPr>
          <w:trHeight w:val="894"/>
        </w:trPr>
        <w:tc>
          <w:tcPr>
            <w:tcW w:w="367" w:type="pct"/>
          </w:tcPr>
          <w:p w:rsidR="00E55CAD" w:rsidRPr="00E55CAD" w:rsidRDefault="00E55CAD" w:rsidP="00661969">
            <w:pPr>
              <w:jc w:val="center"/>
              <w:rPr>
                <w:sz w:val="28"/>
                <w:szCs w:val="28"/>
                <w:lang w:val="uk-UA"/>
              </w:rPr>
            </w:pPr>
            <w:r w:rsidRPr="00E55CAD">
              <w:rPr>
                <w:sz w:val="28"/>
                <w:szCs w:val="28"/>
                <w:lang w:val="uk-UA"/>
              </w:rPr>
              <w:t>6.</w:t>
            </w:r>
          </w:p>
        </w:tc>
        <w:tc>
          <w:tcPr>
            <w:tcW w:w="4633" w:type="pct"/>
          </w:tcPr>
          <w:p w:rsidR="00E55CAD" w:rsidRPr="00E55CAD" w:rsidRDefault="00E55CAD" w:rsidP="00661969">
            <w:pPr>
              <w:tabs>
                <w:tab w:val="left" w:pos="6225"/>
              </w:tabs>
              <w:rPr>
                <w:sz w:val="28"/>
                <w:szCs w:val="28"/>
                <w:lang w:val="uk-UA"/>
              </w:rPr>
            </w:pPr>
            <w:r w:rsidRPr="00E55CAD">
              <w:rPr>
                <w:color w:val="000000"/>
                <w:sz w:val="28"/>
                <w:szCs w:val="28"/>
                <w:shd w:val="clear" w:color="auto" w:fill="FFFFFF"/>
                <w:lang w:val="uk-UA"/>
              </w:rPr>
              <w:t>Принцип  при використанні фінансової звітності, згідно з яким доходи і витрати відображаються в бухгалтерському обліку та фінансовій звітності в момент їх виникнення незалежно від часу надходження або сплати грошових коштів (грошей);</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7.</w:t>
            </w:r>
          </w:p>
        </w:tc>
        <w:tc>
          <w:tcPr>
            <w:tcW w:w="4633" w:type="pct"/>
          </w:tcPr>
          <w:p w:rsidR="00E55CAD" w:rsidRPr="00E55CAD" w:rsidRDefault="00E55CAD" w:rsidP="00661969">
            <w:pPr>
              <w:rPr>
                <w:sz w:val="28"/>
                <w:szCs w:val="28"/>
                <w:lang w:val="uk-UA"/>
              </w:rPr>
            </w:pPr>
            <w:r w:rsidRPr="00E55CAD">
              <w:rPr>
                <w:color w:val="000000"/>
                <w:sz w:val="28"/>
                <w:szCs w:val="28"/>
                <w:shd w:val="clear" w:color="auto" w:fill="FFFFFF"/>
                <w:lang w:val="uk-UA"/>
              </w:rPr>
              <w:t>Принцип  при використанні фінансової звітності, що визначає пріоритет оцінки активів, виходячи з витрат на їх виробництво та придбання</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8.</w:t>
            </w:r>
          </w:p>
        </w:tc>
        <w:tc>
          <w:tcPr>
            <w:tcW w:w="4633" w:type="pct"/>
          </w:tcPr>
          <w:p w:rsidR="00E55CAD" w:rsidRPr="00E55CAD" w:rsidRDefault="00E55CAD" w:rsidP="00661969">
            <w:pPr>
              <w:rPr>
                <w:sz w:val="28"/>
                <w:szCs w:val="28"/>
                <w:lang w:val="uk-UA"/>
              </w:rPr>
            </w:pPr>
            <w:r w:rsidRPr="00E55CAD">
              <w:rPr>
                <w:color w:val="000000"/>
                <w:sz w:val="28"/>
                <w:szCs w:val="28"/>
                <w:shd w:val="clear" w:color="auto" w:fill="FFFFFF"/>
                <w:lang w:val="uk-UA"/>
              </w:rPr>
              <w:t>Принцип  при використанні фінансової звітності, що припускає розподіл діяльності підприємства на певні періоди з метою складання фінансової звітності</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9.</w:t>
            </w:r>
          </w:p>
        </w:tc>
        <w:tc>
          <w:tcPr>
            <w:tcW w:w="4633" w:type="pct"/>
          </w:tcPr>
          <w:p w:rsidR="00E55CAD" w:rsidRPr="00E55CAD" w:rsidRDefault="00E55CAD" w:rsidP="00661969">
            <w:pPr>
              <w:tabs>
                <w:tab w:val="left" w:pos="567"/>
              </w:tabs>
              <w:contextualSpacing/>
              <w:jc w:val="both"/>
              <w:rPr>
                <w:sz w:val="28"/>
                <w:szCs w:val="28"/>
                <w:lang w:val="uk-UA" w:eastAsia="uk-UA"/>
              </w:rPr>
            </w:pPr>
            <w:r w:rsidRPr="00E55CAD">
              <w:rPr>
                <w:color w:val="000000"/>
                <w:sz w:val="28"/>
                <w:szCs w:val="28"/>
                <w:shd w:val="clear" w:color="auto" w:fill="FFFFFF"/>
                <w:lang w:val="uk-UA"/>
              </w:rPr>
              <w:t>Принцип  при використанні фінансової звітності, який  передбачає оцінку активів і зобов’язань підприємства, виходячи з припущення, що</w:t>
            </w:r>
            <w:r>
              <w:rPr>
                <w:color w:val="000000"/>
                <w:sz w:val="28"/>
                <w:szCs w:val="28"/>
                <w:shd w:val="clear" w:color="auto" w:fill="FFFFFF"/>
                <w:lang w:val="uk-UA"/>
              </w:rPr>
              <w:t xml:space="preserve"> його діяльність триватиме далі</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10.</w:t>
            </w:r>
          </w:p>
        </w:tc>
        <w:tc>
          <w:tcPr>
            <w:tcW w:w="4633" w:type="pct"/>
          </w:tcPr>
          <w:p w:rsidR="00E55CAD" w:rsidRPr="00E55CAD" w:rsidRDefault="00E55CAD" w:rsidP="00661969">
            <w:pPr>
              <w:tabs>
                <w:tab w:val="left" w:pos="567"/>
              </w:tabs>
              <w:contextualSpacing/>
              <w:jc w:val="both"/>
              <w:rPr>
                <w:sz w:val="28"/>
                <w:szCs w:val="28"/>
                <w:lang w:val="uk-UA" w:eastAsia="uk-UA"/>
              </w:rPr>
            </w:pPr>
            <w:r w:rsidRPr="00E55CAD">
              <w:rPr>
                <w:color w:val="000000"/>
                <w:sz w:val="28"/>
                <w:szCs w:val="28"/>
                <w:shd w:val="clear" w:color="auto" w:fill="FFFFFF"/>
                <w:lang w:val="uk-UA"/>
              </w:rPr>
              <w:t>Принцип при використанні фінансової звітності за яким кожне підприємство розглядається як юридична особа, що відокремлена від власників; тому особисте майно і зобов’язання власників не повинні відображатись у фінансовій звітності підприємства</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11.</w:t>
            </w:r>
          </w:p>
        </w:tc>
        <w:tc>
          <w:tcPr>
            <w:tcW w:w="4633" w:type="pct"/>
          </w:tcPr>
          <w:p w:rsidR="00E55CAD" w:rsidRPr="00E55CAD" w:rsidRDefault="00E55CAD" w:rsidP="00661969">
            <w:pPr>
              <w:rPr>
                <w:sz w:val="28"/>
                <w:szCs w:val="28"/>
                <w:lang w:val="uk-UA"/>
              </w:rPr>
            </w:pPr>
            <w:r w:rsidRPr="00E55CAD">
              <w:rPr>
                <w:color w:val="000000"/>
                <w:sz w:val="28"/>
                <w:szCs w:val="28"/>
                <w:shd w:val="clear" w:color="auto" w:fill="FFFFFF"/>
                <w:lang w:val="uk-UA"/>
              </w:rPr>
              <w:t xml:space="preserve">Ресурси, контрольовані підприємством у результаті минулих подій, використання яких, як очікується, призведе до отримання економічних </w:t>
            </w:r>
            <w:r w:rsidRPr="00E55CAD">
              <w:rPr>
                <w:color w:val="000000"/>
                <w:sz w:val="28"/>
                <w:szCs w:val="28"/>
                <w:shd w:val="clear" w:color="auto" w:fill="FFFFFF"/>
                <w:lang w:val="uk-UA"/>
              </w:rPr>
              <w:lastRenderedPageBreak/>
              <w:t>вигод у майбутньому це</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lastRenderedPageBreak/>
              <w:t>12.</w:t>
            </w:r>
          </w:p>
        </w:tc>
        <w:tc>
          <w:tcPr>
            <w:tcW w:w="4633" w:type="pct"/>
          </w:tcPr>
          <w:p w:rsidR="00E55CAD" w:rsidRPr="00E55CAD" w:rsidRDefault="00E55CAD" w:rsidP="00661969">
            <w:pPr>
              <w:tabs>
                <w:tab w:val="left" w:pos="6225"/>
              </w:tabs>
              <w:rPr>
                <w:sz w:val="28"/>
                <w:szCs w:val="28"/>
                <w:lang w:val="uk-UA"/>
              </w:rPr>
            </w:pPr>
            <w:r w:rsidRPr="00E55CAD">
              <w:rPr>
                <w:color w:val="000000"/>
                <w:sz w:val="28"/>
                <w:szCs w:val="28"/>
                <w:shd w:val="clear" w:color="auto" w:fill="FFFFFF"/>
                <w:lang w:val="uk-UA"/>
              </w:rPr>
              <w:t>Зменшення економічних вигод у вигляді зменшення активів або збільшення зобов’язань, що призводить до зменшення власного капіталу (за винятком зменшення капіталу за рахунок його вилучення або розподілення власниками) це</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13.</w:t>
            </w:r>
          </w:p>
        </w:tc>
        <w:tc>
          <w:tcPr>
            <w:tcW w:w="4633" w:type="pct"/>
          </w:tcPr>
          <w:p w:rsidR="00E55CAD" w:rsidRPr="00E55CAD" w:rsidRDefault="00E55CAD" w:rsidP="00661969">
            <w:pPr>
              <w:tabs>
                <w:tab w:val="left" w:pos="6225"/>
              </w:tabs>
              <w:rPr>
                <w:sz w:val="28"/>
                <w:szCs w:val="28"/>
                <w:lang w:val="uk-UA"/>
              </w:rPr>
            </w:pPr>
            <w:r w:rsidRPr="00E55CAD">
              <w:rPr>
                <w:color w:val="000000"/>
                <w:sz w:val="28"/>
                <w:szCs w:val="28"/>
                <w:shd w:val="clear" w:color="auto" w:fill="FFFFFF"/>
                <w:lang w:val="uk-UA"/>
              </w:rPr>
              <w:t>Збільшення економічних вигод у вигляді збільшення активів або зменшення зобов’язань, яке призводить до зростання власного капіталу (за винятком зростання капіталу за рахунок внесків власників) це</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14.</w:t>
            </w:r>
          </w:p>
        </w:tc>
        <w:tc>
          <w:tcPr>
            <w:tcW w:w="4633" w:type="pct"/>
          </w:tcPr>
          <w:p w:rsidR="00E55CAD" w:rsidRPr="00E55CAD" w:rsidRDefault="00E55CAD" w:rsidP="00661969">
            <w:pPr>
              <w:jc w:val="both"/>
              <w:rPr>
                <w:sz w:val="28"/>
                <w:szCs w:val="28"/>
                <w:lang w:val="uk-UA"/>
              </w:rPr>
            </w:pPr>
            <w:r w:rsidRPr="00E55CAD">
              <w:rPr>
                <w:color w:val="000000"/>
                <w:sz w:val="28"/>
                <w:szCs w:val="28"/>
                <w:shd w:val="clear" w:color="auto" w:fill="FFFFFF"/>
                <w:lang w:val="uk-UA"/>
              </w:rPr>
              <w:t>Звіт, який відображає зміни у складі власного капіталу підприємства протягом звітного періоду це</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15.</w:t>
            </w:r>
          </w:p>
        </w:tc>
        <w:tc>
          <w:tcPr>
            <w:tcW w:w="4633" w:type="pct"/>
          </w:tcPr>
          <w:p w:rsidR="00E55CAD" w:rsidRPr="00E55CAD" w:rsidRDefault="00E55CAD" w:rsidP="00661969">
            <w:pPr>
              <w:tabs>
                <w:tab w:val="left" w:pos="6225"/>
              </w:tabs>
              <w:rPr>
                <w:sz w:val="28"/>
                <w:szCs w:val="28"/>
                <w:lang w:val="uk-UA"/>
              </w:rPr>
            </w:pPr>
            <w:r w:rsidRPr="00E55CAD">
              <w:rPr>
                <w:color w:val="000000"/>
                <w:sz w:val="28"/>
                <w:szCs w:val="28"/>
                <w:shd w:val="clear" w:color="auto" w:fill="FFFFFF"/>
                <w:lang w:val="uk-UA"/>
              </w:rPr>
              <w:t>Звіт, який відображає надходження і вибуття грошових коштів (грошей) протягом звітного періоду в результаті операційної, інвестиційної та фінансової діяльності це</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16.</w:t>
            </w:r>
          </w:p>
        </w:tc>
        <w:tc>
          <w:tcPr>
            <w:tcW w:w="4633" w:type="pct"/>
          </w:tcPr>
          <w:p w:rsidR="00E55CAD" w:rsidRPr="00E55CAD" w:rsidRDefault="00E55CAD" w:rsidP="00661969">
            <w:pPr>
              <w:tabs>
                <w:tab w:val="left" w:pos="6225"/>
              </w:tabs>
              <w:rPr>
                <w:rFonts w:eastAsia="Calibri"/>
                <w:sz w:val="28"/>
                <w:szCs w:val="28"/>
                <w:lang w:val="uk-UA"/>
              </w:rPr>
            </w:pPr>
            <w:r w:rsidRPr="00E55CAD">
              <w:rPr>
                <w:color w:val="000000"/>
                <w:sz w:val="28"/>
                <w:szCs w:val="28"/>
                <w:shd w:val="clear" w:color="auto" w:fill="FFFFFF"/>
                <w:lang w:val="uk-UA"/>
              </w:rPr>
              <w:t>Звіт про доходи, витрати, фінансові результати та сукупний дохід це</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17.</w:t>
            </w:r>
          </w:p>
        </w:tc>
        <w:tc>
          <w:tcPr>
            <w:tcW w:w="4633" w:type="pct"/>
          </w:tcPr>
          <w:p w:rsidR="00E55CAD" w:rsidRPr="00E55CAD" w:rsidRDefault="00E55CAD" w:rsidP="00661969">
            <w:pPr>
              <w:tabs>
                <w:tab w:val="left" w:pos="6225"/>
              </w:tabs>
              <w:rPr>
                <w:sz w:val="28"/>
                <w:szCs w:val="28"/>
                <w:lang w:val="uk-UA"/>
              </w:rPr>
            </w:pPr>
            <w:r w:rsidRPr="00E55CAD">
              <w:rPr>
                <w:color w:val="000000"/>
                <w:sz w:val="28"/>
                <w:szCs w:val="28"/>
                <w:shd w:val="clear" w:color="auto" w:fill="FFFFFF"/>
                <w:lang w:val="uk-UA"/>
              </w:rPr>
              <w:t>Заборгованість підприємства, яка виникла внаслідок минулих подій і погашення якої в майбутньому, як очікується, призведе до зменшення ресурсів підприємства, що втілюють у собі економічні вигоди це</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18.</w:t>
            </w:r>
          </w:p>
        </w:tc>
        <w:tc>
          <w:tcPr>
            <w:tcW w:w="4633" w:type="pct"/>
          </w:tcPr>
          <w:p w:rsidR="00E55CAD" w:rsidRPr="00E55CAD" w:rsidRDefault="00E55CAD" w:rsidP="00661969">
            <w:pPr>
              <w:tabs>
                <w:tab w:val="left" w:pos="6225"/>
              </w:tabs>
              <w:rPr>
                <w:sz w:val="28"/>
                <w:szCs w:val="28"/>
                <w:lang w:val="uk-UA"/>
              </w:rPr>
            </w:pPr>
            <w:r w:rsidRPr="00E55CAD">
              <w:rPr>
                <w:color w:val="000000"/>
                <w:sz w:val="28"/>
                <w:szCs w:val="28"/>
                <w:shd w:val="clear" w:color="auto" w:fill="FFFFFF"/>
                <w:lang w:val="uk-UA"/>
              </w:rPr>
              <w:t>Фінансова звітність підприємства, яке здійснює контроль, та підприємств, які ним контролюються, як єдиної економічної одиниці це</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19.</w:t>
            </w:r>
          </w:p>
        </w:tc>
        <w:tc>
          <w:tcPr>
            <w:tcW w:w="4633" w:type="pct"/>
          </w:tcPr>
          <w:p w:rsidR="00E55CAD" w:rsidRPr="00E55CAD" w:rsidRDefault="00E55CAD" w:rsidP="00661969">
            <w:pPr>
              <w:rPr>
                <w:sz w:val="28"/>
                <w:szCs w:val="28"/>
                <w:lang w:val="uk-UA"/>
              </w:rPr>
            </w:pPr>
            <w:r w:rsidRPr="00E55CAD">
              <w:rPr>
                <w:color w:val="000000"/>
                <w:sz w:val="28"/>
                <w:szCs w:val="28"/>
                <w:shd w:val="clear" w:color="auto" w:fill="FFFFFF"/>
                <w:lang w:val="uk-UA"/>
              </w:rPr>
              <w:t>Звіт про фінансовий стан підприємства, який відображає на певну дату його активи, зобов’язання і власний капітал це</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20.</w:t>
            </w:r>
          </w:p>
        </w:tc>
        <w:tc>
          <w:tcPr>
            <w:tcW w:w="4633" w:type="pct"/>
          </w:tcPr>
          <w:p w:rsidR="00E55CAD" w:rsidRPr="00E55CAD" w:rsidRDefault="00E55CAD" w:rsidP="00661969">
            <w:pPr>
              <w:tabs>
                <w:tab w:val="left" w:pos="6225"/>
              </w:tabs>
              <w:jc w:val="both"/>
              <w:rPr>
                <w:sz w:val="28"/>
                <w:szCs w:val="28"/>
                <w:lang w:val="uk-UA"/>
              </w:rPr>
            </w:pPr>
            <w:r w:rsidRPr="00E55CAD">
              <w:rPr>
                <w:color w:val="000000"/>
                <w:sz w:val="28"/>
                <w:szCs w:val="28"/>
                <w:shd w:val="clear" w:color="auto" w:fill="FFFFFF"/>
                <w:lang w:val="uk-UA"/>
              </w:rPr>
              <w:t>У пояснювальній записці до фінансового плану та звіту про виконання показників фінансового плану зазначаються дані факторного аналізу як фактичних показників минулого року, так і запланованих показників, який має передбачати розрахунок внеску у фінансовий результат таких чинників:</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21.</w:t>
            </w:r>
          </w:p>
        </w:tc>
        <w:tc>
          <w:tcPr>
            <w:tcW w:w="4633" w:type="pct"/>
          </w:tcPr>
          <w:p w:rsidR="00E55CAD" w:rsidRPr="00E55CAD" w:rsidRDefault="00E55CAD" w:rsidP="00661969">
            <w:pPr>
              <w:widowControl w:val="0"/>
              <w:jc w:val="both"/>
              <w:rPr>
                <w:snapToGrid w:val="0"/>
                <w:sz w:val="28"/>
                <w:szCs w:val="28"/>
                <w:lang w:val="uk-UA"/>
              </w:rPr>
            </w:pPr>
            <w:r w:rsidRPr="00E55CAD">
              <w:rPr>
                <w:color w:val="000000"/>
                <w:sz w:val="28"/>
                <w:szCs w:val="28"/>
                <w:shd w:val="clear" w:color="auto" w:fill="FFFFFF"/>
                <w:lang w:val="uk-UA"/>
              </w:rPr>
              <w:t>У пояснювальній записці до фінансового плану та звіту про виконання показників фінансового плану зазначаються дані факторного аналізу як фактичних показників минулого року, так і запланованих показників, який має передбачати розрахунок внеску у фінансовий результат таких чинників:</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22.</w:t>
            </w:r>
          </w:p>
        </w:tc>
        <w:tc>
          <w:tcPr>
            <w:tcW w:w="4633" w:type="pct"/>
          </w:tcPr>
          <w:p w:rsidR="00E55CAD" w:rsidRPr="00E55CAD" w:rsidRDefault="00E55CAD" w:rsidP="00661969">
            <w:pPr>
              <w:tabs>
                <w:tab w:val="left" w:pos="6225"/>
              </w:tabs>
              <w:rPr>
                <w:sz w:val="28"/>
                <w:szCs w:val="28"/>
                <w:lang w:val="uk-UA"/>
              </w:rPr>
            </w:pPr>
            <w:r w:rsidRPr="00E55CAD">
              <w:rPr>
                <w:color w:val="000000"/>
                <w:sz w:val="28"/>
                <w:szCs w:val="28"/>
                <w:shd w:val="clear" w:color="auto" w:fill="FFFFFF"/>
                <w:lang w:val="uk-UA"/>
              </w:rPr>
              <w:t>У пояснювальній записці до фінансового плану та звіту про виконання показників фінансового плану зазначаються дані факторного аналізу як фактичних показників минулого року, так і запланованих показників, який має передбачати розрахунок внеску у фінансовий результат таких чинників:</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23.</w:t>
            </w:r>
          </w:p>
        </w:tc>
        <w:tc>
          <w:tcPr>
            <w:tcW w:w="4633" w:type="pct"/>
          </w:tcPr>
          <w:p w:rsidR="00E55CAD" w:rsidRPr="00E55CAD" w:rsidRDefault="00E55CAD" w:rsidP="00661969">
            <w:pPr>
              <w:jc w:val="both"/>
              <w:rPr>
                <w:sz w:val="28"/>
                <w:szCs w:val="28"/>
                <w:lang w:val="uk-UA"/>
              </w:rPr>
            </w:pPr>
            <w:r w:rsidRPr="00E55CAD">
              <w:rPr>
                <w:color w:val="000000"/>
                <w:sz w:val="28"/>
                <w:szCs w:val="28"/>
                <w:shd w:val="clear" w:color="auto" w:fill="FFFFFF"/>
                <w:lang w:val="uk-UA"/>
              </w:rPr>
              <w:t>У пояснювальній записці до фінансового плану та звіту про виконання показників фінансового плану зазначаються дані факторного аналізу як фактичних показників минулого року, так і запланованих показників, який має передбачати розрахунок внеску у фінансовий результат таких чинників:</w:t>
            </w:r>
          </w:p>
        </w:tc>
      </w:tr>
      <w:tr w:rsidR="00E55CAD" w:rsidRPr="00E55CAD" w:rsidTr="00E55CAD">
        <w:tc>
          <w:tcPr>
            <w:tcW w:w="367" w:type="pct"/>
          </w:tcPr>
          <w:p w:rsidR="00E55CAD" w:rsidRPr="00E55CAD" w:rsidRDefault="00E55CAD" w:rsidP="00661969">
            <w:pPr>
              <w:jc w:val="center"/>
              <w:rPr>
                <w:sz w:val="28"/>
                <w:szCs w:val="28"/>
                <w:highlight w:val="yellow"/>
                <w:lang w:val="uk-UA"/>
              </w:rPr>
            </w:pPr>
            <w:r w:rsidRPr="00E55CAD">
              <w:rPr>
                <w:sz w:val="28"/>
                <w:szCs w:val="28"/>
                <w:lang w:val="uk-UA"/>
              </w:rPr>
              <w:t>24.</w:t>
            </w:r>
          </w:p>
        </w:tc>
        <w:tc>
          <w:tcPr>
            <w:tcW w:w="4633" w:type="pct"/>
          </w:tcPr>
          <w:p w:rsidR="00E55CAD" w:rsidRPr="00E55CAD" w:rsidRDefault="00E55CAD" w:rsidP="00661969">
            <w:pPr>
              <w:jc w:val="both"/>
              <w:rPr>
                <w:sz w:val="28"/>
                <w:szCs w:val="28"/>
                <w:highlight w:val="yellow"/>
                <w:lang w:val="uk-UA"/>
              </w:rPr>
            </w:pPr>
            <w:r w:rsidRPr="00E55CAD">
              <w:rPr>
                <w:color w:val="000000"/>
                <w:sz w:val="28"/>
                <w:szCs w:val="28"/>
                <w:shd w:val="clear" w:color="auto" w:fill="FFFFFF"/>
                <w:lang w:val="uk-UA"/>
              </w:rPr>
              <w:t xml:space="preserve">У пояснювальній записці до фінансового плану та звіту про виконання показників фінансового плану зазначаються дані факторного аналізу як фактичних показників минулого року, так і запланованих показників, </w:t>
            </w:r>
            <w:r w:rsidRPr="00E55CAD">
              <w:rPr>
                <w:color w:val="000000"/>
                <w:sz w:val="28"/>
                <w:szCs w:val="28"/>
                <w:shd w:val="clear" w:color="auto" w:fill="FFFFFF"/>
                <w:lang w:val="uk-UA"/>
              </w:rPr>
              <w:lastRenderedPageBreak/>
              <w:t>який має передбачати розрахунок внеску у фінансовий результат таких чинників:</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lastRenderedPageBreak/>
              <w:t>25.</w:t>
            </w:r>
          </w:p>
        </w:tc>
        <w:tc>
          <w:tcPr>
            <w:tcW w:w="4633" w:type="pct"/>
          </w:tcPr>
          <w:p w:rsidR="00E55CAD" w:rsidRPr="00E55CAD" w:rsidRDefault="00E55CAD" w:rsidP="00661969">
            <w:pPr>
              <w:jc w:val="both"/>
              <w:rPr>
                <w:sz w:val="28"/>
                <w:szCs w:val="28"/>
                <w:lang w:val="uk-UA"/>
              </w:rPr>
            </w:pPr>
            <w:r w:rsidRPr="00E55CAD">
              <w:rPr>
                <w:color w:val="000000"/>
                <w:sz w:val="28"/>
                <w:szCs w:val="28"/>
                <w:shd w:val="clear" w:color="auto" w:fill="FFFFFF"/>
                <w:lang w:val="uk-UA"/>
              </w:rPr>
              <w:t>У пояснювальній записці до фінансового плану та звіту про виконання показників фінансового плану зазначаються дані факторного аналізу як фактичних показників минулого року, так і запланованих показників, який має передбачати розрахунок внеску у фінансовий результат таких чинників:</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26.</w:t>
            </w:r>
          </w:p>
        </w:tc>
        <w:tc>
          <w:tcPr>
            <w:tcW w:w="4633" w:type="pct"/>
          </w:tcPr>
          <w:p w:rsidR="00E55CAD" w:rsidRPr="00E55CAD" w:rsidRDefault="00E55CAD" w:rsidP="00661969">
            <w:pPr>
              <w:jc w:val="both"/>
              <w:rPr>
                <w:sz w:val="28"/>
                <w:szCs w:val="28"/>
                <w:lang w:val="uk-UA"/>
              </w:rPr>
            </w:pPr>
            <w:r w:rsidRPr="00E55CAD">
              <w:rPr>
                <w:color w:val="000000"/>
                <w:sz w:val="28"/>
                <w:szCs w:val="28"/>
                <w:shd w:val="clear" w:color="auto" w:fill="FFFFFF"/>
                <w:lang w:val="uk-UA"/>
              </w:rPr>
              <w:t>У пояснювальній записці до фінансового плану та звіту про виконання показників фінансового плану зазначаються дані факторного аналізу як фактичних показників минулого року, так і запланованих показників, який має передбачати розрахунок внеску у фінансовий результат таких чинників:</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27.</w:t>
            </w:r>
          </w:p>
        </w:tc>
        <w:tc>
          <w:tcPr>
            <w:tcW w:w="4633" w:type="pct"/>
          </w:tcPr>
          <w:p w:rsidR="00E55CAD" w:rsidRPr="00E55CAD" w:rsidRDefault="00E55CAD" w:rsidP="00661969">
            <w:pPr>
              <w:jc w:val="both"/>
              <w:rPr>
                <w:sz w:val="28"/>
                <w:szCs w:val="28"/>
                <w:lang w:val="uk-UA"/>
              </w:rPr>
            </w:pPr>
            <w:r w:rsidRPr="00E55CAD">
              <w:rPr>
                <w:color w:val="000000"/>
                <w:sz w:val="28"/>
                <w:szCs w:val="28"/>
                <w:shd w:val="clear" w:color="auto" w:fill="FFFFFF"/>
                <w:lang w:val="uk-UA"/>
              </w:rPr>
              <w:t>У пояснювальній записці до фінансового плану та звіту про виконання показників фінансового плану зазначаються дані факторного аналізу як фактичних показників минулого року, так і запланованих показників, який має передбачати розрахунок внеску у фінансовий результат таких чинників:</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28.</w:t>
            </w:r>
          </w:p>
        </w:tc>
        <w:tc>
          <w:tcPr>
            <w:tcW w:w="4633" w:type="pct"/>
          </w:tcPr>
          <w:p w:rsidR="00E55CAD" w:rsidRPr="00E55CAD" w:rsidRDefault="00E55CAD" w:rsidP="00661969">
            <w:pPr>
              <w:rPr>
                <w:sz w:val="28"/>
                <w:szCs w:val="28"/>
                <w:lang w:val="uk-UA"/>
              </w:rPr>
            </w:pPr>
            <w:r w:rsidRPr="00E55CAD">
              <w:rPr>
                <w:color w:val="000000"/>
                <w:sz w:val="28"/>
                <w:szCs w:val="28"/>
                <w:shd w:val="clear" w:color="auto" w:fill="FFFFFF"/>
                <w:lang w:val="uk-UA"/>
              </w:rPr>
              <w:t>У пояснювальній записці до фінансового плану та звіту про виконання показників фінансового плану зазначаються дані факторного аналізу як фактичних показників минулого року, так і запланованих показників, який має передбачати розрахунок внеску у фінансовий результат таких чинників:</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29.</w:t>
            </w:r>
          </w:p>
        </w:tc>
        <w:tc>
          <w:tcPr>
            <w:tcW w:w="4633" w:type="pct"/>
          </w:tcPr>
          <w:p w:rsidR="00E55CAD" w:rsidRPr="00E55CAD" w:rsidRDefault="00E55CAD" w:rsidP="00661969">
            <w:pPr>
              <w:rPr>
                <w:sz w:val="28"/>
                <w:szCs w:val="28"/>
                <w:lang w:val="uk-UA"/>
              </w:rPr>
            </w:pPr>
            <w:r w:rsidRPr="00E55CAD">
              <w:rPr>
                <w:color w:val="000000"/>
                <w:sz w:val="28"/>
                <w:szCs w:val="28"/>
                <w:shd w:val="clear" w:color="auto" w:fill="FFFFFF"/>
                <w:lang w:val="uk-UA"/>
              </w:rPr>
              <w:t>У пояснювальній записці до фінансового плану та звіту про виконання показників фінансового плану зазначаються дані факторного аналізу як фактичних показників минулого року, так і запланованих показників, який має передбачати розрахунок внеску у фінансовий результат таких чинників:</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30.</w:t>
            </w:r>
          </w:p>
        </w:tc>
        <w:tc>
          <w:tcPr>
            <w:tcW w:w="4633" w:type="pct"/>
          </w:tcPr>
          <w:p w:rsidR="00E55CAD" w:rsidRPr="00E55CAD" w:rsidRDefault="00E55CAD" w:rsidP="00661969">
            <w:pPr>
              <w:rPr>
                <w:sz w:val="28"/>
                <w:szCs w:val="28"/>
                <w:lang w:val="uk-UA"/>
              </w:rPr>
            </w:pPr>
            <w:r w:rsidRPr="00E55CAD">
              <w:rPr>
                <w:color w:val="000000"/>
                <w:sz w:val="28"/>
                <w:szCs w:val="28"/>
                <w:shd w:val="clear" w:color="auto" w:fill="FFFFFF"/>
                <w:lang w:val="uk-UA"/>
              </w:rPr>
              <w:t>У пояснювальній записці до фінансового плану та звіту про виконання показників фінансового плану зазначаються дані факторного аналізу як фактичних показників минулого року, так і запланованих показників, який має передбачати розрахунок внеску у фінансовий результат таких чинників:</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31.</w:t>
            </w:r>
          </w:p>
        </w:tc>
        <w:tc>
          <w:tcPr>
            <w:tcW w:w="4633" w:type="pct"/>
          </w:tcPr>
          <w:p w:rsidR="00E55CAD" w:rsidRPr="00E55CAD" w:rsidRDefault="00E55CAD" w:rsidP="00661969">
            <w:pPr>
              <w:rPr>
                <w:sz w:val="28"/>
                <w:szCs w:val="28"/>
                <w:lang w:val="uk-UA"/>
              </w:rPr>
            </w:pPr>
            <w:r w:rsidRPr="00E55CAD">
              <w:rPr>
                <w:color w:val="000000"/>
                <w:sz w:val="28"/>
                <w:szCs w:val="28"/>
                <w:shd w:val="clear" w:color="auto" w:fill="FFFFFF"/>
                <w:lang w:val="uk-UA"/>
              </w:rPr>
              <w:t>У пояснювальній записці до фінансового плану та звіту про виконання показників фінансового плану зазначаються дані факторного аналізу як фактичних показників минулого року, так і запланованих показників, який має передбачати розрахунок внеску у фінансовий результат таких чинників:</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32.</w:t>
            </w:r>
          </w:p>
        </w:tc>
        <w:tc>
          <w:tcPr>
            <w:tcW w:w="4633" w:type="pct"/>
          </w:tcPr>
          <w:p w:rsidR="00E55CAD" w:rsidRPr="00E55CAD" w:rsidRDefault="00E55CAD" w:rsidP="00661969">
            <w:pPr>
              <w:widowControl w:val="0"/>
              <w:jc w:val="both"/>
              <w:rPr>
                <w:snapToGrid w:val="0"/>
                <w:sz w:val="28"/>
                <w:szCs w:val="28"/>
                <w:lang w:val="uk-UA"/>
              </w:rPr>
            </w:pPr>
            <w:r w:rsidRPr="00E55CAD">
              <w:rPr>
                <w:color w:val="000000"/>
                <w:sz w:val="28"/>
                <w:szCs w:val="28"/>
                <w:shd w:val="clear" w:color="auto" w:fill="FFFFFF"/>
                <w:lang w:val="uk-UA"/>
              </w:rPr>
              <w:t>У пояснювальній записці до фінансового плану та звіту про виконання показників фінансового плану зазначаються дані факторного аналізу як фактичних показників минулого року, так і запланованих показників, який має передбачати розрахунок внеску у фінансовий результат таких чинників:</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33.</w:t>
            </w:r>
          </w:p>
        </w:tc>
        <w:tc>
          <w:tcPr>
            <w:tcW w:w="4633" w:type="pct"/>
          </w:tcPr>
          <w:p w:rsidR="00E55CAD" w:rsidRPr="00E55CAD" w:rsidRDefault="00E55CAD" w:rsidP="00661969">
            <w:pPr>
              <w:jc w:val="both"/>
              <w:rPr>
                <w:sz w:val="28"/>
                <w:szCs w:val="28"/>
                <w:lang w:val="uk-UA"/>
              </w:rPr>
            </w:pPr>
            <w:r w:rsidRPr="00E55CAD">
              <w:rPr>
                <w:color w:val="000000"/>
                <w:sz w:val="28"/>
                <w:szCs w:val="28"/>
                <w:shd w:val="clear" w:color="auto" w:fill="FFFFFF"/>
                <w:lang w:val="uk-UA"/>
              </w:rPr>
              <w:t xml:space="preserve">У пояснювальній записці до фінансового плану та звіту про виконання показників фінансового плану зазначаються дані факторного аналізу як </w:t>
            </w:r>
            <w:r w:rsidRPr="00E55CAD">
              <w:rPr>
                <w:color w:val="000000"/>
                <w:sz w:val="28"/>
                <w:szCs w:val="28"/>
                <w:shd w:val="clear" w:color="auto" w:fill="FFFFFF"/>
                <w:lang w:val="uk-UA"/>
              </w:rPr>
              <w:lastRenderedPageBreak/>
              <w:t>фактичних показників минулого року, так і запланованих показників, який має передбачати розрахунок внеску у фінансовий результат таких чинників:</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lastRenderedPageBreak/>
              <w:t>34.</w:t>
            </w:r>
          </w:p>
        </w:tc>
        <w:tc>
          <w:tcPr>
            <w:tcW w:w="4633" w:type="pct"/>
          </w:tcPr>
          <w:p w:rsidR="00E55CAD" w:rsidRPr="00E55CAD" w:rsidRDefault="00E55CAD" w:rsidP="00661969">
            <w:pPr>
              <w:tabs>
                <w:tab w:val="left" w:pos="6225"/>
              </w:tabs>
              <w:rPr>
                <w:sz w:val="28"/>
                <w:szCs w:val="28"/>
                <w:lang w:val="uk-UA"/>
              </w:rPr>
            </w:pPr>
            <w:r w:rsidRPr="00E55CAD">
              <w:rPr>
                <w:color w:val="000000"/>
                <w:sz w:val="28"/>
                <w:szCs w:val="28"/>
                <w:shd w:val="clear" w:color="auto" w:fill="FFFFFF"/>
                <w:lang w:val="uk-UA"/>
              </w:rPr>
              <w:t>У пояснювальній записці до фінансового плану та звіту про виконання показників фінансового плану зазначаються дані факторного аналізу як фактичних показників минулого року, так і запланованих показників, який має передбачати розрахунок внеску у фінансовий результат таких чинників:</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35.</w:t>
            </w:r>
          </w:p>
        </w:tc>
        <w:tc>
          <w:tcPr>
            <w:tcW w:w="4633" w:type="pct"/>
          </w:tcPr>
          <w:p w:rsidR="00E55CAD" w:rsidRPr="00E55CAD" w:rsidRDefault="00E55CAD" w:rsidP="00661969">
            <w:pPr>
              <w:jc w:val="both"/>
              <w:rPr>
                <w:sz w:val="28"/>
                <w:szCs w:val="28"/>
                <w:lang w:val="uk-UA"/>
              </w:rPr>
            </w:pPr>
            <w:r w:rsidRPr="00E55CAD">
              <w:rPr>
                <w:color w:val="000000"/>
                <w:sz w:val="28"/>
                <w:szCs w:val="28"/>
                <w:shd w:val="clear" w:color="auto" w:fill="FFFFFF"/>
                <w:lang w:val="uk-UA"/>
              </w:rPr>
              <w:t>У пояснювальній записці до фінансового плану та звіту про виконання показників фінансового плану зазначаються дані факторного аналізу як фактичних показників минулого року, так і запланованих показників, який має передбачати розрахунок внеску у фінансовий результат таких чинників:</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36.</w:t>
            </w:r>
          </w:p>
        </w:tc>
        <w:tc>
          <w:tcPr>
            <w:tcW w:w="4633" w:type="pct"/>
          </w:tcPr>
          <w:p w:rsidR="00E55CAD" w:rsidRPr="00E55CAD" w:rsidRDefault="00E55CAD" w:rsidP="00661969">
            <w:pPr>
              <w:jc w:val="both"/>
              <w:rPr>
                <w:sz w:val="28"/>
                <w:szCs w:val="28"/>
                <w:lang w:val="uk-UA"/>
              </w:rPr>
            </w:pPr>
            <w:r w:rsidRPr="00E55CAD">
              <w:rPr>
                <w:color w:val="000000"/>
                <w:sz w:val="28"/>
                <w:szCs w:val="28"/>
                <w:shd w:val="clear" w:color="auto" w:fill="FFFFFF"/>
                <w:lang w:val="uk-UA"/>
              </w:rPr>
              <w:t>При складанні фінансового плану в бюджетній сфері обов’язково надається план заходів з підвищення операційної ефективності підприємства строком на три роки, який містить заходи:</w:t>
            </w:r>
          </w:p>
        </w:tc>
      </w:tr>
      <w:tr w:rsidR="00E55CAD" w:rsidRPr="00E55CAD" w:rsidTr="00E55CAD">
        <w:trPr>
          <w:trHeight w:val="885"/>
        </w:trPr>
        <w:tc>
          <w:tcPr>
            <w:tcW w:w="367" w:type="pct"/>
          </w:tcPr>
          <w:p w:rsidR="00E55CAD" w:rsidRPr="00E55CAD" w:rsidRDefault="00E55CAD" w:rsidP="00661969">
            <w:pPr>
              <w:jc w:val="center"/>
              <w:rPr>
                <w:sz w:val="28"/>
                <w:szCs w:val="28"/>
                <w:lang w:val="uk-UA"/>
              </w:rPr>
            </w:pPr>
            <w:r w:rsidRPr="00E55CAD">
              <w:rPr>
                <w:sz w:val="28"/>
                <w:szCs w:val="28"/>
                <w:lang w:val="uk-UA"/>
              </w:rPr>
              <w:t>37.</w:t>
            </w:r>
          </w:p>
        </w:tc>
        <w:tc>
          <w:tcPr>
            <w:tcW w:w="4633" w:type="pct"/>
          </w:tcPr>
          <w:p w:rsidR="00E55CAD" w:rsidRPr="00E55CAD" w:rsidRDefault="00E55CAD" w:rsidP="00661969">
            <w:pPr>
              <w:jc w:val="both"/>
              <w:rPr>
                <w:sz w:val="28"/>
                <w:szCs w:val="28"/>
                <w:lang w:val="uk-UA"/>
              </w:rPr>
            </w:pPr>
            <w:r w:rsidRPr="00E55CAD">
              <w:rPr>
                <w:color w:val="000000"/>
                <w:sz w:val="28"/>
                <w:szCs w:val="28"/>
                <w:shd w:val="clear" w:color="auto" w:fill="FFFFFF"/>
                <w:lang w:val="uk-UA"/>
              </w:rPr>
              <w:t xml:space="preserve">Інформація про заплановані капітальні інвестиції з розшифруванням їх джерел, у тому числі заходів, спрямованих на підвищення технічного рівня, модернізацію, реконструкцію підприємства міститься </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38.</w:t>
            </w:r>
          </w:p>
        </w:tc>
        <w:tc>
          <w:tcPr>
            <w:tcW w:w="4633" w:type="pct"/>
          </w:tcPr>
          <w:p w:rsidR="00E55CAD" w:rsidRPr="00E55CAD" w:rsidRDefault="00E55CAD" w:rsidP="00661969">
            <w:pPr>
              <w:jc w:val="both"/>
              <w:rPr>
                <w:sz w:val="28"/>
                <w:szCs w:val="28"/>
                <w:lang w:val="uk-UA"/>
              </w:rPr>
            </w:pPr>
            <w:r w:rsidRPr="00E55CAD">
              <w:rPr>
                <w:color w:val="000000"/>
                <w:sz w:val="28"/>
                <w:szCs w:val="28"/>
                <w:shd w:val="clear" w:color="auto" w:fill="FFFFFF"/>
                <w:lang w:val="uk-UA"/>
              </w:rPr>
              <w:t>Розрахунки очікуваного економічного ефекту від здійснення капітальнитих видатків містяться</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39.</w:t>
            </w:r>
          </w:p>
        </w:tc>
        <w:tc>
          <w:tcPr>
            <w:tcW w:w="4633" w:type="pct"/>
          </w:tcPr>
          <w:p w:rsidR="00E55CAD" w:rsidRPr="00E55CAD" w:rsidRDefault="00E55CAD" w:rsidP="00661969">
            <w:pPr>
              <w:jc w:val="both"/>
              <w:rPr>
                <w:sz w:val="28"/>
                <w:szCs w:val="28"/>
                <w:lang w:val="uk-UA"/>
              </w:rPr>
            </w:pPr>
            <w:r w:rsidRPr="00E55CAD">
              <w:rPr>
                <w:color w:val="000000"/>
                <w:sz w:val="28"/>
                <w:szCs w:val="28"/>
                <w:shd w:val="clear" w:color="auto" w:fill="FFFFFF"/>
                <w:lang w:val="uk-UA"/>
              </w:rPr>
              <w:t>Термін окупності проектів міститься</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40.</w:t>
            </w:r>
          </w:p>
        </w:tc>
        <w:tc>
          <w:tcPr>
            <w:tcW w:w="4633" w:type="pct"/>
          </w:tcPr>
          <w:p w:rsidR="00E55CAD" w:rsidRPr="00E55CAD" w:rsidRDefault="00E55CAD" w:rsidP="00661969">
            <w:pPr>
              <w:jc w:val="both"/>
              <w:rPr>
                <w:sz w:val="28"/>
                <w:szCs w:val="28"/>
                <w:lang w:val="uk-UA"/>
              </w:rPr>
            </w:pPr>
            <w:r w:rsidRPr="00E55CAD">
              <w:rPr>
                <w:color w:val="000000"/>
                <w:sz w:val="28"/>
                <w:szCs w:val="28"/>
                <w:shd w:val="clear" w:color="auto" w:fill="FFFFFF"/>
                <w:lang w:val="uk-UA"/>
              </w:rPr>
              <w:t>Коефіцієнта прибутковості міститься</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41.</w:t>
            </w:r>
          </w:p>
        </w:tc>
        <w:tc>
          <w:tcPr>
            <w:tcW w:w="4633" w:type="pct"/>
          </w:tcPr>
          <w:p w:rsidR="00E55CAD" w:rsidRPr="00E55CAD" w:rsidRDefault="00E55CAD" w:rsidP="00661969">
            <w:pPr>
              <w:jc w:val="both"/>
              <w:rPr>
                <w:sz w:val="28"/>
                <w:szCs w:val="28"/>
                <w:lang w:val="uk-UA"/>
              </w:rPr>
            </w:pPr>
            <w:r w:rsidRPr="00E55CAD">
              <w:rPr>
                <w:color w:val="000000"/>
                <w:sz w:val="28"/>
                <w:szCs w:val="28"/>
                <w:shd w:val="clear" w:color="auto" w:fill="FFFFFF"/>
                <w:lang w:val="uk-UA"/>
              </w:rPr>
              <w:t>Внутрішня норми прибутковості міститься</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42.</w:t>
            </w:r>
          </w:p>
        </w:tc>
        <w:tc>
          <w:tcPr>
            <w:tcW w:w="4633" w:type="pct"/>
          </w:tcPr>
          <w:p w:rsidR="00E55CAD" w:rsidRPr="00E55CAD" w:rsidRDefault="00E55CAD" w:rsidP="00661969">
            <w:pPr>
              <w:shd w:val="clear" w:color="auto" w:fill="FAFAFA"/>
              <w:rPr>
                <w:bCs/>
                <w:iCs/>
                <w:sz w:val="28"/>
                <w:szCs w:val="28"/>
                <w:lang w:val="uk-UA"/>
              </w:rPr>
            </w:pPr>
            <w:r>
              <w:rPr>
                <w:color w:val="000000"/>
                <w:sz w:val="28"/>
                <w:szCs w:val="28"/>
                <w:shd w:val="clear" w:color="auto" w:fill="FFFFFF"/>
                <w:lang w:val="uk-UA"/>
              </w:rPr>
              <w:t xml:space="preserve">Фондовіддача проекту </w:t>
            </w:r>
            <w:r w:rsidRPr="00E55CAD">
              <w:rPr>
                <w:color w:val="000000"/>
                <w:sz w:val="28"/>
                <w:szCs w:val="28"/>
                <w:shd w:val="clear" w:color="auto" w:fill="FFFFFF"/>
                <w:lang w:val="uk-UA"/>
              </w:rPr>
              <w:t>міститься</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43.</w:t>
            </w:r>
          </w:p>
        </w:tc>
        <w:tc>
          <w:tcPr>
            <w:tcW w:w="4633" w:type="pct"/>
          </w:tcPr>
          <w:p w:rsidR="00E55CAD" w:rsidRPr="00E55CAD" w:rsidRDefault="00E55CAD" w:rsidP="00661969">
            <w:pPr>
              <w:shd w:val="clear" w:color="auto" w:fill="FAFAFA"/>
              <w:rPr>
                <w:sz w:val="28"/>
                <w:szCs w:val="28"/>
                <w:lang w:val="uk-UA"/>
              </w:rPr>
            </w:pPr>
            <w:r w:rsidRPr="00E55CAD">
              <w:rPr>
                <w:color w:val="000000"/>
                <w:sz w:val="28"/>
                <w:szCs w:val="28"/>
                <w:shd w:val="clear" w:color="auto" w:fill="FFFFFF"/>
                <w:lang w:val="uk-UA"/>
              </w:rPr>
              <w:t>У розділі 9  Кредитна політика підприємства пояснювальної записки міститься інформація щодо</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44.</w:t>
            </w:r>
          </w:p>
        </w:tc>
        <w:tc>
          <w:tcPr>
            <w:tcW w:w="4633" w:type="pct"/>
          </w:tcPr>
          <w:p w:rsidR="00E55CAD" w:rsidRPr="00E55CAD" w:rsidRDefault="00E55CAD" w:rsidP="00661969">
            <w:pPr>
              <w:shd w:val="clear" w:color="auto" w:fill="FFFFFF"/>
              <w:jc w:val="both"/>
              <w:rPr>
                <w:b/>
                <w:iCs/>
                <w:sz w:val="28"/>
                <w:szCs w:val="28"/>
                <w:lang w:val="uk-UA"/>
              </w:rPr>
            </w:pPr>
            <w:r w:rsidRPr="00E55CAD">
              <w:rPr>
                <w:color w:val="000000"/>
                <w:sz w:val="28"/>
                <w:szCs w:val="28"/>
                <w:shd w:val="clear" w:color="auto" w:fill="FFFFFF"/>
                <w:lang w:val="uk-UA"/>
              </w:rPr>
              <w:t>У розділі 9 Кредитна політика підприємства пояснювальної записки міститься інформація щодо</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45.</w:t>
            </w:r>
          </w:p>
        </w:tc>
        <w:tc>
          <w:tcPr>
            <w:tcW w:w="4633" w:type="pct"/>
          </w:tcPr>
          <w:p w:rsidR="00E55CAD" w:rsidRPr="00E55CAD" w:rsidRDefault="00E55CAD" w:rsidP="00661969">
            <w:pPr>
              <w:shd w:val="clear" w:color="auto" w:fill="FFFFFF"/>
              <w:rPr>
                <w:sz w:val="28"/>
                <w:szCs w:val="28"/>
                <w:lang w:val="uk-UA"/>
              </w:rPr>
            </w:pPr>
            <w:r w:rsidRPr="00E55CAD">
              <w:rPr>
                <w:color w:val="000000"/>
                <w:sz w:val="28"/>
                <w:szCs w:val="28"/>
                <w:shd w:val="clear" w:color="auto" w:fill="FFFFFF"/>
                <w:lang w:val="uk-UA"/>
              </w:rPr>
              <w:t xml:space="preserve">Рекомендації щодо складання фінансового плану використовується  державними комерційними та казенними підприємства, господарського товариства, у статутному капіталі якого  державі належить більше </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46.</w:t>
            </w:r>
          </w:p>
        </w:tc>
        <w:tc>
          <w:tcPr>
            <w:tcW w:w="4633" w:type="pct"/>
          </w:tcPr>
          <w:p w:rsidR="00E55CAD" w:rsidRPr="00E55CAD" w:rsidRDefault="00E55CAD" w:rsidP="00661969">
            <w:pPr>
              <w:tabs>
                <w:tab w:val="left" w:pos="6225"/>
              </w:tabs>
              <w:rPr>
                <w:sz w:val="28"/>
                <w:szCs w:val="28"/>
                <w:lang w:val="uk-UA"/>
              </w:rPr>
            </w:pPr>
            <w:r w:rsidRPr="00E55CAD">
              <w:rPr>
                <w:color w:val="000000"/>
                <w:sz w:val="28"/>
                <w:szCs w:val="28"/>
                <w:shd w:val="clear" w:color="auto" w:fill="FFFFFF"/>
                <w:lang w:val="uk-UA"/>
              </w:rPr>
              <w:t>Фінансовий план / звіт про виконання фінансового плану підприємства (додатки 1 і 3 до Порядку) складаються на методологічних засадах</w:t>
            </w:r>
          </w:p>
        </w:tc>
      </w:tr>
      <w:tr w:rsidR="00E55CAD" w:rsidRPr="00E55CAD" w:rsidTr="00E55CAD">
        <w:trPr>
          <w:trHeight w:val="245"/>
        </w:trPr>
        <w:tc>
          <w:tcPr>
            <w:tcW w:w="367" w:type="pct"/>
          </w:tcPr>
          <w:p w:rsidR="00E55CAD" w:rsidRPr="00E55CAD" w:rsidRDefault="00E55CAD" w:rsidP="00661969">
            <w:pPr>
              <w:jc w:val="center"/>
              <w:rPr>
                <w:sz w:val="28"/>
                <w:szCs w:val="28"/>
                <w:lang w:val="uk-UA"/>
              </w:rPr>
            </w:pPr>
            <w:r w:rsidRPr="00E55CAD">
              <w:rPr>
                <w:sz w:val="28"/>
                <w:szCs w:val="28"/>
                <w:lang w:val="uk-UA"/>
              </w:rPr>
              <w:t>47.</w:t>
            </w:r>
          </w:p>
        </w:tc>
        <w:tc>
          <w:tcPr>
            <w:tcW w:w="4633" w:type="pct"/>
          </w:tcPr>
          <w:p w:rsidR="00E55CAD" w:rsidRPr="00E55CAD" w:rsidRDefault="00E55CAD" w:rsidP="00661969">
            <w:pPr>
              <w:tabs>
                <w:tab w:val="left" w:pos="6225"/>
              </w:tabs>
              <w:rPr>
                <w:sz w:val="28"/>
                <w:szCs w:val="28"/>
                <w:lang w:val="uk-UA"/>
              </w:rPr>
            </w:pPr>
            <w:r w:rsidRPr="00E55CAD">
              <w:rPr>
                <w:bCs/>
                <w:sz w:val="28"/>
                <w:szCs w:val="28"/>
                <w:lang w:val="uk-UA"/>
              </w:rPr>
              <w:t>В розрахунку показника EBITDA використовуються</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48.</w:t>
            </w:r>
          </w:p>
        </w:tc>
        <w:tc>
          <w:tcPr>
            <w:tcW w:w="4633" w:type="pct"/>
          </w:tcPr>
          <w:p w:rsidR="00E55CAD" w:rsidRPr="00E55CAD" w:rsidRDefault="00E55CAD" w:rsidP="00661969">
            <w:pPr>
              <w:tabs>
                <w:tab w:val="left" w:pos="6225"/>
              </w:tabs>
              <w:rPr>
                <w:sz w:val="28"/>
                <w:szCs w:val="28"/>
                <w:lang w:val="uk-UA"/>
              </w:rPr>
            </w:pPr>
            <w:r w:rsidRPr="00E55CAD">
              <w:rPr>
                <w:bCs/>
                <w:sz w:val="28"/>
                <w:szCs w:val="28"/>
                <w:lang w:val="uk-UA"/>
              </w:rPr>
              <w:t>В розрахунку показника EBITDA використовуються</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49.</w:t>
            </w:r>
          </w:p>
        </w:tc>
        <w:tc>
          <w:tcPr>
            <w:tcW w:w="4633" w:type="pct"/>
          </w:tcPr>
          <w:p w:rsidR="00E55CAD" w:rsidRPr="00E55CAD" w:rsidRDefault="00E55CAD" w:rsidP="00661969">
            <w:pPr>
              <w:jc w:val="both"/>
              <w:rPr>
                <w:sz w:val="28"/>
                <w:szCs w:val="28"/>
                <w:lang w:val="uk-UA"/>
              </w:rPr>
            </w:pPr>
            <w:r w:rsidRPr="00E55CAD">
              <w:rPr>
                <w:bCs/>
                <w:sz w:val="28"/>
                <w:szCs w:val="28"/>
                <w:lang w:val="uk-UA"/>
              </w:rPr>
              <w:t>В розрахунку показника EBITDA використовуються</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50.</w:t>
            </w:r>
          </w:p>
        </w:tc>
        <w:tc>
          <w:tcPr>
            <w:tcW w:w="4633" w:type="pct"/>
          </w:tcPr>
          <w:p w:rsidR="00E55CAD" w:rsidRPr="00E55CAD" w:rsidRDefault="00E55CAD" w:rsidP="00661969">
            <w:pPr>
              <w:tabs>
                <w:tab w:val="left" w:pos="6225"/>
              </w:tabs>
              <w:rPr>
                <w:sz w:val="28"/>
                <w:szCs w:val="28"/>
                <w:lang w:val="uk-UA"/>
              </w:rPr>
            </w:pPr>
            <w:r w:rsidRPr="00E55CAD">
              <w:rPr>
                <w:bCs/>
                <w:sz w:val="28"/>
                <w:szCs w:val="28"/>
                <w:lang w:val="uk-UA"/>
              </w:rPr>
              <w:t>В розрахунку показника EBITDA використовуються</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51.</w:t>
            </w:r>
          </w:p>
        </w:tc>
        <w:tc>
          <w:tcPr>
            <w:tcW w:w="4633" w:type="pct"/>
          </w:tcPr>
          <w:p w:rsidR="00E55CAD" w:rsidRPr="00E55CAD" w:rsidRDefault="00E55CAD" w:rsidP="00661969">
            <w:pPr>
              <w:tabs>
                <w:tab w:val="left" w:pos="6225"/>
              </w:tabs>
              <w:rPr>
                <w:sz w:val="28"/>
                <w:szCs w:val="28"/>
                <w:lang w:val="uk-UA"/>
              </w:rPr>
            </w:pPr>
            <w:r w:rsidRPr="00E55CAD">
              <w:rPr>
                <w:bCs/>
                <w:sz w:val="28"/>
                <w:szCs w:val="28"/>
                <w:lang w:val="uk-UA"/>
              </w:rPr>
              <w:t>В розрахунку показника EBITDA використовуються</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52.</w:t>
            </w:r>
          </w:p>
        </w:tc>
        <w:tc>
          <w:tcPr>
            <w:tcW w:w="4633" w:type="pct"/>
          </w:tcPr>
          <w:p w:rsidR="00E55CAD" w:rsidRPr="00E55CAD" w:rsidRDefault="00E55CAD" w:rsidP="00661969">
            <w:pPr>
              <w:tabs>
                <w:tab w:val="left" w:pos="6225"/>
              </w:tabs>
              <w:rPr>
                <w:sz w:val="28"/>
                <w:szCs w:val="28"/>
                <w:lang w:val="uk-UA"/>
              </w:rPr>
            </w:pPr>
            <w:r w:rsidRPr="00E55CAD">
              <w:rPr>
                <w:rFonts w:eastAsia="Calibri"/>
                <w:sz w:val="28"/>
                <w:szCs w:val="28"/>
                <w:shd w:val="clear" w:color="auto" w:fill="FFFFFF"/>
                <w:lang w:val="uk-UA"/>
              </w:rPr>
              <w:t>Звіт про виконання фінансового плану державного підприємства містить наступні показники коефіцієнтного аналізу</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53.</w:t>
            </w:r>
          </w:p>
        </w:tc>
        <w:tc>
          <w:tcPr>
            <w:tcW w:w="4633" w:type="pct"/>
          </w:tcPr>
          <w:p w:rsidR="00E55CAD" w:rsidRPr="00E55CAD" w:rsidRDefault="00E55CAD" w:rsidP="00661969">
            <w:pPr>
              <w:tabs>
                <w:tab w:val="left" w:pos="6225"/>
              </w:tabs>
              <w:rPr>
                <w:sz w:val="28"/>
                <w:szCs w:val="28"/>
                <w:lang w:val="uk-UA"/>
              </w:rPr>
            </w:pPr>
            <w:r w:rsidRPr="00E55CAD">
              <w:rPr>
                <w:rFonts w:eastAsia="Calibri"/>
                <w:sz w:val="28"/>
                <w:szCs w:val="28"/>
                <w:shd w:val="clear" w:color="auto" w:fill="FFFFFF"/>
                <w:lang w:val="uk-UA"/>
              </w:rPr>
              <w:t>Звіт про виконання фінансового плану державного підприємства містить наступні показники коефіцієнтного аналізу</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54.</w:t>
            </w:r>
          </w:p>
        </w:tc>
        <w:tc>
          <w:tcPr>
            <w:tcW w:w="4633" w:type="pct"/>
          </w:tcPr>
          <w:p w:rsidR="00E55CAD" w:rsidRPr="00E55CAD" w:rsidRDefault="00E55CAD" w:rsidP="00661969">
            <w:pPr>
              <w:jc w:val="both"/>
              <w:rPr>
                <w:sz w:val="28"/>
                <w:szCs w:val="28"/>
                <w:lang w:val="uk-UA"/>
              </w:rPr>
            </w:pPr>
            <w:r w:rsidRPr="00E55CAD">
              <w:rPr>
                <w:rFonts w:eastAsia="Calibri"/>
                <w:sz w:val="28"/>
                <w:szCs w:val="28"/>
                <w:shd w:val="clear" w:color="auto" w:fill="FFFFFF"/>
                <w:lang w:val="uk-UA"/>
              </w:rPr>
              <w:t xml:space="preserve">Звіт про виконання фінансового плану державного підприємства містить </w:t>
            </w:r>
            <w:r w:rsidRPr="00E55CAD">
              <w:rPr>
                <w:rFonts w:eastAsia="Calibri"/>
                <w:sz w:val="28"/>
                <w:szCs w:val="28"/>
                <w:shd w:val="clear" w:color="auto" w:fill="FFFFFF"/>
                <w:lang w:val="uk-UA"/>
              </w:rPr>
              <w:lastRenderedPageBreak/>
              <w:t>наступні показники коефіцієнтного аналізу</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lastRenderedPageBreak/>
              <w:t>55.</w:t>
            </w:r>
          </w:p>
        </w:tc>
        <w:tc>
          <w:tcPr>
            <w:tcW w:w="4633" w:type="pct"/>
          </w:tcPr>
          <w:p w:rsidR="00E55CAD" w:rsidRPr="00E55CAD" w:rsidRDefault="00E55CAD" w:rsidP="00661969">
            <w:pPr>
              <w:tabs>
                <w:tab w:val="left" w:pos="6225"/>
              </w:tabs>
              <w:rPr>
                <w:sz w:val="28"/>
                <w:szCs w:val="28"/>
                <w:lang w:val="uk-UA"/>
              </w:rPr>
            </w:pPr>
            <w:r w:rsidRPr="00E55CAD">
              <w:rPr>
                <w:rFonts w:eastAsia="Calibri"/>
                <w:sz w:val="28"/>
                <w:szCs w:val="28"/>
                <w:shd w:val="clear" w:color="auto" w:fill="FFFFFF"/>
                <w:lang w:val="uk-UA"/>
              </w:rPr>
              <w:t>Звіт про виконання фінансового плану державного підприємства містить наступні показники коефіцієнтного аналізу</w:t>
            </w:r>
          </w:p>
        </w:tc>
      </w:tr>
      <w:tr w:rsidR="00E55CAD" w:rsidRPr="00E55CAD" w:rsidTr="00E55CAD">
        <w:trPr>
          <w:trHeight w:val="570"/>
        </w:trPr>
        <w:tc>
          <w:tcPr>
            <w:tcW w:w="367" w:type="pct"/>
          </w:tcPr>
          <w:p w:rsidR="00E55CAD" w:rsidRPr="00E55CAD" w:rsidRDefault="00E55CAD" w:rsidP="00661969">
            <w:pPr>
              <w:jc w:val="center"/>
              <w:rPr>
                <w:sz w:val="28"/>
                <w:szCs w:val="28"/>
                <w:lang w:val="uk-UA"/>
              </w:rPr>
            </w:pPr>
            <w:r w:rsidRPr="00E55CAD">
              <w:rPr>
                <w:sz w:val="28"/>
                <w:szCs w:val="28"/>
                <w:lang w:val="uk-UA"/>
              </w:rPr>
              <w:t>56.</w:t>
            </w:r>
          </w:p>
        </w:tc>
        <w:tc>
          <w:tcPr>
            <w:tcW w:w="4633" w:type="pct"/>
          </w:tcPr>
          <w:p w:rsidR="00E55CAD" w:rsidRPr="00E55CAD" w:rsidRDefault="00E55CAD" w:rsidP="00661969">
            <w:pPr>
              <w:jc w:val="both"/>
              <w:rPr>
                <w:sz w:val="28"/>
                <w:szCs w:val="28"/>
                <w:lang w:val="uk-UA"/>
              </w:rPr>
            </w:pPr>
            <w:r w:rsidRPr="00E55CAD">
              <w:rPr>
                <w:rFonts w:eastAsia="Calibri"/>
                <w:sz w:val="28"/>
                <w:szCs w:val="28"/>
                <w:shd w:val="clear" w:color="auto" w:fill="FFFFFF"/>
                <w:lang w:val="uk-UA"/>
              </w:rPr>
              <w:t>Звіт про виконання фінансового плану державного підприємства містить наступні показники коефіцієнтного аналізу</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57.</w:t>
            </w:r>
          </w:p>
        </w:tc>
        <w:tc>
          <w:tcPr>
            <w:tcW w:w="4633" w:type="pct"/>
          </w:tcPr>
          <w:p w:rsidR="00E55CAD" w:rsidRPr="00E55CAD" w:rsidRDefault="00E55CAD" w:rsidP="00661969">
            <w:pPr>
              <w:tabs>
                <w:tab w:val="left" w:pos="6225"/>
              </w:tabs>
              <w:rPr>
                <w:b/>
                <w:sz w:val="28"/>
                <w:szCs w:val="28"/>
                <w:lang w:val="uk-UA"/>
              </w:rPr>
            </w:pPr>
            <w:r w:rsidRPr="00E55CAD">
              <w:rPr>
                <w:rStyle w:val="a5"/>
                <w:b w:val="0"/>
                <w:sz w:val="28"/>
                <w:szCs w:val="28"/>
                <w:lang w:val="uk-UA"/>
              </w:rPr>
              <w:t>План, що охоплює майбутні операції підприємства є</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58.</w:t>
            </w:r>
          </w:p>
        </w:tc>
        <w:tc>
          <w:tcPr>
            <w:tcW w:w="4633" w:type="pct"/>
          </w:tcPr>
          <w:p w:rsidR="00E55CAD" w:rsidRPr="00E55CAD" w:rsidRDefault="00E55CAD" w:rsidP="00661969">
            <w:pPr>
              <w:tabs>
                <w:tab w:val="left" w:pos="6225"/>
              </w:tabs>
              <w:rPr>
                <w:sz w:val="28"/>
                <w:szCs w:val="28"/>
                <w:lang w:val="uk-UA"/>
              </w:rPr>
            </w:pPr>
            <w:r w:rsidRPr="00E55CAD">
              <w:rPr>
                <w:rFonts w:eastAsia="Calibri"/>
                <w:sz w:val="28"/>
                <w:szCs w:val="28"/>
                <w:shd w:val="clear" w:color="auto" w:fill="FFFFFF"/>
                <w:lang w:val="uk-UA"/>
              </w:rPr>
              <w:t>Складання фінансових планів та бюджетів на основі минулих даних це</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59.</w:t>
            </w:r>
          </w:p>
        </w:tc>
        <w:tc>
          <w:tcPr>
            <w:tcW w:w="4633" w:type="pct"/>
          </w:tcPr>
          <w:p w:rsidR="00E55CAD" w:rsidRPr="00E55CAD" w:rsidRDefault="00E55CAD" w:rsidP="00661969">
            <w:pPr>
              <w:tabs>
                <w:tab w:val="left" w:pos="6225"/>
              </w:tabs>
              <w:rPr>
                <w:sz w:val="28"/>
                <w:szCs w:val="28"/>
                <w:lang w:val="uk-UA"/>
              </w:rPr>
            </w:pPr>
            <w:r w:rsidRPr="00E55CAD">
              <w:rPr>
                <w:rFonts w:eastAsia="Calibri"/>
                <w:sz w:val="28"/>
                <w:szCs w:val="28"/>
                <w:shd w:val="clear" w:color="auto" w:fill="FFFFFF"/>
                <w:lang w:val="uk-UA"/>
              </w:rPr>
              <w:t>Складання фінансових планів та бюджетів на основі нових даних поточного року це</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60.</w:t>
            </w:r>
          </w:p>
        </w:tc>
        <w:tc>
          <w:tcPr>
            <w:tcW w:w="4633" w:type="pct"/>
          </w:tcPr>
          <w:p w:rsidR="00E55CAD" w:rsidRPr="00E55CAD" w:rsidRDefault="00E55CAD" w:rsidP="00661969">
            <w:pPr>
              <w:tabs>
                <w:tab w:val="left" w:pos="6225"/>
              </w:tabs>
              <w:rPr>
                <w:sz w:val="28"/>
                <w:szCs w:val="28"/>
                <w:lang w:val="uk-UA"/>
              </w:rPr>
            </w:pPr>
            <w:r w:rsidRPr="00E55CAD">
              <w:rPr>
                <w:rFonts w:eastAsia="Calibri"/>
                <w:sz w:val="28"/>
                <w:szCs w:val="28"/>
                <w:shd w:val="clear" w:color="auto" w:fill="FFFFFF"/>
                <w:lang w:val="uk-UA"/>
              </w:rPr>
              <w:t xml:space="preserve">Узгодженням та затвердженням бюджетів займається </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61.</w:t>
            </w:r>
          </w:p>
        </w:tc>
        <w:tc>
          <w:tcPr>
            <w:tcW w:w="4633" w:type="pct"/>
          </w:tcPr>
          <w:p w:rsidR="00E55CAD" w:rsidRPr="00E55CAD" w:rsidRDefault="00E55CAD" w:rsidP="00661969">
            <w:pPr>
              <w:tabs>
                <w:tab w:val="left" w:pos="6225"/>
              </w:tabs>
              <w:rPr>
                <w:sz w:val="28"/>
                <w:szCs w:val="28"/>
                <w:lang w:val="uk-UA"/>
              </w:rPr>
            </w:pPr>
            <w:r w:rsidRPr="00E55CAD">
              <w:rPr>
                <w:rFonts w:eastAsia="Calibri"/>
                <w:sz w:val="28"/>
                <w:szCs w:val="28"/>
                <w:shd w:val="clear" w:color="auto" w:fill="FFFFFF"/>
                <w:lang w:val="uk-UA"/>
              </w:rPr>
              <w:t>Вихідною точкою бюджетування  є операційний бюджет</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62.</w:t>
            </w:r>
          </w:p>
        </w:tc>
        <w:tc>
          <w:tcPr>
            <w:tcW w:w="4633" w:type="pct"/>
          </w:tcPr>
          <w:p w:rsidR="00E55CAD" w:rsidRPr="00E55CAD" w:rsidRDefault="00E55CAD" w:rsidP="00661969">
            <w:pPr>
              <w:jc w:val="both"/>
              <w:rPr>
                <w:sz w:val="28"/>
                <w:szCs w:val="28"/>
                <w:lang w:val="uk-UA"/>
              </w:rPr>
            </w:pPr>
            <w:r w:rsidRPr="00E55CAD">
              <w:rPr>
                <w:rFonts w:eastAsia="Calibri"/>
                <w:sz w:val="28"/>
                <w:szCs w:val="28"/>
                <w:shd w:val="clear" w:color="auto" w:fill="FFFFFF"/>
                <w:lang w:val="uk-UA"/>
              </w:rPr>
              <w:t xml:space="preserve">При бюджетуванні бюджети поділяються на </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63.</w:t>
            </w:r>
          </w:p>
        </w:tc>
        <w:tc>
          <w:tcPr>
            <w:tcW w:w="4633" w:type="pct"/>
          </w:tcPr>
          <w:p w:rsidR="00E55CAD" w:rsidRPr="00E55CAD" w:rsidRDefault="00E55CAD" w:rsidP="00661969">
            <w:pPr>
              <w:jc w:val="both"/>
              <w:rPr>
                <w:sz w:val="28"/>
                <w:szCs w:val="28"/>
                <w:lang w:val="uk-UA"/>
              </w:rPr>
            </w:pPr>
            <w:r w:rsidRPr="00E55CAD">
              <w:rPr>
                <w:rFonts w:eastAsia="Calibri"/>
                <w:sz w:val="28"/>
                <w:szCs w:val="28"/>
                <w:shd w:val="clear" w:color="auto" w:fill="FFFFFF"/>
                <w:lang w:val="uk-UA"/>
              </w:rPr>
              <w:t>Основними користувачами інформації фінансових планів є:</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64.</w:t>
            </w:r>
          </w:p>
        </w:tc>
        <w:tc>
          <w:tcPr>
            <w:tcW w:w="4633" w:type="pct"/>
          </w:tcPr>
          <w:p w:rsidR="00E55CAD" w:rsidRPr="00E55CAD" w:rsidRDefault="00E55CAD" w:rsidP="00661969">
            <w:pPr>
              <w:tabs>
                <w:tab w:val="left" w:pos="6225"/>
              </w:tabs>
              <w:rPr>
                <w:sz w:val="28"/>
                <w:szCs w:val="28"/>
                <w:lang w:val="uk-UA"/>
              </w:rPr>
            </w:pPr>
            <w:r w:rsidRPr="00E55CAD">
              <w:rPr>
                <w:sz w:val="28"/>
                <w:szCs w:val="28"/>
                <w:lang w:val="uk-UA"/>
              </w:rPr>
              <w:t>Ставка єдиного соціального внеску складає</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65.</w:t>
            </w:r>
          </w:p>
        </w:tc>
        <w:tc>
          <w:tcPr>
            <w:tcW w:w="4633" w:type="pct"/>
          </w:tcPr>
          <w:p w:rsidR="00E55CAD" w:rsidRPr="00E55CAD" w:rsidRDefault="00E55CAD" w:rsidP="00661969">
            <w:pPr>
              <w:tabs>
                <w:tab w:val="left" w:pos="6225"/>
              </w:tabs>
              <w:rPr>
                <w:sz w:val="28"/>
                <w:szCs w:val="28"/>
                <w:lang w:val="uk-UA"/>
              </w:rPr>
            </w:pPr>
            <w:r w:rsidRPr="00E55CAD">
              <w:rPr>
                <w:sz w:val="28"/>
                <w:szCs w:val="28"/>
                <w:lang w:val="uk-UA"/>
              </w:rPr>
              <w:t>Базова ставка ПДФО складає</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66.</w:t>
            </w:r>
          </w:p>
        </w:tc>
        <w:tc>
          <w:tcPr>
            <w:tcW w:w="4633" w:type="pct"/>
          </w:tcPr>
          <w:p w:rsidR="00E55CAD" w:rsidRPr="00E55CAD" w:rsidRDefault="00E55CAD" w:rsidP="00661969">
            <w:pPr>
              <w:jc w:val="both"/>
              <w:rPr>
                <w:sz w:val="28"/>
                <w:szCs w:val="28"/>
                <w:lang w:val="uk-UA"/>
              </w:rPr>
            </w:pPr>
            <w:r w:rsidRPr="00E55CAD">
              <w:rPr>
                <w:sz w:val="28"/>
                <w:szCs w:val="28"/>
                <w:lang w:val="uk-UA"/>
              </w:rPr>
              <w:t>Базова ставка податку на прибуток складає</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67.</w:t>
            </w:r>
          </w:p>
        </w:tc>
        <w:tc>
          <w:tcPr>
            <w:tcW w:w="4633" w:type="pct"/>
          </w:tcPr>
          <w:p w:rsidR="00E55CAD" w:rsidRPr="00E55CAD" w:rsidRDefault="00E55CAD" w:rsidP="00661969">
            <w:pPr>
              <w:tabs>
                <w:tab w:val="left" w:pos="6225"/>
              </w:tabs>
              <w:rPr>
                <w:sz w:val="28"/>
                <w:szCs w:val="28"/>
                <w:lang w:val="uk-UA"/>
              </w:rPr>
            </w:pPr>
            <w:r w:rsidRPr="00E55CAD">
              <w:rPr>
                <w:sz w:val="28"/>
                <w:szCs w:val="28"/>
                <w:lang w:val="uk-UA"/>
              </w:rPr>
              <w:t xml:space="preserve">Базова </w:t>
            </w:r>
            <w:r>
              <w:rPr>
                <w:sz w:val="28"/>
                <w:szCs w:val="28"/>
                <w:lang w:val="uk-UA"/>
              </w:rPr>
              <w:t>ставка ПДВ складає</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68.</w:t>
            </w:r>
          </w:p>
        </w:tc>
        <w:tc>
          <w:tcPr>
            <w:tcW w:w="4633" w:type="pct"/>
          </w:tcPr>
          <w:p w:rsidR="00E55CAD" w:rsidRPr="00E55CAD" w:rsidRDefault="00E55CAD" w:rsidP="00661969">
            <w:pPr>
              <w:tabs>
                <w:tab w:val="left" w:pos="6225"/>
              </w:tabs>
              <w:rPr>
                <w:sz w:val="28"/>
                <w:szCs w:val="28"/>
                <w:lang w:val="uk-UA"/>
              </w:rPr>
            </w:pPr>
            <w:r w:rsidRPr="00E55CAD">
              <w:rPr>
                <w:sz w:val="28"/>
                <w:szCs w:val="28"/>
                <w:lang w:val="uk-UA"/>
              </w:rPr>
              <w:t>Ставка ПДВ по ліках складає</w:t>
            </w:r>
          </w:p>
        </w:tc>
      </w:tr>
      <w:tr w:rsidR="00E55CAD" w:rsidRPr="00E55CAD" w:rsidTr="00E55CAD">
        <w:trPr>
          <w:trHeight w:val="427"/>
        </w:trPr>
        <w:tc>
          <w:tcPr>
            <w:tcW w:w="367" w:type="pct"/>
          </w:tcPr>
          <w:p w:rsidR="00E55CAD" w:rsidRPr="00E55CAD" w:rsidRDefault="00E55CAD" w:rsidP="00661969">
            <w:pPr>
              <w:jc w:val="center"/>
              <w:rPr>
                <w:sz w:val="28"/>
                <w:szCs w:val="28"/>
                <w:lang w:val="uk-UA"/>
              </w:rPr>
            </w:pPr>
            <w:r w:rsidRPr="00E55CAD">
              <w:rPr>
                <w:sz w:val="28"/>
                <w:szCs w:val="28"/>
                <w:lang w:val="uk-UA"/>
              </w:rPr>
              <w:t>69.</w:t>
            </w:r>
          </w:p>
        </w:tc>
        <w:tc>
          <w:tcPr>
            <w:tcW w:w="4633" w:type="pct"/>
          </w:tcPr>
          <w:p w:rsidR="00E55CAD" w:rsidRPr="00E55CAD" w:rsidRDefault="00E55CAD" w:rsidP="00661969">
            <w:pPr>
              <w:shd w:val="clear" w:color="auto" w:fill="FFFFFF"/>
              <w:jc w:val="both"/>
              <w:rPr>
                <w:sz w:val="28"/>
                <w:szCs w:val="28"/>
                <w:lang w:val="uk-UA" w:eastAsia="uk-UA"/>
              </w:rPr>
            </w:pPr>
            <w:r w:rsidRPr="00E55CAD">
              <w:rPr>
                <w:sz w:val="28"/>
                <w:szCs w:val="28"/>
                <w:lang w:val="uk-UA" w:eastAsia="uk-UA"/>
              </w:rPr>
              <w:t>Обсяг доходу 1 млн грн. при сплаті єдиного податку (до 2 квітня – 300 тис. грн) відноситься:</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70.</w:t>
            </w:r>
          </w:p>
        </w:tc>
        <w:tc>
          <w:tcPr>
            <w:tcW w:w="4633" w:type="pct"/>
          </w:tcPr>
          <w:p w:rsidR="00E55CAD" w:rsidRPr="00E55CAD" w:rsidRDefault="00E55CAD" w:rsidP="00661969">
            <w:pPr>
              <w:shd w:val="clear" w:color="auto" w:fill="FFFFFF"/>
              <w:jc w:val="both"/>
              <w:rPr>
                <w:sz w:val="28"/>
                <w:szCs w:val="28"/>
                <w:lang w:val="uk-UA" w:eastAsia="uk-UA"/>
              </w:rPr>
            </w:pPr>
            <w:r w:rsidRPr="00E55CAD">
              <w:rPr>
                <w:sz w:val="28"/>
                <w:szCs w:val="28"/>
                <w:lang w:val="uk-UA" w:eastAsia="uk-UA"/>
              </w:rPr>
              <w:t>Обсяг доходу при сплаті єдиного податку для фіз</w:t>
            </w:r>
            <w:r>
              <w:rPr>
                <w:sz w:val="28"/>
                <w:szCs w:val="28"/>
                <w:lang w:val="uk-UA" w:eastAsia="uk-UA"/>
              </w:rPr>
              <w:t xml:space="preserve">ичних </w:t>
            </w:r>
            <w:r w:rsidRPr="00E55CAD">
              <w:rPr>
                <w:sz w:val="28"/>
                <w:szCs w:val="28"/>
                <w:lang w:val="uk-UA" w:eastAsia="uk-UA"/>
              </w:rPr>
              <w:t>осіб в 5 млн грн (до 2 квітня – 1,5 млн грн) відноситься</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71.</w:t>
            </w:r>
          </w:p>
        </w:tc>
        <w:tc>
          <w:tcPr>
            <w:tcW w:w="4633" w:type="pct"/>
          </w:tcPr>
          <w:p w:rsidR="00E55CAD" w:rsidRPr="00E55CAD" w:rsidRDefault="00E55CAD" w:rsidP="00661969">
            <w:pPr>
              <w:shd w:val="clear" w:color="auto" w:fill="FFFFFF"/>
              <w:jc w:val="both"/>
              <w:rPr>
                <w:color w:val="232B30"/>
                <w:sz w:val="28"/>
                <w:szCs w:val="28"/>
                <w:lang w:val="uk-UA" w:eastAsia="uk-UA"/>
              </w:rPr>
            </w:pPr>
            <w:r w:rsidRPr="00E55CAD">
              <w:rPr>
                <w:sz w:val="28"/>
                <w:szCs w:val="28"/>
                <w:lang w:val="uk-UA" w:eastAsia="uk-UA"/>
              </w:rPr>
              <w:t>Обсяг доходу при сплаті єдиного податку для фіз</w:t>
            </w:r>
            <w:r>
              <w:rPr>
                <w:sz w:val="28"/>
                <w:szCs w:val="28"/>
                <w:lang w:val="uk-UA" w:eastAsia="uk-UA"/>
              </w:rPr>
              <w:t xml:space="preserve">ичних </w:t>
            </w:r>
            <w:r w:rsidRPr="00E55CAD">
              <w:rPr>
                <w:sz w:val="28"/>
                <w:szCs w:val="28"/>
                <w:lang w:val="uk-UA" w:eastAsia="uk-UA"/>
              </w:rPr>
              <w:t>осіб-«єдинників» та юр</w:t>
            </w:r>
            <w:r>
              <w:rPr>
                <w:sz w:val="28"/>
                <w:szCs w:val="28"/>
                <w:lang w:val="uk-UA" w:eastAsia="uk-UA"/>
              </w:rPr>
              <w:t xml:space="preserve">идичних </w:t>
            </w:r>
            <w:r w:rsidRPr="00E55CAD">
              <w:rPr>
                <w:sz w:val="28"/>
                <w:szCs w:val="28"/>
                <w:lang w:val="uk-UA" w:eastAsia="uk-UA"/>
              </w:rPr>
              <w:t>особ-«єдинників» 7 млн грн (до 2 квітня – 5 млн грн). відноситься</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72.</w:t>
            </w:r>
          </w:p>
        </w:tc>
        <w:tc>
          <w:tcPr>
            <w:tcW w:w="4633" w:type="pct"/>
          </w:tcPr>
          <w:p w:rsidR="00E55CAD" w:rsidRPr="00E55CAD" w:rsidRDefault="00E55CAD" w:rsidP="00661969">
            <w:pPr>
              <w:jc w:val="both"/>
              <w:rPr>
                <w:sz w:val="28"/>
                <w:szCs w:val="28"/>
                <w:lang w:val="uk-UA"/>
              </w:rPr>
            </w:pPr>
            <w:r w:rsidRPr="00E55CAD">
              <w:rPr>
                <w:sz w:val="28"/>
                <w:szCs w:val="28"/>
                <w:shd w:val="clear" w:color="auto" w:fill="FFFFFF"/>
                <w:lang w:val="uk-UA"/>
              </w:rPr>
              <w:t>Фізичні особи — підприємці (1 група), які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сплачують єдиний податок за ставками</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73.</w:t>
            </w:r>
          </w:p>
        </w:tc>
        <w:tc>
          <w:tcPr>
            <w:tcW w:w="4633" w:type="pct"/>
          </w:tcPr>
          <w:p w:rsidR="00E55CAD" w:rsidRPr="00E55CAD" w:rsidRDefault="00E55CAD" w:rsidP="00661969">
            <w:pPr>
              <w:jc w:val="both"/>
              <w:rPr>
                <w:sz w:val="28"/>
                <w:szCs w:val="28"/>
                <w:lang w:val="uk-UA"/>
              </w:rPr>
            </w:pPr>
            <w:r w:rsidRPr="00E55CAD">
              <w:rPr>
                <w:sz w:val="28"/>
                <w:szCs w:val="28"/>
                <w:shd w:val="clear" w:color="auto" w:fill="FFFFFF"/>
                <w:lang w:val="uk-UA"/>
              </w:rPr>
              <w:t>Фізичні особи (2 група)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сплачують єдиний податок за ставками</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74.</w:t>
            </w:r>
          </w:p>
        </w:tc>
        <w:tc>
          <w:tcPr>
            <w:tcW w:w="4633" w:type="pct"/>
          </w:tcPr>
          <w:p w:rsidR="00E55CAD" w:rsidRPr="00E55CAD" w:rsidRDefault="00E55CAD" w:rsidP="00661969">
            <w:pPr>
              <w:widowControl w:val="0"/>
              <w:autoSpaceDE w:val="0"/>
              <w:autoSpaceDN w:val="0"/>
              <w:adjustRightInd w:val="0"/>
              <w:ind w:right="-1"/>
              <w:jc w:val="both"/>
              <w:rPr>
                <w:sz w:val="28"/>
                <w:szCs w:val="28"/>
                <w:lang w:val="uk-UA"/>
              </w:rPr>
            </w:pPr>
            <w:r w:rsidRPr="00E55CAD">
              <w:rPr>
                <w:sz w:val="28"/>
                <w:szCs w:val="28"/>
                <w:shd w:val="clear" w:color="auto" w:fill="FFFFFF"/>
                <w:lang w:val="uk-UA"/>
              </w:rPr>
              <w:t>Фізичні особи (3 група)— підприємці та юридичні особи — суб'єкти господарювання будь-якої організаційно-правової форми сплачують єдиний податок за базовими ставками</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75.</w:t>
            </w:r>
          </w:p>
        </w:tc>
        <w:tc>
          <w:tcPr>
            <w:tcW w:w="4633" w:type="pct"/>
          </w:tcPr>
          <w:p w:rsidR="00E55CAD" w:rsidRPr="00E55CAD" w:rsidRDefault="00E55CAD" w:rsidP="00661969">
            <w:pPr>
              <w:ind w:right="-1" w:firstLine="142"/>
              <w:jc w:val="both"/>
              <w:rPr>
                <w:sz w:val="28"/>
                <w:szCs w:val="28"/>
                <w:lang w:val="uk-UA"/>
              </w:rPr>
            </w:pPr>
            <w:r w:rsidRPr="00E55CAD">
              <w:rPr>
                <w:sz w:val="28"/>
                <w:szCs w:val="28"/>
                <w:shd w:val="clear" w:color="auto" w:fill="FFFFFF"/>
                <w:lang w:val="uk-UA"/>
              </w:rPr>
              <w:t>Фізичні особи (3 група)  — підприємці та юридичні особи — суб'єкти господарювання будь-якої організаційно-правової форми сплачують єдиний податок за підвищеними ставками</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76.</w:t>
            </w:r>
          </w:p>
        </w:tc>
        <w:tc>
          <w:tcPr>
            <w:tcW w:w="4633" w:type="pct"/>
          </w:tcPr>
          <w:p w:rsidR="00E55CAD" w:rsidRPr="00E55CAD" w:rsidRDefault="00E55CAD" w:rsidP="00E55CAD">
            <w:pPr>
              <w:shd w:val="clear" w:color="auto" w:fill="FFFFFF"/>
              <w:jc w:val="both"/>
              <w:rPr>
                <w:sz w:val="28"/>
                <w:szCs w:val="28"/>
                <w:lang w:val="uk-UA" w:eastAsia="uk-UA"/>
              </w:rPr>
            </w:pPr>
            <w:r w:rsidRPr="00E55CAD">
              <w:rPr>
                <w:sz w:val="28"/>
                <w:szCs w:val="28"/>
                <w:lang w:val="uk-UA" w:eastAsia="uk-UA"/>
              </w:rPr>
              <w:t>Внутрішніми джерелами фінансових ресурсів є:</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77.</w:t>
            </w:r>
          </w:p>
        </w:tc>
        <w:tc>
          <w:tcPr>
            <w:tcW w:w="4633" w:type="pct"/>
          </w:tcPr>
          <w:p w:rsidR="00E55CAD" w:rsidRPr="00E55CAD" w:rsidRDefault="00E55CAD" w:rsidP="00661969">
            <w:pPr>
              <w:shd w:val="clear" w:color="auto" w:fill="FFFFFF"/>
              <w:jc w:val="both"/>
              <w:rPr>
                <w:sz w:val="28"/>
                <w:szCs w:val="28"/>
                <w:lang w:val="uk-UA" w:eastAsia="uk-UA"/>
              </w:rPr>
            </w:pPr>
            <w:r w:rsidRPr="00E55CAD">
              <w:rPr>
                <w:iCs/>
                <w:color w:val="000000"/>
                <w:sz w:val="28"/>
                <w:szCs w:val="28"/>
                <w:lang w:val="uk-UA"/>
              </w:rPr>
              <w:t>Метод</w:t>
            </w:r>
            <w:r w:rsidRPr="00E55CAD">
              <w:rPr>
                <w:color w:val="000000"/>
                <w:sz w:val="28"/>
                <w:szCs w:val="28"/>
                <w:lang w:val="uk-UA"/>
              </w:rPr>
              <w:t xml:space="preserve">, за яким річна сума амортизації визначається як добуток залишкової вартості об'єкта на початок звітного року або первісної вартості на дату початку нарахування амортизації та річної норми </w:t>
            </w:r>
            <w:r w:rsidRPr="00E55CAD">
              <w:rPr>
                <w:color w:val="000000"/>
                <w:sz w:val="28"/>
                <w:szCs w:val="28"/>
                <w:lang w:val="uk-UA"/>
              </w:rPr>
              <w:lastRenderedPageBreak/>
              <w:t>амортизації, яка обчислюється відповідно до строку корисного використання об'єкта і подвоюється.</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lastRenderedPageBreak/>
              <w:t>78.</w:t>
            </w:r>
          </w:p>
        </w:tc>
        <w:tc>
          <w:tcPr>
            <w:tcW w:w="4633" w:type="pct"/>
          </w:tcPr>
          <w:p w:rsidR="00E55CAD" w:rsidRPr="00E55CAD" w:rsidRDefault="00E55CAD" w:rsidP="00661969">
            <w:pPr>
              <w:jc w:val="both"/>
              <w:rPr>
                <w:sz w:val="28"/>
                <w:szCs w:val="28"/>
                <w:lang w:val="uk-UA"/>
              </w:rPr>
            </w:pPr>
            <w:r w:rsidRPr="00E55CAD">
              <w:rPr>
                <w:iCs/>
                <w:color w:val="000000"/>
                <w:sz w:val="28"/>
                <w:szCs w:val="28"/>
                <w:lang w:val="uk-UA"/>
              </w:rPr>
              <w:t>Метод</w:t>
            </w:r>
            <w:r w:rsidRPr="00E55CAD">
              <w:rPr>
                <w:color w:val="000000"/>
                <w:sz w:val="28"/>
                <w:szCs w:val="28"/>
                <w:lang w:val="uk-UA"/>
              </w:rPr>
              <w:t xml:space="preserve"> за яким річна сума амортизації визначається як добуток залишкової вартості об'єкта на початок звітного року або первісної вартості на дату початку нарахування амортизації та річної норми амортизації. Річна норма амортизації (у відсотках) обчислюється як різниця між одиницею та результатом кореня ступеня кількості років корисного використання об'єкта з результату від ділення ліквідаційної ва</w:t>
            </w:r>
            <w:r>
              <w:rPr>
                <w:color w:val="000000"/>
                <w:sz w:val="28"/>
                <w:szCs w:val="28"/>
                <w:lang w:val="uk-UA"/>
              </w:rPr>
              <w:t xml:space="preserve">ртості об'єкта на його первісну </w:t>
            </w:r>
            <w:r w:rsidRPr="00E55CAD">
              <w:rPr>
                <w:color w:val="000000"/>
                <w:sz w:val="28"/>
                <w:szCs w:val="28"/>
                <w:lang w:val="uk-UA"/>
              </w:rPr>
              <w:t>вартість це</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79.</w:t>
            </w:r>
          </w:p>
        </w:tc>
        <w:tc>
          <w:tcPr>
            <w:tcW w:w="4633" w:type="pct"/>
          </w:tcPr>
          <w:p w:rsidR="00E55CAD" w:rsidRPr="00E55CAD" w:rsidRDefault="00E55CAD" w:rsidP="00661969">
            <w:pPr>
              <w:jc w:val="both"/>
              <w:rPr>
                <w:sz w:val="28"/>
                <w:szCs w:val="28"/>
                <w:lang w:val="uk-UA"/>
              </w:rPr>
            </w:pPr>
            <w:r w:rsidRPr="00E55CAD">
              <w:rPr>
                <w:iCs/>
                <w:color w:val="000000"/>
                <w:sz w:val="28"/>
                <w:szCs w:val="28"/>
                <w:lang w:val="uk-UA"/>
              </w:rPr>
              <w:t>Метод амортизації,</w:t>
            </w:r>
            <w:r w:rsidRPr="00E55CAD">
              <w:rPr>
                <w:color w:val="000000"/>
                <w:sz w:val="28"/>
                <w:szCs w:val="28"/>
                <w:lang w:val="uk-UA"/>
              </w:rPr>
              <w:t xml:space="preserve"> за яким річна сума амортизації визначається діленням вартості, яка амортизується, на строк корисног</w:t>
            </w:r>
            <w:r>
              <w:rPr>
                <w:color w:val="000000"/>
                <w:sz w:val="28"/>
                <w:szCs w:val="28"/>
                <w:lang w:val="uk-UA"/>
              </w:rPr>
              <w:t xml:space="preserve">о використання об'єкта основних </w:t>
            </w:r>
            <w:r w:rsidRPr="00E55CAD">
              <w:rPr>
                <w:color w:val="000000"/>
                <w:sz w:val="28"/>
                <w:szCs w:val="28"/>
                <w:lang w:val="uk-UA"/>
              </w:rPr>
              <w:t>засобів це</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80.</w:t>
            </w:r>
          </w:p>
        </w:tc>
        <w:tc>
          <w:tcPr>
            <w:tcW w:w="4633" w:type="pct"/>
          </w:tcPr>
          <w:p w:rsidR="00E55CAD" w:rsidRPr="00E55CAD" w:rsidRDefault="00E55CAD" w:rsidP="00661969">
            <w:pPr>
              <w:widowControl w:val="0"/>
              <w:autoSpaceDE w:val="0"/>
              <w:autoSpaceDN w:val="0"/>
              <w:adjustRightInd w:val="0"/>
              <w:ind w:right="-1"/>
              <w:jc w:val="both"/>
              <w:rPr>
                <w:sz w:val="28"/>
                <w:szCs w:val="28"/>
                <w:lang w:val="uk-UA"/>
              </w:rPr>
            </w:pPr>
            <w:r w:rsidRPr="00E55CAD">
              <w:rPr>
                <w:iCs/>
                <w:color w:val="000000"/>
                <w:sz w:val="28"/>
                <w:szCs w:val="28"/>
                <w:lang w:val="uk-UA"/>
              </w:rPr>
              <w:t>Метод амортизації</w:t>
            </w:r>
            <w:r w:rsidRPr="00E55CAD">
              <w:rPr>
                <w:color w:val="000000"/>
                <w:sz w:val="28"/>
                <w:szCs w:val="28"/>
                <w:lang w:val="uk-UA"/>
              </w:rPr>
              <w:t>, за яким річна сума амортизації визначається як добуток вартості, яка амортизується, та кумулятивного коефіцієнта. Кумулятивний коефіцієнт розраховується діленням кількості років, що залишаються до кінця строку корисного використання об'єкта основних засобів, на суму числа років його корисного використання це</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81.</w:t>
            </w:r>
          </w:p>
        </w:tc>
        <w:tc>
          <w:tcPr>
            <w:tcW w:w="4633" w:type="pct"/>
          </w:tcPr>
          <w:p w:rsidR="00E55CAD" w:rsidRPr="00E55CAD" w:rsidRDefault="00E55CAD" w:rsidP="00661969">
            <w:pPr>
              <w:ind w:right="-1"/>
              <w:jc w:val="both"/>
              <w:rPr>
                <w:sz w:val="28"/>
                <w:szCs w:val="28"/>
                <w:lang w:val="uk-UA"/>
              </w:rPr>
            </w:pPr>
            <w:r w:rsidRPr="00E55CAD">
              <w:rPr>
                <w:iCs/>
                <w:color w:val="000000"/>
                <w:sz w:val="28"/>
                <w:szCs w:val="28"/>
                <w:lang w:val="uk-UA"/>
              </w:rPr>
              <w:t>Метод амортизації</w:t>
            </w:r>
            <w:r w:rsidRPr="00E55CAD">
              <w:rPr>
                <w:color w:val="000000"/>
                <w:sz w:val="28"/>
                <w:szCs w:val="28"/>
                <w:lang w:val="uk-UA"/>
              </w:rPr>
              <w:t>, за яким місячна сума амортизації визначається як добуток фактичного місячного обсягу продукції (робіт, послуг) та виробничої ставки амортизації. Виробнича ставка амортизації обчислюється діленням вартості, яка амортизується, на загальний обсяг продукції (робіт, послуг), який підприємство очікує виробити (виконати) з використанням об'єкта основних засобів.</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82.</w:t>
            </w:r>
          </w:p>
        </w:tc>
        <w:tc>
          <w:tcPr>
            <w:tcW w:w="4633" w:type="pct"/>
          </w:tcPr>
          <w:p w:rsidR="00E55CAD" w:rsidRPr="00E55CAD" w:rsidRDefault="00E55CAD" w:rsidP="00661969">
            <w:pPr>
              <w:jc w:val="both"/>
              <w:rPr>
                <w:i/>
                <w:sz w:val="28"/>
                <w:szCs w:val="28"/>
                <w:lang w:val="uk-UA"/>
              </w:rPr>
            </w:pPr>
            <w:r w:rsidRPr="00E55CAD">
              <w:rPr>
                <w:rStyle w:val="fontstyle01"/>
                <w:i w:val="0"/>
                <w:lang w:val="uk-UA"/>
              </w:rPr>
              <w:t>Права користування природними ресурсами (право користування надрами,</w:t>
            </w:r>
            <w:r w:rsidRPr="00E55CAD">
              <w:rPr>
                <w:i/>
                <w:color w:val="000000"/>
                <w:sz w:val="28"/>
                <w:szCs w:val="28"/>
                <w:lang w:val="uk-UA"/>
              </w:rPr>
              <w:t xml:space="preserve"> </w:t>
            </w:r>
            <w:r w:rsidRPr="00E55CAD">
              <w:rPr>
                <w:rStyle w:val="fontstyle01"/>
                <w:i w:val="0"/>
                <w:lang w:val="uk-UA"/>
              </w:rPr>
              <w:t>іншими ресурсами природного середовища, геологічною та іншою інформацією про</w:t>
            </w:r>
            <w:r w:rsidRPr="00E55CAD">
              <w:rPr>
                <w:i/>
                <w:color w:val="000000"/>
                <w:sz w:val="28"/>
                <w:szCs w:val="28"/>
                <w:lang w:val="uk-UA"/>
              </w:rPr>
              <w:t xml:space="preserve"> </w:t>
            </w:r>
            <w:r w:rsidRPr="00E55CAD">
              <w:rPr>
                <w:rStyle w:val="fontstyle01"/>
                <w:i w:val="0"/>
                <w:lang w:val="uk-UA"/>
              </w:rPr>
              <w:t>природне середовище) відносяться</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83.</w:t>
            </w:r>
          </w:p>
        </w:tc>
        <w:tc>
          <w:tcPr>
            <w:tcW w:w="4633" w:type="pct"/>
          </w:tcPr>
          <w:p w:rsidR="00E55CAD" w:rsidRPr="00E55CAD" w:rsidRDefault="00E55CAD" w:rsidP="00661969">
            <w:pPr>
              <w:jc w:val="both"/>
              <w:rPr>
                <w:rFonts w:eastAsia="Calibri"/>
                <w:sz w:val="28"/>
                <w:szCs w:val="28"/>
                <w:shd w:val="clear" w:color="auto" w:fill="FFFFFF"/>
                <w:lang w:val="uk-UA"/>
              </w:rPr>
            </w:pPr>
            <w:r w:rsidRPr="00E55CAD">
              <w:rPr>
                <w:rFonts w:eastAsia="Calibri"/>
                <w:sz w:val="28"/>
                <w:szCs w:val="28"/>
                <w:shd w:val="clear" w:color="auto" w:fill="FFFFFF"/>
                <w:lang w:val="uk-UA"/>
              </w:rPr>
              <w:t>Права користування майном (право користування земельною ділянкою, крім права постійного користування земельною ділянкою, відповідно до закону, право користування будівлею, право на оренду приміщень тощо) відносяться до</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84.</w:t>
            </w:r>
          </w:p>
        </w:tc>
        <w:tc>
          <w:tcPr>
            <w:tcW w:w="4633" w:type="pct"/>
          </w:tcPr>
          <w:p w:rsidR="00E55CAD" w:rsidRPr="00E55CAD" w:rsidRDefault="00E55CAD" w:rsidP="00661969">
            <w:pPr>
              <w:jc w:val="both"/>
              <w:rPr>
                <w:rFonts w:eastAsia="Calibri"/>
                <w:sz w:val="28"/>
                <w:szCs w:val="28"/>
                <w:shd w:val="clear" w:color="auto" w:fill="FFFFFF"/>
                <w:lang w:val="uk-UA"/>
              </w:rPr>
            </w:pPr>
            <w:r w:rsidRPr="00E55CAD">
              <w:rPr>
                <w:rFonts w:eastAsia="Calibri"/>
                <w:sz w:val="28"/>
                <w:szCs w:val="28"/>
                <w:shd w:val="clear" w:color="auto" w:fill="FFFFFF"/>
                <w:lang w:val="uk-UA"/>
              </w:rPr>
              <w:t>Права на комерційні позначення (права на торговельні марки (знаки для товарів і послуг), комерційні (фірмові) найменування тощо), крім тих, витрати на придбання яких визнаються роялті відносять</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85.</w:t>
            </w:r>
          </w:p>
        </w:tc>
        <w:tc>
          <w:tcPr>
            <w:tcW w:w="4633" w:type="pct"/>
          </w:tcPr>
          <w:p w:rsidR="00E55CAD" w:rsidRPr="00E55CAD" w:rsidRDefault="00E55CAD" w:rsidP="00661969">
            <w:pPr>
              <w:jc w:val="both"/>
              <w:rPr>
                <w:rFonts w:eastAsia="Calibri"/>
                <w:sz w:val="28"/>
                <w:szCs w:val="28"/>
                <w:shd w:val="clear" w:color="auto" w:fill="FFFFFF"/>
                <w:lang w:val="uk-UA"/>
              </w:rPr>
            </w:pPr>
            <w:r w:rsidRPr="00E55CAD">
              <w:rPr>
                <w:rFonts w:eastAsia="Calibri"/>
                <w:sz w:val="28"/>
                <w:szCs w:val="28"/>
                <w:shd w:val="clear" w:color="auto" w:fill="FFFFFF"/>
                <w:lang w:val="uk-UA"/>
              </w:rPr>
              <w:t>Права на об’єкти промислової власності (право на винаходи, корисні моделі, промислові зразки, сорти рослин, породи тварин, компонування (топографії) інтегральних мікросхем, комерційні таємниці, в тому числі ноу-хау, захист від недобросовісної конкуренції тощо) крім тих, витрати на придбання яких визнаються роялті; відносяться</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86.</w:t>
            </w:r>
          </w:p>
        </w:tc>
        <w:tc>
          <w:tcPr>
            <w:tcW w:w="4633" w:type="pct"/>
          </w:tcPr>
          <w:p w:rsidR="00E55CAD" w:rsidRPr="00E55CAD" w:rsidRDefault="00E55CAD" w:rsidP="00661969">
            <w:pPr>
              <w:jc w:val="both"/>
              <w:rPr>
                <w:rFonts w:eastAsia="Calibri"/>
                <w:sz w:val="28"/>
                <w:szCs w:val="28"/>
                <w:shd w:val="clear" w:color="auto" w:fill="FFFFFF"/>
                <w:lang w:val="uk-UA"/>
              </w:rPr>
            </w:pPr>
            <w:r w:rsidRPr="00E55CAD">
              <w:rPr>
                <w:rFonts w:eastAsia="Calibri"/>
                <w:sz w:val="28"/>
                <w:szCs w:val="28"/>
                <w:shd w:val="clear" w:color="auto" w:fill="FFFFFF"/>
                <w:lang w:val="uk-UA"/>
              </w:rPr>
              <w:t>Авторське право та суміжні з ним права (право на літературні, художні, музичні твори, комп’ютерні програми, програми для електронно-обчислювальних машин, компіляції даних (бази даних), фонограми, відеограми, передачі (програми) організацій мовлення тощо) крім тих, витрати на придбання яких визнаються роялті; відносяться до</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87.</w:t>
            </w:r>
          </w:p>
        </w:tc>
        <w:tc>
          <w:tcPr>
            <w:tcW w:w="4633" w:type="pct"/>
          </w:tcPr>
          <w:p w:rsidR="00E55CAD" w:rsidRPr="00E55CAD" w:rsidRDefault="00E55CAD" w:rsidP="00E55CAD">
            <w:pPr>
              <w:jc w:val="both"/>
              <w:rPr>
                <w:rFonts w:eastAsia="Calibri"/>
                <w:sz w:val="28"/>
                <w:szCs w:val="28"/>
                <w:shd w:val="clear" w:color="auto" w:fill="FFFFFF"/>
                <w:lang w:val="uk-UA"/>
              </w:rPr>
            </w:pPr>
            <w:r w:rsidRPr="00E55CAD">
              <w:rPr>
                <w:rFonts w:eastAsia="Calibri"/>
                <w:sz w:val="28"/>
                <w:szCs w:val="28"/>
                <w:shd w:val="clear" w:color="auto" w:fill="FFFFFF"/>
                <w:lang w:val="uk-UA"/>
              </w:rPr>
              <w:t>Інші нематеріальні активи (право на ведення діяльності, використання</w:t>
            </w:r>
            <w:r>
              <w:rPr>
                <w:rFonts w:eastAsia="Calibri"/>
                <w:sz w:val="28"/>
                <w:szCs w:val="28"/>
                <w:shd w:val="clear" w:color="auto" w:fill="FFFFFF"/>
                <w:lang w:val="uk-UA"/>
              </w:rPr>
              <w:t xml:space="preserve"> </w:t>
            </w:r>
            <w:r w:rsidRPr="00E55CAD">
              <w:rPr>
                <w:rFonts w:eastAsia="Calibri"/>
                <w:sz w:val="28"/>
                <w:szCs w:val="28"/>
                <w:shd w:val="clear" w:color="auto" w:fill="FFFFFF"/>
                <w:lang w:val="uk-UA"/>
              </w:rPr>
              <w:lastRenderedPageBreak/>
              <w:t>економічних та інших привілеїв тощо) відносяться до</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lastRenderedPageBreak/>
              <w:t>88.</w:t>
            </w:r>
          </w:p>
        </w:tc>
        <w:tc>
          <w:tcPr>
            <w:tcW w:w="4633" w:type="pct"/>
          </w:tcPr>
          <w:p w:rsidR="00E55CAD" w:rsidRPr="00E55CAD" w:rsidRDefault="00E55CAD" w:rsidP="00E55CAD">
            <w:pPr>
              <w:shd w:val="clear" w:color="auto" w:fill="FFFFFF"/>
              <w:jc w:val="both"/>
              <w:rPr>
                <w:color w:val="000000"/>
                <w:sz w:val="28"/>
                <w:szCs w:val="28"/>
                <w:lang w:val="uk-UA" w:eastAsia="uk-UA"/>
              </w:rPr>
            </w:pPr>
            <w:r w:rsidRPr="00E55CAD">
              <w:rPr>
                <w:color w:val="000000"/>
                <w:sz w:val="28"/>
                <w:szCs w:val="28"/>
                <w:lang w:val="uk-UA" w:eastAsia="uk-UA"/>
              </w:rPr>
              <w:t>До місцевих податків та зборів відносять:</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89.</w:t>
            </w:r>
          </w:p>
        </w:tc>
        <w:tc>
          <w:tcPr>
            <w:tcW w:w="4633" w:type="pct"/>
          </w:tcPr>
          <w:p w:rsidR="00E55CAD" w:rsidRPr="00E55CAD" w:rsidRDefault="00E55CAD" w:rsidP="00E55CAD">
            <w:pPr>
              <w:shd w:val="clear" w:color="auto" w:fill="FFFFFF"/>
              <w:jc w:val="both"/>
              <w:rPr>
                <w:color w:val="000000"/>
                <w:sz w:val="28"/>
                <w:szCs w:val="28"/>
                <w:lang w:val="uk-UA" w:eastAsia="uk-UA"/>
              </w:rPr>
            </w:pPr>
            <w:r w:rsidRPr="00E55CAD">
              <w:rPr>
                <w:color w:val="000000"/>
                <w:sz w:val="28"/>
                <w:szCs w:val="28"/>
                <w:lang w:val="uk-UA" w:eastAsia="uk-UA"/>
              </w:rPr>
              <w:t>До місцевих податків та зборів відносять</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90.</w:t>
            </w:r>
          </w:p>
        </w:tc>
        <w:tc>
          <w:tcPr>
            <w:tcW w:w="4633" w:type="pct"/>
          </w:tcPr>
          <w:p w:rsidR="00E55CAD" w:rsidRPr="00E55CAD" w:rsidRDefault="00E55CAD" w:rsidP="00661969">
            <w:pPr>
              <w:shd w:val="clear" w:color="auto" w:fill="FFFFFF"/>
              <w:jc w:val="both"/>
              <w:rPr>
                <w:color w:val="000000"/>
                <w:sz w:val="28"/>
                <w:szCs w:val="28"/>
                <w:lang w:val="uk-UA" w:eastAsia="uk-UA"/>
              </w:rPr>
            </w:pPr>
            <w:r w:rsidRPr="00E55CAD">
              <w:rPr>
                <w:color w:val="000000"/>
                <w:sz w:val="28"/>
                <w:szCs w:val="28"/>
                <w:lang w:val="uk-UA" w:eastAsia="uk-UA"/>
              </w:rPr>
              <w:t>До місцевих зборів належить:</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91.</w:t>
            </w:r>
          </w:p>
        </w:tc>
        <w:tc>
          <w:tcPr>
            <w:tcW w:w="4633" w:type="pct"/>
          </w:tcPr>
          <w:p w:rsidR="00E55CAD" w:rsidRPr="00E55CAD" w:rsidRDefault="00E55CAD" w:rsidP="00661969">
            <w:pPr>
              <w:shd w:val="clear" w:color="auto" w:fill="FFFFFF"/>
              <w:jc w:val="both"/>
              <w:rPr>
                <w:color w:val="000000"/>
                <w:sz w:val="28"/>
                <w:szCs w:val="28"/>
                <w:lang w:val="uk-UA" w:eastAsia="uk-UA"/>
              </w:rPr>
            </w:pPr>
            <w:r w:rsidRPr="00E55CAD">
              <w:rPr>
                <w:color w:val="000000"/>
                <w:sz w:val="28"/>
                <w:szCs w:val="28"/>
                <w:lang w:val="uk-UA" w:eastAsia="uk-UA"/>
              </w:rPr>
              <w:t>До місцевих зборів належить:</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92.</w:t>
            </w:r>
          </w:p>
        </w:tc>
        <w:tc>
          <w:tcPr>
            <w:tcW w:w="4633" w:type="pct"/>
          </w:tcPr>
          <w:p w:rsidR="00E55CAD" w:rsidRPr="00E55CAD" w:rsidRDefault="00E55CAD" w:rsidP="00E55CAD">
            <w:pPr>
              <w:shd w:val="clear" w:color="auto" w:fill="FFFFFF"/>
              <w:jc w:val="both"/>
              <w:rPr>
                <w:color w:val="000000"/>
                <w:sz w:val="28"/>
                <w:szCs w:val="28"/>
                <w:lang w:val="uk-UA" w:eastAsia="uk-UA"/>
              </w:rPr>
            </w:pPr>
            <w:r w:rsidRPr="00E55CAD">
              <w:rPr>
                <w:color w:val="000000"/>
                <w:sz w:val="28"/>
                <w:szCs w:val="28"/>
                <w:lang w:val="uk-UA" w:eastAsia="uk-UA"/>
              </w:rPr>
              <w:t>До загальнодержавних податків належать:</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93.</w:t>
            </w:r>
          </w:p>
        </w:tc>
        <w:tc>
          <w:tcPr>
            <w:tcW w:w="4633" w:type="pct"/>
          </w:tcPr>
          <w:p w:rsidR="00E55CAD" w:rsidRPr="00E55CAD" w:rsidRDefault="00E55CAD" w:rsidP="00E55CAD">
            <w:pPr>
              <w:shd w:val="clear" w:color="auto" w:fill="FFFFFF"/>
              <w:jc w:val="both"/>
              <w:rPr>
                <w:color w:val="000000"/>
                <w:sz w:val="28"/>
                <w:szCs w:val="28"/>
                <w:lang w:val="uk-UA" w:eastAsia="uk-UA"/>
              </w:rPr>
            </w:pPr>
            <w:r w:rsidRPr="00E55CAD">
              <w:rPr>
                <w:color w:val="000000"/>
                <w:sz w:val="28"/>
                <w:szCs w:val="28"/>
                <w:lang w:val="uk-UA" w:eastAsia="uk-UA"/>
              </w:rPr>
              <w:t>До загальнодержавних податків належать:</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94.</w:t>
            </w:r>
          </w:p>
        </w:tc>
        <w:tc>
          <w:tcPr>
            <w:tcW w:w="4633" w:type="pct"/>
          </w:tcPr>
          <w:p w:rsidR="00E55CAD" w:rsidRPr="00E55CAD" w:rsidRDefault="00E55CAD" w:rsidP="00E55CAD">
            <w:pPr>
              <w:shd w:val="clear" w:color="auto" w:fill="FFFFFF"/>
              <w:jc w:val="both"/>
              <w:rPr>
                <w:color w:val="000000"/>
                <w:sz w:val="28"/>
                <w:szCs w:val="28"/>
                <w:lang w:val="uk-UA" w:eastAsia="uk-UA"/>
              </w:rPr>
            </w:pPr>
            <w:r w:rsidRPr="00E55CAD">
              <w:rPr>
                <w:color w:val="000000"/>
                <w:sz w:val="28"/>
                <w:szCs w:val="28"/>
                <w:lang w:val="uk-UA" w:eastAsia="uk-UA"/>
              </w:rPr>
              <w:t>До загальнодержавних податків належать:</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95.</w:t>
            </w:r>
          </w:p>
        </w:tc>
        <w:tc>
          <w:tcPr>
            <w:tcW w:w="4633" w:type="pct"/>
          </w:tcPr>
          <w:p w:rsidR="00E55CAD" w:rsidRPr="00E55CAD" w:rsidRDefault="00E55CAD" w:rsidP="00E55CAD">
            <w:pPr>
              <w:shd w:val="clear" w:color="auto" w:fill="FFFFFF"/>
              <w:jc w:val="both"/>
              <w:rPr>
                <w:color w:val="000000"/>
                <w:sz w:val="28"/>
                <w:szCs w:val="28"/>
                <w:lang w:val="uk-UA" w:eastAsia="uk-UA"/>
              </w:rPr>
            </w:pPr>
            <w:r w:rsidRPr="00E55CAD">
              <w:rPr>
                <w:color w:val="000000"/>
                <w:sz w:val="28"/>
                <w:szCs w:val="28"/>
                <w:lang w:val="uk-UA" w:eastAsia="uk-UA"/>
              </w:rPr>
              <w:t>До загальнодержавних податків належать:</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96.</w:t>
            </w:r>
          </w:p>
        </w:tc>
        <w:tc>
          <w:tcPr>
            <w:tcW w:w="4633" w:type="pct"/>
          </w:tcPr>
          <w:p w:rsidR="00E55CAD" w:rsidRPr="00E55CAD" w:rsidRDefault="00E55CAD" w:rsidP="00E55CAD">
            <w:pPr>
              <w:shd w:val="clear" w:color="auto" w:fill="FFFFFF"/>
              <w:jc w:val="both"/>
              <w:rPr>
                <w:color w:val="000000"/>
                <w:sz w:val="28"/>
                <w:szCs w:val="28"/>
                <w:lang w:val="uk-UA" w:eastAsia="uk-UA"/>
              </w:rPr>
            </w:pPr>
            <w:r w:rsidRPr="00E55CAD">
              <w:rPr>
                <w:color w:val="000000"/>
                <w:sz w:val="28"/>
                <w:szCs w:val="28"/>
                <w:lang w:val="uk-UA" w:eastAsia="uk-UA"/>
              </w:rPr>
              <w:t>До загальнодержавних податків належать:</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97.</w:t>
            </w:r>
          </w:p>
        </w:tc>
        <w:tc>
          <w:tcPr>
            <w:tcW w:w="4633" w:type="pct"/>
          </w:tcPr>
          <w:p w:rsidR="00E55CAD" w:rsidRPr="00E55CAD" w:rsidRDefault="00E55CAD" w:rsidP="00E55CAD">
            <w:pPr>
              <w:shd w:val="clear" w:color="auto" w:fill="FFFFFF"/>
              <w:jc w:val="both"/>
              <w:rPr>
                <w:color w:val="000000"/>
                <w:sz w:val="28"/>
                <w:szCs w:val="28"/>
                <w:lang w:val="uk-UA" w:eastAsia="uk-UA"/>
              </w:rPr>
            </w:pPr>
            <w:r w:rsidRPr="00E55CAD">
              <w:rPr>
                <w:color w:val="000000"/>
                <w:sz w:val="28"/>
                <w:szCs w:val="28"/>
                <w:lang w:val="uk-UA" w:eastAsia="uk-UA"/>
              </w:rPr>
              <w:t>До загальнодержавних податків належать:</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98.</w:t>
            </w:r>
          </w:p>
        </w:tc>
        <w:tc>
          <w:tcPr>
            <w:tcW w:w="4633" w:type="pct"/>
          </w:tcPr>
          <w:p w:rsidR="00E55CAD" w:rsidRPr="00E55CAD" w:rsidRDefault="00E55CAD" w:rsidP="00E55CAD">
            <w:pPr>
              <w:shd w:val="clear" w:color="auto" w:fill="FFFFFF"/>
              <w:jc w:val="both"/>
              <w:rPr>
                <w:color w:val="000000"/>
                <w:sz w:val="28"/>
                <w:szCs w:val="28"/>
                <w:lang w:val="uk-UA" w:eastAsia="uk-UA"/>
              </w:rPr>
            </w:pPr>
            <w:r w:rsidRPr="00E55CAD">
              <w:rPr>
                <w:color w:val="000000"/>
                <w:sz w:val="28"/>
                <w:szCs w:val="28"/>
                <w:lang w:val="uk-UA" w:eastAsia="uk-UA"/>
              </w:rPr>
              <w:t>До загальнодержавних податків належать:</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99.</w:t>
            </w:r>
          </w:p>
        </w:tc>
        <w:tc>
          <w:tcPr>
            <w:tcW w:w="4633" w:type="pct"/>
          </w:tcPr>
          <w:p w:rsidR="00E55CAD" w:rsidRPr="00E55CAD" w:rsidRDefault="00E55CAD" w:rsidP="00E55CAD">
            <w:pPr>
              <w:shd w:val="clear" w:color="auto" w:fill="FFFFFF"/>
              <w:jc w:val="both"/>
              <w:rPr>
                <w:color w:val="000000"/>
                <w:sz w:val="28"/>
                <w:szCs w:val="28"/>
                <w:lang w:val="uk-UA" w:eastAsia="uk-UA"/>
              </w:rPr>
            </w:pPr>
            <w:r w:rsidRPr="00E55CAD">
              <w:rPr>
                <w:color w:val="000000"/>
                <w:sz w:val="28"/>
                <w:szCs w:val="28"/>
                <w:lang w:val="uk-UA" w:eastAsia="uk-UA"/>
              </w:rPr>
              <w:t>До місцевих податків та зборів відносять:</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100.</w:t>
            </w:r>
          </w:p>
        </w:tc>
        <w:tc>
          <w:tcPr>
            <w:tcW w:w="4633" w:type="pct"/>
          </w:tcPr>
          <w:p w:rsidR="00E55CAD" w:rsidRPr="00E55CAD" w:rsidRDefault="00E55CAD" w:rsidP="00E55CAD">
            <w:pPr>
              <w:shd w:val="clear" w:color="auto" w:fill="FFFFFF"/>
              <w:jc w:val="both"/>
              <w:rPr>
                <w:color w:val="000000"/>
                <w:sz w:val="28"/>
                <w:szCs w:val="28"/>
                <w:lang w:val="uk-UA" w:eastAsia="uk-UA"/>
              </w:rPr>
            </w:pPr>
            <w:r w:rsidRPr="00E55CAD">
              <w:rPr>
                <w:color w:val="000000"/>
                <w:sz w:val="28"/>
                <w:szCs w:val="28"/>
                <w:lang w:val="uk-UA" w:eastAsia="uk-UA"/>
              </w:rPr>
              <w:t>До місцевих податків та зборів відносять</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101.</w:t>
            </w:r>
          </w:p>
        </w:tc>
        <w:tc>
          <w:tcPr>
            <w:tcW w:w="4633" w:type="pct"/>
          </w:tcPr>
          <w:p w:rsidR="00E55CAD" w:rsidRPr="00E55CAD" w:rsidRDefault="00E55CAD" w:rsidP="00661969">
            <w:pPr>
              <w:shd w:val="clear" w:color="auto" w:fill="FFFFFF"/>
              <w:jc w:val="both"/>
              <w:rPr>
                <w:color w:val="000000"/>
                <w:sz w:val="28"/>
                <w:szCs w:val="28"/>
                <w:lang w:val="uk-UA" w:eastAsia="uk-UA"/>
              </w:rPr>
            </w:pPr>
            <w:r w:rsidRPr="00E55CAD">
              <w:rPr>
                <w:color w:val="000000"/>
                <w:sz w:val="28"/>
                <w:szCs w:val="28"/>
                <w:lang w:val="uk-UA" w:eastAsia="uk-UA"/>
              </w:rPr>
              <w:t>До місцевих зборів належить:</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102.</w:t>
            </w:r>
          </w:p>
        </w:tc>
        <w:tc>
          <w:tcPr>
            <w:tcW w:w="4633" w:type="pct"/>
          </w:tcPr>
          <w:p w:rsidR="00E55CAD" w:rsidRPr="00E55CAD" w:rsidRDefault="00E55CAD" w:rsidP="00E55CAD">
            <w:pPr>
              <w:shd w:val="clear" w:color="auto" w:fill="FFFFFF"/>
              <w:jc w:val="both"/>
              <w:rPr>
                <w:color w:val="000000"/>
                <w:sz w:val="28"/>
                <w:szCs w:val="28"/>
                <w:lang w:val="uk-UA" w:eastAsia="uk-UA"/>
              </w:rPr>
            </w:pPr>
            <w:r w:rsidRPr="00E55CAD">
              <w:rPr>
                <w:color w:val="000000"/>
                <w:sz w:val="28"/>
                <w:szCs w:val="28"/>
                <w:lang w:val="uk-UA" w:eastAsia="uk-UA"/>
              </w:rPr>
              <w:t>До місцевих зборів належить:</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103.</w:t>
            </w:r>
          </w:p>
        </w:tc>
        <w:tc>
          <w:tcPr>
            <w:tcW w:w="4633" w:type="pct"/>
          </w:tcPr>
          <w:p w:rsidR="00E55CAD" w:rsidRPr="00CC4A77" w:rsidRDefault="00E55CAD" w:rsidP="00CC4A77">
            <w:pPr>
              <w:shd w:val="clear" w:color="auto" w:fill="FFFFFF"/>
              <w:jc w:val="both"/>
              <w:rPr>
                <w:color w:val="000000"/>
                <w:sz w:val="28"/>
                <w:szCs w:val="28"/>
                <w:lang w:val="uk-UA" w:eastAsia="uk-UA"/>
              </w:rPr>
            </w:pPr>
            <w:r w:rsidRPr="00E55CAD">
              <w:rPr>
                <w:color w:val="000000"/>
                <w:sz w:val="28"/>
                <w:szCs w:val="28"/>
                <w:lang w:val="uk-UA" w:eastAsia="uk-UA"/>
              </w:rPr>
              <w:t>До загальнодержавних податків належать:</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104.</w:t>
            </w:r>
          </w:p>
        </w:tc>
        <w:tc>
          <w:tcPr>
            <w:tcW w:w="4633" w:type="pct"/>
          </w:tcPr>
          <w:p w:rsidR="00E55CAD" w:rsidRPr="00CC4A77" w:rsidRDefault="00E55CAD" w:rsidP="00CC4A77">
            <w:pPr>
              <w:shd w:val="clear" w:color="auto" w:fill="FFFFFF"/>
              <w:jc w:val="both"/>
              <w:rPr>
                <w:color w:val="000000"/>
                <w:sz w:val="28"/>
                <w:szCs w:val="28"/>
                <w:lang w:val="uk-UA" w:eastAsia="uk-UA"/>
              </w:rPr>
            </w:pPr>
            <w:r w:rsidRPr="00E55CAD">
              <w:rPr>
                <w:color w:val="000000"/>
                <w:sz w:val="28"/>
                <w:szCs w:val="28"/>
                <w:lang w:val="uk-UA" w:eastAsia="uk-UA"/>
              </w:rPr>
              <w:t>До загальнодержавних податків належать:</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105.</w:t>
            </w:r>
          </w:p>
        </w:tc>
        <w:tc>
          <w:tcPr>
            <w:tcW w:w="4633" w:type="pct"/>
          </w:tcPr>
          <w:p w:rsidR="00E55CAD" w:rsidRPr="00CC4A77" w:rsidRDefault="00E55CAD" w:rsidP="00661969">
            <w:pPr>
              <w:rPr>
                <w:sz w:val="28"/>
                <w:szCs w:val="28"/>
                <w:lang w:val="uk-UA"/>
              </w:rPr>
            </w:pPr>
            <w:r w:rsidRPr="00E55CAD">
              <w:rPr>
                <w:sz w:val="28"/>
                <w:szCs w:val="28"/>
                <w:lang w:val="uk-UA"/>
              </w:rPr>
              <w:t>Доходи як економічна категорія – це:</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106.</w:t>
            </w:r>
          </w:p>
        </w:tc>
        <w:tc>
          <w:tcPr>
            <w:tcW w:w="4633" w:type="pct"/>
          </w:tcPr>
          <w:p w:rsidR="00E55CAD" w:rsidRPr="00E55CAD" w:rsidRDefault="00E55CAD" w:rsidP="00661969">
            <w:pPr>
              <w:rPr>
                <w:sz w:val="28"/>
                <w:szCs w:val="28"/>
                <w:lang w:val="uk-UA"/>
              </w:rPr>
            </w:pPr>
            <w:r w:rsidRPr="00E55CAD">
              <w:rPr>
                <w:sz w:val="28"/>
                <w:szCs w:val="28"/>
                <w:lang w:val="uk-UA"/>
              </w:rPr>
              <w:t>Доходи підприємства від реалізації продукції (товарів, робіт, послуг) – це:</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107.</w:t>
            </w:r>
          </w:p>
        </w:tc>
        <w:tc>
          <w:tcPr>
            <w:tcW w:w="4633" w:type="pct"/>
          </w:tcPr>
          <w:p w:rsidR="00E55CAD" w:rsidRPr="00E55CAD" w:rsidRDefault="00E55CAD" w:rsidP="00661969">
            <w:pPr>
              <w:rPr>
                <w:sz w:val="28"/>
                <w:szCs w:val="28"/>
                <w:lang w:val="uk-UA"/>
              </w:rPr>
            </w:pPr>
            <w:r w:rsidRPr="00E55CAD">
              <w:rPr>
                <w:sz w:val="28"/>
                <w:szCs w:val="28"/>
                <w:lang w:val="uk-UA"/>
              </w:rPr>
              <w:t>Прибуток – це:</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108.</w:t>
            </w:r>
          </w:p>
        </w:tc>
        <w:tc>
          <w:tcPr>
            <w:tcW w:w="4633" w:type="pct"/>
          </w:tcPr>
          <w:p w:rsidR="00E55CAD" w:rsidRPr="00E55CAD" w:rsidRDefault="00E55CAD" w:rsidP="00661969">
            <w:pPr>
              <w:rPr>
                <w:sz w:val="28"/>
                <w:szCs w:val="28"/>
                <w:lang w:val="uk-UA"/>
              </w:rPr>
            </w:pPr>
            <w:r w:rsidRPr="00E55CAD">
              <w:rPr>
                <w:sz w:val="28"/>
                <w:szCs w:val="28"/>
                <w:lang w:val="uk-UA"/>
              </w:rPr>
              <w:t>Назвіть чинники, що впливають на величину чистого доходу від реалізації продукції (товарів, робіт, послуг):</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109.</w:t>
            </w:r>
          </w:p>
        </w:tc>
        <w:tc>
          <w:tcPr>
            <w:tcW w:w="4633" w:type="pct"/>
          </w:tcPr>
          <w:p w:rsidR="00E55CAD" w:rsidRPr="00CC4A77" w:rsidRDefault="00E55CAD" w:rsidP="00661969">
            <w:pPr>
              <w:rPr>
                <w:sz w:val="28"/>
                <w:szCs w:val="28"/>
                <w:lang w:val="uk-UA"/>
              </w:rPr>
            </w:pPr>
            <w:r w:rsidRPr="00E55CAD">
              <w:rPr>
                <w:sz w:val="28"/>
                <w:szCs w:val="28"/>
                <w:lang w:val="uk-UA"/>
              </w:rPr>
              <w:t>На величину валового прибутку впливають:</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110.</w:t>
            </w:r>
          </w:p>
        </w:tc>
        <w:tc>
          <w:tcPr>
            <w:tcW w:w="4633" w:type="pct"/>
          </w:tcPr>
          <w:p w:rsidR="00E55CAD" w:rsidRPr="00CC4A77" w:rsidRDefault="00E55CAD" w:rsidP="00661969">
            <w:pPr>
              <w:rPr>
                <w:sz w:val="28"/>
                <w:szCs w:val="28"/>
                <w:lang w:val="uk-UA"/>
              </w:rPr>
            </w:pPr>
            <w:r w:rsidRPr="00E55CAD">
              <w:rPr>
                <w:sz w:val="28"/>
                <w:szCs w:val="28"/>
                <w:lang w:val="uk-UA"/>
              </w:rPr>
              <w:t>Прибуток від операційної діяльності – це:</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111.</w:t>
            </w:r>
          </w:p>
        </w:tc>
        <w:tc>
          <w:tcPr>
            <w:tcW w:w="4633" w:type="pct"/>
          </w:tcPr>
          <w:p w:rsidR="00E55CAD" w:rsidRPr="00E55CAD" w:rsidRDefault="00E55CAD" w:rsidP="00661969">
            <w:pPr>
              <w:rPr>
                <w:sz w:val="28"/>
                <w:szCs w:val="28"/>
                <w:lang w:val="uk-UA"/>
              </w:rPr>
            </w:pPr>
            <w:r w:rsidRPr="00E55CAD">
              <w:rPr>
                <w:sz w:val="28"/>
                <w:szCs w:val="28"/>
                <w:lang w:val="uk-UA"/>
              </w:rPr>
              <w:t>Збиток від операційної діяльності – це:</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112.</w:t>
            </w:r>
          </w:p>
        </w:tc>
        <w:tc>
          <w:tcPr>
            <w:tcW w:w="4633" w:type="pct"/>
          </w:tcPr>
          <w:p w:rsidR="00E55CAD" w:rsidRPr="00E55CAD" w:rsidRDefault="00E55CAD" w:rsidP="00661969">
            <w:pPr>
              <w:rPr>
                <w:sz w:val="28"/>
                <w:szCs w:val="28"/>
                <w:lang w:val="uk-UA"/>
              </w:rPr>
            </w:pPr>
            <w:r w:rsidRPr="00E55CAD">
              <w:rPr>
                <w:sz w:val="28"/>
                <w:szCs w:val="28"/>
                <w:lang w:val="uk-UA"/>
              </w:rPr>
              <w:t>Чистий прибуток планується як:</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113.</w:t>
            </w:r>
          </w:p>
        </w:tc>
        <w:tc>
          <w:tcPr>
            <w:tcW w:w="4633" w:type="pct"/>
          </w:tcPr>
          <w:p w:rsidR="00E55CAD" w:rsidRPr="00CC4A77" w:rsidRDefault="00E55CAD" w:rsidP="00661969">
            <w:pPr>
              <w:rPr>
                <w:sz w:val="28"/>
                <w:szCs w:val="28"/>
                <w:lang w:val="uk-UA"/>
              </w:rPr>
            </w:pPr>
            <w:r w:rsidRPr="00E55CAD">
              <w:rPr>
                <w:sz w:val="28"/>
                <w:szCs w:val="28"/>
                <w:lang w:val="uk-UA"/>
              </w:rPr>
              <w:t>Чистий дохід – це:</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114.</w:t>
            </w:r>
          </w:p>
        </w:tc>
        <w:tc>
          <w:tcPr>
            <w:tcW w:w="4633" w:type="pct"/>
          </w:tcPr>
          <w:p w:rsidR="00E55CAD" w:rsidRPr="00E55CAD" w:rsidRDefault="00E55CAD" w:rsidP="00661969">
            <w:pPr>
              <w:rPr>
                <w:sz w:val="28"/>
                <w:szCs w:val="28"/>
                <w:lang w:val="uk-UA"/>
              </w:rPr>
            </w:pPr>
            <w:r w:rsidRPr="00E55CAD">
              <w:rPr>
                <w:sz w:val="28"/>
                <w:szCs w:val="28"/>
                <w:lang w:val="uk-UA"/>
              </w:rPr>
              <w:t xml:space="preserve">Беззбиткова діяльність підприємства забезпечує: </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115.</w:t>
            </w:r>
          </w:p>
        </w:tc>
        <w:tc>
          <w:tcPr>
            <w:tcW w:w="4633" w:type="pct"/>
          </w:tcPr>
          <w:p w:rsidR="00E55CAD" w:rsidRPr="00CC4A77" w:rsidRDefault="00E55CAD" w:rsidP="00CC4A77">
            <w:pPr>
              <w:rPr>
                <w:sz w:val="28"/>
                <w:szCs w:val="28"/>
                <w:lang w:val="uk-UA"/>
              </w:rPr>
            </w:pPr>
            <w:r w:rsidRPr="00E55CAD">
              <w:rPr>
                <w:sz w:val="28"/>
                <w:szCs w:val="28"/>
                <w:lang w:val="uk-UA"/>
              </w:rPr>
              <w:t>Збиткова діяльність призводить до:</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116.</w:t>
            </w:r>
          </w:p>
        </w:tc>
        <w:tc>
          <w:tcPr>
            <w:tcW w:w="4633" w:type="pct"/>
          </w:tcPr>
          <w:p w:rsidR="00E55CAD" w:rsidRPr="00E55CAD" w:rsidRDefault="00E55CAD" w:rsidP="00661969">
            <w:pPr>
              <w:rPr>
                <w:color w:val="000000"/>
                <w:sz w:val="28"/>
                <w:szCs w:val="28"/>
                <w:lang w:val="uk-UA" w:eastAsia="uk-UA"/>
              </w:rPr>
            </w:pPr>
            <w:r w:rsidRPr="00E55CAD">
              <w:rPr>
                <w:color w:val="000000"/>
                <w:sz w:val="28"/>
                <w:szCs w:val="28"/>
                <w:lang w:val="uk-UA" w:eastAsia="uk-UA"/>
              </w:rPr>
              <w:t>До зовнішніх користувачів фінансового плану відносять:</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117.</w:t>
            </w:r>
          </w:p>
        </w:tc>
        <w:tc>
          <w:tcPr>
            <w:tcW w:w="4633" w:type="pct"/>
          </w:tcPr>
          <w:p w:rsidR="00E55CAD" w:rsidRPr="00E55CAD" w:rsidRDefault="00E55CAD" w:rsidP="00661969">
            <w:pPr>
              <w:rPr>
                <w:sz w:val="28"/>
                <w:szCs w:val="28"/>
                <w:lang w:val="uk-UA"/>
              </w:rPr>
            </w:pPr>
            <w:r w:rsidRPr="00E55CAD">
              <w:rPr>
                <w:sz w:val="28"/>
                <w:szCs w:val="28"/>
                <w:lang w:val="uk-UA"/>
              </w:rPr>
              <w:t>Збільшення економічної вигоди у вигляді надходження активів або зменшення зобов’язань, які призводять до зростання власного капіталу, це:</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118.</w:t>
            </w:r>
          </w:p>
        </w:tc>
        <w:tc>
          <w:tcPr>
            <w:tcW w:w="4633" w:type="pct"/>
          </w:tcPr>
          <w:p w:rsidR="00E55CAD" w:rsidRPr="00E55CAD" w:rsidRDefault="00E55CAD" w:rsidP="00661969">
            <w:pPr>
              <w:rPr>
                <w:sz w:val="28"/>
                <w:szCs w:val="28"/>
                <w:lang w:val="uk-UA"/>
              </w:rPr>
            </w:pPr>
            <w:r w:rsidRPr="00E55CAD">
              <w:rPr>
                <w:sz w:val="28"/>
                <w:szCs w:val="28"/>
                <w:lang w:val="uk-UA"/>
              </w:rPr>
              <w:t>Основним шляхом збільшення прибутку на промисловому підприємстві є:</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119.</w:t>
            </w:r>
          </w:p>
        </w:tc>
        <w:tc>
          <w:tcPr>
            <w:tcW w:w="4633" w:type="pct"/>
          </w:tcPr>
          <w:p w:rsidR="00E55CAD" w:rsidRPr="00E55CAD" w:rsidRDefault="00E55CAD" w:rsidP="00661969">
            <w:pPr>
              <w:shd w:val="clear" w:color="auto" w:fill="FFFFFF"/>
              <w:jc w:val="both"/>
              <w:rPr>
                <w:color w:val="000000"/>
                <w:sz w:val="28"/>
                <w:szCs w:val="28"/>
                <w:lang w:val="uk-UA" w:eastAsia="uk-UA"/>
              </w:rPr>
            </w:pPr>
            <w:r w:rsidRPr="00E55CAD">
              <w:rPr>
                <w:color w:val="000000"/>
                <w:sz w:val="28"/>
                <w:szCs w:val="28"/>
                <w:lang w:val="uk-UA" w:eastAsia="uk-UA"/>
              </w:rPr>
              <w:t>Поточний фінансовий план розробляється на основі:</w:t>
            </w:r>
          </w:p>
        </w:tc>
      </w:tr>
      <w:tr w:rsidR="00E55CAD" w:rsidRPr="00E55CAD" w:rsidTr="00E55CAD">
        <w:tc>
          <w:tcPr>
            <w:tcW w:w="367" w:type="pct"/>
          </w:tcPr>
          <w:p w:rsidR="00E55CAD" w:rsidRPr="00E55CAD" w:rsidRDefault="00E55CAD" w:rsidP="00661969">
            <w:pPr>
              <w:jc w:val="center"/>
              <w:rPr>
                <w:sz w:val="28"/>
                <w:szCs w:val="28"/>
                <w:lang w:val="uk-UA"/>
              </w:rPr>
            </w:pPr>
            <w:r w:rsidRPr="00E55CAD">
              <w:rPr>
                <w:sz w:val="28"/>
                <w:szCs w:val="28"/>
                <w:lang w:val="uk-UA"/>
              </w:rPr>
              <w:t>120.</w:t>
            </w:r>
          </w:p>
        </w:tc>
        <w:tc>
          <w:tcPr>
            <w:tcW w:w="4633" w:type="pct"/>
          </w:tcPr>
          <w:p w:rsidR="00E55CAD" w:rsidRPr="00E55CAD" w:rsidRDefault="00E55CAD" w:rsidP="00661969">
            <w:pPr>
              <w:shd w:val="clear" w:color="auto" w:fill="FFFFFF"/>
              <w:jc w:val="both"/>
              <w:rPr>
                <w:color w:val="000000"/>
                <w:sz w:val="28"/>
                <w:szCs w:val="28"/>
                <w:lang w:val="uk-UA" w:eastAsia="uk-UA"/>
              </w:rPr>
            </w:pPr>
            <w:r w:rsidRPr="00E55CAD">
              <w:rPr>
                <w:color w:val="000000"/>
                <w:sz w:val="28"/>
                <w:szCs w:val="28"/>
                <w:lang w:val="uk-UA" w:eastAsia="uk-UA"/>
              </w:rPr>
              <w:t>Фінансовий план складається з:</w:t>
            </w:r>
            <w:bookmarkStart w:id="0" w:name="_GoBack"/>
            <w:bookmarkEnd w:id="0"/>
          </w:p>
        </w:tc>
      </w:tr>
    </w:tbl>
    <w:p w:rsidR="00E00163" w:rsidRPr="00E55CAD" w:rsidRDefault="00E00163" w:rsidP="00E55CAD"/>
    <w:sectPr w:rsidR="00E00163" w:rsidRPr="00E55CAD" w:rsidSect="00E55CA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E6C01"/>
    <w:multiLevelType w:val="hybridMultilevel"/>
    <w:tmpl w:val="68B21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AC1"/>
    <w:rsid w:val="00CC4A77"/>
    <w:rsid w:val="00E00163"/>
    <w:rsid w:val="00E55CAD"/>
    <w:rsid w:val="00F84A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1EA58B-9660-4976-8F46-1517BDA8D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AC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5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E55CAD"/>
    <w:rPr>
      <w:rFonts w:ascii="Times New Roman" w:hAnsi="Times New Roman" w:cs="Times New Roman" w:hint="default"/>
      <w:b w:val="0"/>
      <w:bCs w:val="0"/>
      <w:i/>
      <w:iCs/>
      <w:color w:val="000000"/>
      <w:sz w:val="28"/>
      <w:szCs w:val="28"/>
    </w:rPr>
  </w:style>
  <w:style w:type="paragraph" w:styleId="a4">
    <w:name w:val="Normal (Web)"/>
    <w:basedOn w:val="a"/>
    <w:uiPriority w:val="99"/>
    <w:unhideWhenUsed/>
    <w:rsid w:val="00E55CAD"/>
    <w:pPr>
      <w:spacing w:before="100" w:beforeAutospacing="1" w:after="100" w:afterAutospacing="1"/>
    </w:pPr>
  </w:style>
  <w:style w:type="character" w:styleId="a5">
    <w:name w:val="Strong"/>
    <w:uiPriority w:val="22"/>
    <w:qFormat/>
    <w:rsid w:val="00E55C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2493</Words>
  <Characters>14214</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Samsung</cp:lastModifiedBy>
  <cp:revision>2</cp:revision>
  <dcterms:created xsi:type="dcterms:W3CDTF">2020-04-22T10:42:00Z</dcterms:created>
  <dcterms:modified xsi:type="dcterms:W3CDTF">2020-12-21T20:01:00Z</dcterms:modified>
</cp:coreProperties>
</file>