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AD" w:rsidRPr="005A3D8B" w:rsidRDefault="00E55CAD" w:rsidP="00E55CAD">
      <w:pPr>
        <w:jc w:val="center"/>
        <w:rPr>
          <w:b/>
          <w:sz w:val="28"/>
          <w:szCs w:val="28"/>
          <w:lang w:val="uk-UA"/>
        </w:rPr>
      </w:pPr>
      <w:r w:rsidRPr="005A3D8B">
        <w:rPr>
          <w:b/>
          <w:sz w:val="28"/>
          <w:szCs w:val="28"/>
          <w:lang w:val="uk-UA"/>
        </w:rPr>
        <w:t>Перелік питань</w:t>
      </w:r>
    </w:p>
    <w:p w:rsidR="00E55CAD" w:rsidRDefault="00E55CAD" w:rsidP="00E55CAD">
      <w:pPr>
        <w:tabs>
          <w:tab w:val="left" w:pos="851"/>
        </w:tabs>
        <w:jc w:val="center"/>
        <w:rPr>
          <w:sz w:val="28"/>
          <w:szCs w:val="28"/>
          <w:lang w:val="uk-UA"/>
        </w:rPr>
      </w:pPr>
      <w:r w:rsidRPr="005A3D8B">
        <w:rPr>
          <w:sz w:val="28"/>
          <w:szCs w:val="28"/>
          <w:lang w:val="uk-UA"/>
        </w:rPr>
        <w:t xml:space="preserve">з навчальної дисципліни </w:t>
      </w:r>
    </w:p>
    <w:p w:rsidR="00E55CAD" w:rsidRPr="00BE46B1" w:rsidRDefault="00E55CAD" w:rsidP="00E55CAD">
      <w:pPr>
        <w:tabs>
          <w:tab w:val="left" w:pos="851"/>
        </w:tabs>
        <w:jc w:val="center"/>
        <w:rPr>
          <w:sz w:val="28"/>
          <w:szCs w:val="28"/>
          <w:u w:val="single"/>
          <w:lang w:val="uk-UA"/>
        </w:rPr>
      </w:pPr>
      <w:r w:rsidRPr="00BE46B1">
        <w:rPr>
          <w:sz w:val="28"/>
          <w:szCs w:val="28"/>
          <w:u w:val="single"/>
          <w:lang w:val="uk-UA"/>
        </w:rPr>
        <w:t>«</w:t>
      </w:r>
      <w:r>
        <w:rPr>
          <w:sz w:val="28"/>
          <w:szCs w:val="28"/>
          <w:u w:val="single"/>
          <w:lang w:val="uk-UA"/>
        </w:rPr>
        <w:t>Фінансове планування</w:t>
      </w:r>
      <w:r w:rsidRPr="00BE46B1">
        <w:rPr>
          <w:sz w:val="28"/>
          <w:szCs w:val="28"/>
          <w:u w:val="single"/>
          <w:lang w:val="uk-UA"/>
        </w:rPr>
        <w:t>»</w:t>
      </w:r>
    </w:p>
    <w:p w:rsidR="00E55CAD" w:rsidRPr="00BE46B1" w:rsidRDefault="00E55CAD" w:rsidP="00E55CAD">
      <w:pPr>
        <w:jc w:val="center"/>
        <w:rPr>
          <w:bCs/>
          <w:kern w:val="36"/>
          <w:sz w:val="28"/>
          <w:szCs w:val="28"/>
          <w:lang w:val="uk-UA"/>
        </w:rPr>
      </w:pPr>
      <w:r w:rsidRPr="00BE46B1">
        <w:rPr>
          <w:bCs/>
          <w:kern w:val="36"/>
          <w:sz w:val="28"/>
          <w:szCs w:val="28"/>
          <w:lang w:val="uk-UA"/>
        </w:rPr>
        <w:t>за спеціальністю</w:t>
      </w:r>
      <w:r w:rsidRPr="00BE46B1">
        <w:rPr>
          <w:sz w:val="28"/>
          <w:szCs w:val="28"/>
          <w:lang w:val="uk-UA"/>
        </w:rPr>
        <w:t xml:space="preserve">: </w:t>
      </w:r>
      <w:r w:rsidRPr="00BE46B1">
        <w:rPr>
          <w:bCs/>
          <w:kern w:val="36"/>
          <w:sz w:val="28"/>
          <w:szCs w:val="28"/>
          <w:lang w:val="uk-UA"/>
        </w:rPr>
        <w:t>051 «Економіка»</w:t>
      </w:r>
    </w:p>
    <w:p w:rsidR="00E55CAD" w:rsidRDefault="00E55CAD" w:rsidP="00E55CAD">
      <w:pPr>
        <w:jc w:val="center"/>
        <w:rPr>
          <w:bCs/>
          <w:kern w:val="36"/>
          <w:sz w:val="28"/>
          <w:szCs w:val="28"/>
          <w:lang w:val="uk-UA"/>
        </w:rPr>
      </w:pPr>
      <w:r w:rsidRPr="00BE46B1">
        <w:rPr>
          <w:bCs/>
          <w:kern w:val="36"/>
          <w:sz w:val="28"/>
          <w:szCs w:val="28"/>
          <w:lang w:val="uk-UA"/>
        </w:rPr>
        <w:t>освітнього ступеня «бакалавр</w:t>
      </w:r>
    </w:p>
    <w:p w:rsidR="00E55CAD" w:rsidRPr="00BE46B1" w:rsidRDefault="00E55CAD" w:rsidP="00E55CAD">
      <w:pPr>
        <w:jc w:val="center"/>
        <w:rPr>
          <w:b/>
          <w:sz w:val="28"/>
          <w:szCs w:val="28"/>
          <w:lang w:val="uk-UA"/>
        </w:rPr>
      </w:pPr>
    </w:p>
    <w:tbl>
      <w:tblPr>
        <w:tblStyle w:val="a3"/>
        <w:tblW w:w="5000" w:type="pct"/>
        <w:tblLook w:val="04A0" w:firstRow="1" w:lastRow="0" w:firstColumn="1" w:lastColumn="0" w:noHBand="0" w:noVBand="1"/>
      </w:tblPr>
      <w:tblGrid>
        <w:gridCol w:w="723"/>
        <w:gridCol w:w="9131"/>
      </w:tblGrid>
      <w:tr w:rsidR="00E55CAD" w:rsidRPr="00BE46B1" w:rsidTr="00E55CAD">
        <w:tc>
          <w:tcPr>
            <w:tcW w:w="367" w:type="pct"/>
          </w:tcPr>
          <w:p w:rsidR="00E55CAD" w:rsidRPr="00BE46B1" w:rsidRDefault="00E55CAD" w:rsidP="00661969">
            <w:pPr>
              <w:jc w:val="center"/>
              <w:rPr>
                <w:sz w:val="28"/>
                <w:szCs w:val="28"/>
                <w:lang w:val="uk-UA"/>
              </w:rPr>
            </w:pPr>
            <w:r w:rsidRPr="00BE46B1">
              <w:rPr>
                <w:sz w:val="28"/>
                <w:szCs w:val="28"/>
                <w:lang w:val="uk-UA"/>
              </w:rPr>
              <w:t>№</w:t>
            </w:r>
          </w:p>
          <w:p w:rsidR="00E55CAD" w:rsidRPr="00BE46B1" w:rsidRDefault="00E55CAD" w:rsidP="00661969">
            <w:pPr>
              <w:jc w:val="center"/>
              <w:rPr>
                <w:sz w:val="28"/>
                <w:szCs w:val="28"/>
                <w:lang w:val="uk-UA"/>
              </w:rPr>
            </w:pPr>
            <w:r w:rsidRPr="00BE46B1">
              <w:rPr>
                <w:sz w:val="28"/>
                <w:szCs w:val="28"/>
                <w:lang w:val="uk-UA"/>
              </w:rPr>
              <w:t>з/п</w:t>
            </w:r>
          </w:p>
        </w:tc>
        <w:tc>
          <w:tcPr>
            <w:tcW w:w="4633" w:type="pct"/>
            <w:vAlign w:val="center"/>
          </w:tcPr>
          <w:p w:rsidR="00E55CAD" w:rsidRPr="00BE46B1" w:rsidRDefault="00E55CAD" w:rsidP="00661969">
            <w:pPr>
              <w:jc w:val="center"/>
              <w:rPr>
                <w:sz w:val="28"/>
                <w:szCs w:val="28"/>
                <w:lang w:val="uk-UA"/>
              </w:rPr>
            </w:pPr>
            <w:r w:rsidRPr="00BE46B1">
              <w:rPr>
                <w:sz w:val="28"/>
                <w:szCs w:val="28"/>
                <w:lang w:val="uk-UA"/>
              </w:rPr>
              <w:t>Зміст питання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Принцип при використанні фінансової звітності, згідно з яким фінансова звітність повинна містити всю інформацію про фактичні та потенційні наслідки операцій та подій, яка може вплинути на рішення, що приймаються на її основі</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2.</w:t>
            </w:r>
          </w:p>
        </w:tc>
        <w:tc>
          <w:tcPr>
            <w:tcW w:w="4633" w:type="pct"/>
          </w:tcPr>
          <w:p w:rsidR="00E55CAD" w:rsidRPr="00E55CAD" w:rsidRDefault="00E55CAD" w:rsidP="00661969">
            <w:pPr>
              <w:tabs>
                <w:tab w:val="left" w:pos="567"/>
                <w:tab w:val="left" w:pos="851"/>
              </w:tabs>
              <w:contextualSpacing/>
              <w:jc w:val="both"/>
              <w:rPr>
                <w:sz w:val="28"/>
                <w:szCs w:val="28"/>
                <w:lang w:val="uk-UA" w:eastAsia="uk-UA"/>
              </w:rPr>
            </w:pPr>
            <w:r w:rsidRPr="00E55CAD">
              <w:rPr>
                <w:color w:val="000000"/>
                <w:sz w:val="28"/>
                <w:szCs w:val="28"/>
                <w:shd w:val="clear" w:color="auto" w:fill="FFFFFF"/>
                <w:lang w:val="uk-UA"/>
              </w:rPr>
              <w:t>Принцип при використанні фінансової звітності, який передбачає постійне (із року в рік) застосування підприємством обраної облікової політики. Зміна облікової політики повинна бути обґрунтована і розкрита у фінансовій звітності;</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3.</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Принцип при використанні фінансової звітності, згідно з яким методи оцінки, що застосовуються в бухгалтерському обліку, повинні запобігати заниженню оцінки зобов’язань та витрат і завищенню оцінки активів і доходів підприємства;</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4.</w:t>
            </w:r>
          </w:p>
        </w:tc>
        <w:tc>
          <w:tcPr>
            <w:tcW w:w="4633" w:type="pct"/>
          </w:tcPr>
          <w:p w:rsidR="00E55CAD" w:rsidRPr="00E55CAD" w:rsidRDefault="00E55CAD" w:rsidP="00661969">
            <w:pPr>
              <w:tabs>
                <w:tab w:val="left" w:pos="567"/>
                <w:tab w:val="left" w:pos="851"/>
              </w:tabs>
              <w:contextualSpacing/>
              <w:jc w:val="both"/>
              <w:rPr>
                <w:sz w:val="28"/>
                <w:szCs w:val="28"/>
                <w:lang w:val="uk-UA" w:eastAsia="uk-UA"/>
              </w:rPr>
            </w:pPr>
            <w:r w:rsidRPr="00E55CAD">
              <w:rPr>
                <w:color w:val="000000"/>
                <w:sz w:val="28"/>
                <w:szCs w:val="28"/>
                <w:shd w:val="clear" w:color="auto" w:fill="FFFFFF"/>
                <w:lang w:val="uk-UA"/>
              </w:rPr>
              <w:t xml:space="preserve">Принцип  при використанні фінансової звітності, за яким операції повинні обліковуватись відповідно до їх сутності, а не </w:t>
            </w:r>
            <w:r>
              <w:rPr>
                <w:color w:val="000000"/>
                <w:sz w:val="28"/>
                <w:szCs w:val="28"/>
                <w:shd w:val="clear" w:color="auto" w:fill="FFFFFF"/>
                <w:lang w:val="uk-UA"/>
              </w:rPr>
              <w:t>лише виходячи з юридичної форми</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5.</w:t>
            </w:r>
          </w:p>
        </w:tc>
        <w:tc>
          <w:tcPr>
            <w:tcW w:w="4633" w:type="pct"/>
          </w:tcPr>
          <w:p w:rsidR="00E55CAD" w:rsidRPr="00E55CAD" w:rsidRDefault="00E55CAD" w:rsidP="00661969">
            <w:pPr>
              <w:jc w:val="both"/>
              <w:rPr>
                <w:sz w:val="28"/>
                <w:szCs w:val="28"/>
                <w:lang w:val="uk-UA"/>
              </w:rPr>
            </w:pPr>
            <w:r>
              <w:rPr>
                <w:color w:val="000000"/>
                <w:sz w:val="28"/>
                <w:szCs w:val="28"/>
                <w:shd w:val="clear" w:color="auto" w:fill="FFFFFF"/>
                <w:lang w:val="uk-UA"/>
              </w:rPr>
              <w:t xml:space="preserve">Принцип при використанні фінансової </w:t>
            </w:r>
            <w:r w:rsidRPr="00E55CAD">
              <w:rPr>
                <w:color w:val="000000"/>
                <w:sz w:val="28"/>
                <w:szCs w:val="28"/>
                <w:shd w:val="clear" w:color="auto" w:fill="FFFFFF"/>
                <w:lang w:val="uk-UA"/>
              </w:rPr>
              <w:t>звітності, який передбачає вимірювання та узагальнення всіх операцій підприємства у його фінансовій звіт</w:t>
            </w:r>
            <w:r>
              <w:rPr>
                <w:color w:val="000000"/>
                <w:sz w:val="28"/>
                <w:szCs w:val="28"/>
                <w:shd w:val="clear" w:color="auto" w:fill="FFFFFF"/>
                <w:lang w:val="uk-UA"/>
              </w:rPr>
              <w:t>ності в єдиній грошовій одиниці</w:t>
            </w:r>
          </w:p>
        </w:tc>
      </w:tr>
      <w:tr w:rsidR="00E55CAD" w:rsidRPr="00E55CAD" w:rsidTr="00E55CAD">
        <w:trPr>
          <w:trHeight w:val="894"/>
        </w:trPr>
        <w:tc>
          <w:tcPr>
            <w:tcW w:w="367" w:type="pct"/>
          </w:tcPr>
          <w:p w:rsidR="00E55CAD" w:rsidRPr="00E55CAD" w:rsidRDefault="00E55CAD" w:rsidP="00661969">
            <w:pPr>
              <w:jc w:val="center"/>
              <w:rPr>
                <w:sz w:val="28"/>
                <w:szCs w:val="28"/>
                <w:lang w:val="uk-UA"/>
              </w:rPr>
            </w:pPr>
            <w:r w:rsidRPr="00E55CAD">
              <w:rPr>
                <w:sz w:val="28"/>
                <w:szCs w:val="28"/>
                <w:lang w:val="uk-UA"/>
              </w:rPr>
              <w:t>6.</w:t>
            </w:r>
          </w:p>
        </w:tc>
        <w:tc>
          <w:tcPr>
            <w:tcW w:w="4633" w:type="pct"/>
          </w:tcPr>
          <w:p w:rsidR="00E55CAD" w:rsidRPr="00E55CAD" w:rsidRDefault="00E55CAD" w:rsidP="00661969">
            <w:pPr>
              <w:tabs>
                <w:tab w:val="left" w:pos="6225"/>
              </w:tabs>
              <w:rPr>
                <w:sz w:val="28"/>
                <w:szCs w:val="28"/>
                <w:lang w:val="uk-UA"/>
              </w:rPr>
            </w:pPr>
            <w:r w:rsidRPr="00E55CAD">
              <w:rPr>
                <w:color w:val="000000"/>
                <w:sz w:val="28"/>
                <w:szCs w:val="28"/>
                <w:shd w:val="clear" w:color="auto" w:fill="FFFFFF"/>
                <w:lang w:val="uk-UA"/>
              </w:rPr>
              <w:t>Принцип  при використанні фінансової звітності, згідно з яким доходи і витрати відображаються в бухгалтерському обліку та фінансовій звітності в момент їх виникнення незалежно від часу надходження або сплати грошових коштів (грошей);</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7.</w:t>
            </w:r>
          </w:p>
        </w:tc>
        <w:tc>
          <w:tcPr>
            <w:tcW w:w="4633" w:type="pct"/>
          </w:tcPr>
          <w:p w:rsidR="00E55CAD" w:rsidRPr="00E55CAD" w:rsidRDefault="00E55CAD" w:rsidP="00661969">
            <w:pPr>
              <w:rPr>
                <w:sz w:val="28"/>
                <w:szCs w:val="28"/>
                <w:lang w:val="uk-UA"/>
              </w:rPr>
            </w:pPr>
            <w:r w:rsidRPr="00E55CAD">
              <w:rPr>
                <w:color w:val="000000"/>
                <w:sz w:val="28"/>
                <w:szCs w:val="28"/>
                <w:shd w:val="clear" w:color="auto" w:fill="FFFFFF"/>
                <w:lang w:val="uk-UA"/>
              </w:rPr>
              <w:t>Принцип  при використанні фінансової звітності, що визначає пріоритет оцінки активів, виходячи з витрат на їх виробництво та придбання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8.</w:t>
            </w:r>
          </w:p>
        </w:tc>
        <w:tc>
          <w:tcPr>
            <w:tcW w:w="4633" w:type="pct"/>
          </w:tcPr>
          <w:p w:rsidR="00E55CAD" w:rsidRPr="00E55CAD" w:rsidRDefault="00E55CAD" w:rsidP="00661969">
            <w:pPr>
              <w:rPr>
                <w:sz w:val="28"/>
                <w:szCs w:val="28"/>
                <w:lang w:val="uk-UA"/>
              </w:rPr>
            </w:pPr>
            <w:r w:rsidRPr="00E55CAD">
              <w:rPr>
                <w:color w:val="000000"/>
                <w:sz w:val="28"/>
                <w:szCs w:val="28"/>
                <w:shd w:val="clear" w:color="auto" w:fill="FFFFFF"/>
                <w:lang w:val="uk-UA"/>
              </w:rPr>
              <w:t>Принцип  при використанні фінансової звітності, що припускає розподіл діяльності підприємства на певні періоди з метою складання фінансової звітності</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9.</w:t>
            </w:r>
          </w:p>
        </w:tc>
        <w:tc>
          <w:tcPr>
            <w:tcW w:w="4633" w:type="pct"/>
          </w:tcPr>
          <w:p w:rsidR="00E55CAD" w:rsidRPr="00E55CAD" w:rsidRDefault="00E55CAD" w:rsidP="00661969">
            <w:pPr>
              <w:tabs>
                <w:tab w:val="left" w:pos="567"/>
              </w:tabs>
              <w:contextualSpacing/>
              <w:jc w:val="both"/>
              <w:rPr>
                <w:sz w:val="28"/>
                <w:szCs w:val="28"/>
                <w:lang w:val="uk-UA" w:eastAsia="uk-UA"/>
              </w:rPr>
            </w:pPr>
            <w:r w:rsidRPr="00E55CAD">
              <w:rPr>
                <w:color w:val="000000"/>
                <w:sz w:val="28"/>
                <w:szCs w:val="28"/>
                <w:shd w:val="clear" w:color="auto" w:fill="FFFFFF"/>
                <w:lang w:val="uk-UA"/>
              </w:rPr>
              <w:t>Принцип  при використанні фінансової звітності, який  передбачає оцінку активів і зобов’язань підприємства, виходячи з припущення, що</w:t>
            </w:r>
            <w:r>
              <w:rPr>
                <w:color w:val="000000"/>
                <w:sz w:val="28"/>
                <w:szCs w:val="28"/>
                <w:shd w:val="clear" w:color="auto" w:fill="FFFFFF"/>
                <w:lang w:val="uk-UA"/>
              </w:rPr>
              <w:t xml:space="preserve"> його діяльність триватиме далі</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10.</w:t>
            </w:r>
          </w:p>
        </w:tc>
        <w:tc>
          <w:tcPr>
            <w:tcW w:w="4633" w:type="pct"/>
          </w:tcPr>
          <w:p w:rsidR="00E55CAD" w:rsidRPr="00E55CAD" w:rsidRDefault="00E55CAD" w:rsidP="00661969">
            <w:pPr>
              <w:tabs>
                <w:tab w:val="left" w:pos="567"/>
              </w:tabs>
              <w:contextualSpacing/>
              <w:jc w:val="both"/>
              <w:rPr>
                <w:sz w:val="28"/>
                <w:szCs w:val="28"/>
                <w:lang w:val="uk-UA" w:eastAsia="uk-UA"/>
              </w:rPr>
            </w:pPr>
            <w:r w:rsidRPr="00E55CAD">
              <w:rPr>
                <w:color w:val="000000"/>
                <w:sz w:val="28"/>
                <w:szCs w:val="28"/>
                <w:shd w:val="clear" w:color="auto" w:fill="FFFFFF"/>
                <w:lang w:val="uk-UA"/>
              </w:rPr>
              <w:t>Принцип при використанні фінансової звітності за яким кожне підприємство розглядається як юридична особа, що відокремлена від власників; тому особисте майно і зобов’язання власників не повинні відображатись у фінансовій звітності підприємства</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11.</w:t>
            </w:r>
          </w:p>
        </w:tc>
        <w:tc>
          <w:tcPr>
            <w:tcW w:w="4633" w:type="pct"/>
          </w:tcPr>
          <w:p w:rsidR="00E55CAD" w:rsidRPr="00E55CAD" w:rsidRDefault="00E55CAD" w:rsidP="00661969">
            <w:pPr>
              <w:rPr>
                <w:sz w:val="28"/>
                <w:szCs w:val="28"/>
                <w:lang w:val="uk-UA"/>
              </w:rPr>
            </w:pPr>
            <w:r w:rsidRPr="00E55CAD">
              <w:rPr>
                <w:color w:val="000000"/>
                <w:sz w:val="28"/>
                <w:szCs w:val="28"/>
                <w:shd w:val="clear" w:color="auto" w:fill="FFFFFF"/>
                <w:lang w:val="uk-UA"/>
              </w:rPr>
              <w:t xml:space="preserve">Ресурси, контрольовані підприємством у результаті минулих подій, використання яких, як очікується, призведе до отримання економічних </w:t>
            </w:r>
            <w:r w:rsidRPr="00E55CAD">
              <w:rPr>
                <w:color w:val="000000"/>
                <w:sz w:val="28"/>
                <w:szCs w:val="28"/>
                <w:shd w:val="clear" w:color="auto" w:fill="FFFFFF"/>
                <w:lang w:val="uk-UA"/>
              </w:rPr>
              <w:lastRenderedPageBreak/>
              <w:t>вигод у майбутньому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lastRenderedPageBreak/>
              <w:t>12.</w:t>
            </w:r>
          </w:p>
        </w:tc>
        <w:tc>
          <w:tcPr>
            <w:tcW w:w="4633" w:type="pct"/>
          </w:tcPr>
          <w:p w:rsidR="00E55CAD" w:rsidRPr="00E55CAD" w:rsidRDefault="00E55CAD" w:rsidP="00661969">
            <w:pPr>
              <w:tabs>
                <w:tab w:val="left" w:pos="6225"/>
              </w:tabs>
              <w:rPr>
                <w:sz w:val="28"/>
                <w:szCs w:val="28"/>
                <w:lang w:val="uk-UA"/>
              </w:rPr>
            </w:pPr>
            <w:r w:rsidRPr="00E55CAD">
              <w:rPr>
                <w:color w:val="000000"/>
                <w:sz w:val="28"/>
                <w:szCs w:val="28"/>
                <w:shd w:val="clear" w:color="auto" w:fill="FFFFFF"/>
                <w:lang w:val="uk-UA"/>
              </w:rPr>
              <w:t>Зменшення економічних вигод у вигляді зменшення активів або збільшення зобов’язань, що призводить до зменшення власного капіталу (за винятком зменшення капіталу за рахунок його вилучення або розподілення власниками)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13.</w:t>
            </w:r>
          </w:p>
        </w:tc>
        <w:tc>
          <w:tcPr>
            <w:tcW w:w="4633" w:type="pct"/>
          </w:tcPr>
          <w:p w:rsidR="00E55CAD" w:rsidRPr="00E55CAD" w:rsidRDefault="00E55CAD" w:rsidP="00661969">
            <w:pPr>
              <w:tabs>
                <w:tab w:val="left" w:pos="6225"/>
              </w:tabs>
              <w:rPr>
                <w:sz w:val="28"/>
                <w:szCs w:val="28"/>
                <w:lang w:val="uk-UA"/>
              </w:rPr>
            </w:pPr>
            <w:r w:rsidRPr="00E55CAD">
              <w:rPr>
                <w:color w:val="000000"/>
                <w:sz w:val="28"/>
                <w:szCs w:val="28"/>
                <w:shd w:val="clear" w:color="auto" w:fill="FFFFFF"/>
                <w:lang w:val="uk-UA"/>
              </w:rPr>
              <w:t>Збільшення економічних вигод у вигляді збільшення активів або зменшення зобов’язань, яке призводить до зростання власного капіталу (за винятком зростання капіталу за рахунок внесків власників)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14.</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Звіт, який відображає зміни у складі власного капіталу підприємства протягом звітного періоду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15.</w:t>
            </w:r>
          </w:p>
        </w:tc>
        <w:tc>
          <w:tcPr>
            <w:tcW w:w="4633" w:type="pct"/>
          </w:tcPr>
          <w:p w:rsidR="00E55CAD" w:rsidRPr="00E55CAD" w:rsidRDefault="00E55CAD" w:rsidP="00661969">
            <w:pPr>
              <w:tabs>
                <w:tab w:val="left" w:pos="6225"/>
              </w:tabs>
              <w:rPr>
                <w:sz w:val="28"/>
                <w:szCs w:val="28"/>
                <w:lang w:val="uk-UA"/>
              </w:rPr>
            </w:pPr>
            <w:r w:rsidRPr="00E55CAD">
              <w:rPr>
                <w:color w:val="000000"/>
                <w:sz w:val="28"/>
                <w:szCs w:val="28"/>
                <w:shd w:val="clear" w:color="auto" w:fill="FFFFFF"/>
                <w:lang w:val="uk-UA"/>
              </w:rPr>
              <w:t>Звіт, який відображає надходження і вибуття грошових коштів (грошей) протягом звітного періоду в результаті операційної, інвестиційної та фінансової діяльності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16.</w:t>
            </w:r>
          </w:p>
        </w:tc>
        <w:tc>
          <w:tcPr>
            <w:tcW w:w="4633" w:type="pct"/>
          </w:tcPr>
          <w:p w:rsidR="00E55CAD" w:rsidRPr="00E55CAD" w:rsidRDefault="00E55CAD" w:rsidP="00661969">
            <w:pPr>
              <w:tabs>
                <w:tab w:val="left" w:pos="6225"/>
              </w:tabs>
              <w:rPr>
                <w:rFonts w:eastAsia="Calibri"/>
                <w:sz w:val="28"/>
                <w:szCs w:val="28"/>
                <w:lang w:val="uk-UA"/>
              </w:rPr>
            </w:pPr>
            <w:r w:rsidRPr="00E55CAD">
              <w:rPr>
                <w:color w:val="000000"/>
                <w:sz w:val="28"/>
                <w:szCs w:val="28"/>
                <w:shd w:val="clear" w:color="auto" w:fill="FFFFFF"/>
                <w:lang w:val="uk-UA"/>
              </w:rPr>
              <w:t>Звіт про доходи, витрати, фінансові результати та сукупний дохід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17.</w:t>
            </w:r>
          </w:p>
        </w:tc>
        <w:tc>
          <w:tcPr>
            <w:tcW w:w="4633" w:type="pct"/>
          </w:tcPr>
          <w:p w:rsidR="00E55CAD" w:rsidRPr="00E55CAD" w:rsidRDefault="00E55CAD" w:rsidP="00661969">
            <w:pPr>
              <w:tabs>
                <w:tab w:val="left" w:pos="6225"/>
              </w:tabs>
              <w:rPr>
                <w:sz w:val="28"/>
                <w:szCs w:val="28"/>
                <w:lang w:val="uk-UA"/>
              </w:rPr>
            </w:pPr>
            <w:r w:rsidRPr="00E55CAD">
              <w:rPr>
                <w:color w:val="000000"/>
                <w:sz w:val="28"/>
                <w:szCs w:val="28"/>
                <w:shd w:val="clear" w:color="auto" w:fill="FFFFFF"/>
                <w:lang w:val="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18.</w:t>
            </w:r>
          </w:p>
        </w:tc>
        <w:tc>
          <w:tcPr>
            <w:tcW w:w="4633" w:type="pct"/>
          </w:tcPr>
          <w:p w:rsidR="00E55CAD" w:rsidRPr="00E55CAD" w:rsidRDefault="00E55CAD" w:rsidP="00661969">
            <w:pPr>
              <w:tabs>
                <w:tab w:val="left" w:pos="6225"/>
              </w:tabs>
              <w:rPr>
                <w:sz w:val="28"/>
                <w:szCs w:val="28"/>
                <w:lang w:val="uk-UA"/>
              </w:rPr>
            </w:pPr>
            <w:r w:rsidRPr="00E55CAD">
              <w:rPr>
                <w:color w:val="000000"/>
                <w:sz w:val="28"/>
                <w:szCs w:val="28"/>
                <w:shd w:val="clear" w:color="auto" w:fill="FFFFFF"/>
                <w:lang w:val="uk-UA"/>
              </w:rPr>
              <w:t>Фінансова звітність підприємства, яке здійснює контроль, та підприємств, які ним контролюються, як єдиної економічної одиниці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19.</w:t>
            </w:r>
          </w:p>
        </w:tc>
        <w:tc>
          <w:tcPr>
            <w:tcW w:w="4633" w:type="pct"/>
          </w:tcPr>
          <w:p w:rsidR="00E55CAD" w:rsidRPr="00E55CAD" w:rsidRDefault="00E55CAD" w:rsidP="00661969">
            <w:pPr>
              <w:rPr>
                <w:sz w:val="28"/>
                <w:szCs w:val="28"/>
                <w:lang w:val="uk-UA"/>
              </w:rPr>
            </w:pPr>
            <w:r w:rsidRPr="00E55CAD">
              <w:rPr>
                <w:color w:val="000000"/>
                <w:sz w:val="28"/>
                <w:szCs w:val="28"/>
                <w:shd w:val="clear" w:color="auto" w:fill="FFFFFF"/>
                <w:lang w:val="uk-UA"/>
              </w:rPr>
              <w:t>Звіт про фінансовий стан підприємства, який відображає на певну дату його активи, зобов’язання і власний капітал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20.</w:t>
            </w:r>
          </w:p>
        </w:tc>
        <w:tc>
          <w:tcPr>
            <w:tcW w:w="4633" w:type="pct"/>
          </w:tcPr>
          <w:p w:rsidR="00E55CAD" w:rsidRPr="00E55CAD" w:rsidRDefault="00E55CAD" w:rsidP="00661969">
            <w:pPr>
              <w:tabs>
                <w:tab w:val="left" w:pos="6225"/>
              </w:tabs>
              <w:jc w:val="both"/>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21.</w:t>
            </w:r>
          </w:p>
        </w:tc>
        <w:tc>
          <w:tcPr>
            <w:tcW w:w="4633" w:type="pct"/>
          </w:tcPr>
          <w:p w:rsidR="00E55CAD" w:rsidRPr="00E55CAD" w:rsidRDefault="00E55CAD" w:rsidP="00661969">
            <w:pPr>
              <w:widowControl w:val="0"/>
              <w:jc w:val="both"/>
              <w:rPr>
                <w:snapToGrid w:val="0"/>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22.</w:t>
            </w:r>
          </w:p>
        </w:tc>
        <w:tc>
          <w:tcPr>
            <w:tcW w:w="4633" w:type="pct"/>
          </w:tcPr>
          <w:p w:rsidR="00E55CAD" w:rsidRPr="00E55CAD" w:rsidRDefault="00E55CAD" w:rsidP="00661969">
            <w:pPr>
              <w:tabs>
                <w:tab w:val="left" w:pos="6225"/>
              </w:tabs>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23.</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highlight w:val="yellow"/>
                <w:lang w:val="uk-UA"/>
              </w:rPr>
            </w:pPr>
            <w:r w:rsidRPr="00E55CAD">
              <w:rPr>
                <w:sz w:val="28"/>
                <w:szCs w:val="28"/>
                <w:lang w:val="uk-UA"/>
              </w:rPr>
              <w:t>24.</w:t>
            </w:r>
          </w:p>
        </w:tc>
        <w:tc>
          <w:tcPr>
            <w:tcW w:w="4633" w:type="pct"/>
          </w:tcPr>
          <w:p w:rsidR="00E55CAD" w:rsidRPr="00E55CAD" w:rsidRDefault="00E55CAD" w:rsidP="00661969">
            <w:pPr>
              <w:jc w:val="both"/>
              <w:rPr>
                <w:sz w:val="28"/>
                <w:szCs w:val="28"/>
                <w:highlight w:val="yellow"/>
                <w:lang w:val="uk-UA"/>
              </w:rPr>
            </w:pPr>
            <w:r w:rsidRPr="00E55CAD">
              <w:rPr>
                <w:color w:val="000000"/>
                <w:sz w:val="28"/>
                <w:szCs w:val="28"/>
                <w:shd w:val="clear" w:color="auto" w:fill="FFFFFF"/>
                <w:lang w:val="uk-UA"/>
              </w:rPr>
              <w:t xml:space="preserve">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w:t>
            </w:r>
            <w:r w:rsidRPr="00E55CAD">
              <w:rPr>
                <w:color w:val="000000"/>
                <w:sz w:val="28"/>
                <w:szCs w:val="28"/>
                <w:shd w:val="clear" w:color="auto" w:fill="FFFFFF"/>
                <w:lang w:val="uk-UA"/>
              </w:rPr>
              <w:lastRenderedPageBreak/>
              <w:t>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lastRenderedPageBreak/>
              <w:t>25.</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26.</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27.</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28.</w:t>
            </w:r>
          </w:p>
        </w:tc>
        <w:tc>
          <w:tcPr>
            <w:tcW w:w="4633" w:type="pct"/>
          </w:tcPr>
          <w:p w:rsidR="00E55CAD" w:rsidRPr="00E55CAD" w:rsidRDefault="00E55CAD" w:rsidP="00661969">
            <w:pPr>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29.</w:t>
            </w:r>
          </w:p>
        </w:tc>
        <w:tc>
          <w:tcPr>
            <w:tcW w:w="4633" w:type="pct"/>
          </w:tcPr>
          <w:p w:rsidR="00E55CAD" w:rsidRPr="00E55CAD" w:rsidRDefault="00E55CAD" w:rsidP="00661969">
            <w:pPr>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30.</w:t>
            </w:r>
          </w:p>
        </w:tc>
        <w:tc>
          <w:tcPr>
            <w:tcW w:w="4633" w:type="pct"/>
          </w:tcPr>
          <w:p w:rsidR="00E55CAD" w:rsidRPr="00E55CAD" w:rsidRDefault="00E55CAD" w:rsidP="00661969">
            <w:pPr>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31.</w:t>
            </w:r>
          </w:p>
        </w:tc>
        <w:tc>
          <w:tcPr>
            <w:tcW w:w="4633" w:type="pct"/>
          </w:tcPr>
          <w:p w:rsidR="00E55CAD" w:rsidRPr="00E55CAD" w:rsidRDefault="00E55CAD" w:rsidP="00661969">
            <w:pPr>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32.</w:t>
            </w:r>
          </w:p>
        </w:tc>
        <w:tc>
          <w:tcPr>
            <w:tcW w:w="4633" w:type="pct"/>
          </w:tcPr>
          <w:p w:rsidR="00E55CAD" w:rsidRPr="00E55CAD" w:rsidRDefault="00E55CAD" w:rsidP="00661969">
            <w:pPr>
              <w:widowControl w:val="0"/>
              <w:jc w:val="both"/>
              <w:rPr>
                <w:snapToGrid w:val="0"/>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33.</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 xml:space="preserve">У пояснювальній записці до фінансового плану та звіту про виконання показників фінансового плану зазначаються дані факторного аналізу як </w:t>
            </w:r>
            <w:r w:rsidRPr="00E55CAD">
              <w:rPr>
                <w:color w:val="000000"/>
                <w:sz w:val="28"/>
                <w:szCs w:val="28"/>
                <w:shd w:val="clear" w:color="auto" w:fill="FFFFFF"/>
                <w:lang w:val="uk-UA"/>
              </w:rPr>
              <w:lastRenderedPageBreak/>
              <w:t>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lastRenderedPageBreak/>
              <w:t>34.</w:t>
            </w:r>
          </w:p>
        </w:tc>
        <w:tc>
          <w:tcPr>
            <w:tcW w:w="4633" w:type="pct"/>
          </w:tcPr>
          <w:p w:rsidR="00E55CAD" w:rsidRPr="00E55CAD" w:rsidRDefault="00E55CAD" w:rsidP="00661969">
            <w:pPr>
              <w:tabs>
                <w:tab w:val="left" w:pos="6225"/>
              </w:tabs>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35.</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36.</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При складанні фінансового плану в бюджетній сфері обов’язково надається план заходів з підвищення операційної ефективності підприємства строком на три роки, який містить заходи:</w:t>
            </w:r>
          </w:p>
        </w:tc>
      </w:tr>
      <w:tr w:rsidR="00E55CAD" w:rsidRPr="00E55CAD" w:rsidTr="00E55CAD">
        <w:trPr>
          <w:trHeight w:val="885"/>
        </w:trPr>
        <w:tc>
          <w:tcPr>
            <w:tcW w:w="367" w:type="pct"/>
          </w:tcPr>
          <w:p w:rsidR="00E55CAD" w:rsidRPr="00E55CAD" w:rsidRDefault="00E55CAD" w:rsidP="00661969">
            <w:pPr>
              <w:jc w:val="center"/>
              <w:rPr>
                <w:sz w:val="28"/>
                <w:szCs w:val="28"/>
                <w:lang w:val="uk-UA"/>
              </w:rPr>
            </w:pPr>
            <w:r w:rsidRPr="00E55CAD">
              <w:rPr>
                <w:sz w:val="28"/>
                <w:szCs w:val="28"/>
                <w:lang w:val="uk-UA"/>
              </w:rPr>
              <w:t>37.</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 xml:space="preserve">Інформація про заплановані капітальні інвестиції з розшифруванням їх джерел, у тому числі заходів, спрямованих на підвищення технічного рівня, модернізацію, реконструкцію підприємства міститься </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38.</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Розрахунки очікуваного економічного ефекту від здійснення капітальнитих видатків містяться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39.</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Термін окупності проектів міститься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40.</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Коефіцієнта прибутковості міститься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41.</w:t>
            </w:r>
          </w:p>
        </w:tc>
        <w:tc>
          <w:tcPr>
            <w:tcW w:w="4633" w:type="pct"/>
          </w:tcPr>
          <w:p w:rsidR="00E55CAD" w:rsidRPr="00E55CAD" w:rsidRDefault="00E55CAD" w:rsidP="00661969">
            <w:pPr>
              <w:jc w:val="both"/>
              <w:rPr>
                <w:sz w:val="28"/>
                <w:szCs w:val="28"/>
                <w:lang w:val="uk-UA"/>
              </w:rPr>
            </w:pPr>
            <w:r w:rsidRPr="00E55CAD">
              <w:rPr>
                <w:color w:val="000000"/>
                <w:sz w:val="28"/>
                <w:szCs w:val="28"/>
                <w:shd w:val="clear" w:color="auto" w:fill="FFFFFF"/>
                <w:lang w:val="uk-UA"/>
              </w:rPr>
              <w:t>Внутрішня норми прибутковості міститься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42.</w:t>
            </w:r>
          </w:p>
        </w:tc>
        <w:tc>
          <w:tcPr>
            <w:tcW w:w="4633" w:type="pct"/>
          </w:tcPr>
          <w:p w:rsidR="00E55CAD" w:rsidRPr="00E55CAD" w:rsidRDefault="00E55CAD" w:rsidP="00661969">
            <w:pPr>
              <w:shd w:val="clear" w:color="auto" w:fill="FAFAFA"/>
              <w:rPr>
                <w:bCs/>
                <w:iCs/>
                <w:sz w:val="28"/>
                <w:szCs w:val="28"/>
                <w:lang w:val="uk-UA"/>
              </w:rPr>
            </w:pPr>
            <w:r>
              <w:rPr>
                <w:color w:val="000000"/>
                <w:sz w:val="28"/>
                <w:szCs w:val="28"/>
                <w:shd w:val="clear" w:color="auto" w:fill="FFFFFF"/>
                <w:lang w:val="uk-UA"/>
              </w:rPr>
              <w:t xml:space="preserve">Фондовіддача проекту </w:t>
            </w:r>
            <w:r w:rsidRPr="00E55CAD">
              <w:rPr>
                <w:color w:val="000000"/>
                <w:sz w:val="28"/>
                <w:szCs w:val="28"/>
                <w:shd w:val="clear" w:color="auto" w:fill="FFFFFF"/>
                <w:lang w:val="uk-UA"/>
              </w:rPr>
              <w:t>міститься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43.</w:t>
            </w:r>
          </w:p>
        </w:tc>
        <w:tc>
          <w:tcPr>
            <w:tcW w:w="4633" w:type="pct"/>
          </w:tcPr>
          <w:p w:rsidR="00E55CAD" w:rsidRPr="00E55CAD" w:rsidRDefault="00E55CAD" w:rsidP="00661969">
            <w:pPr>
              <w:shd w:val="clear" w:color="auto" w:fill="FAFAFA"/>
              <w:rPr>
                <w:sz w:val="28"/>
                <w:szCs w:val="28"/>
                <w:lang w:val="uk-UA"/>
              </w:rPr>
            </w:pPr>
            <w:r w:rsidRPr="00E55CAD">
              <w:rPr>
                <w:color w:val="000000"/>
                <w:sz w:val="28"/>
                <w:szCs w:val="28"/>
                <w:shd w:val="clear" w:color="auto" w:fill="FFFFFF"/>
                <w:lang w:val="uk-UA"/>
              </w:rPr>
              <w:t>У розділі 9  Кредитна політика підприємства пояснювальної записки міститься інформація щодо</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44.</w:t>
            </w:r>
          </w:p>
        </w:tc>
        <w:tc>
          <w:tcPr>
            <w:tcW w:w="4633" w:type="pct"/>
          </w:tcPr>
          <w:p w:rsidR="00E55CAD" w:rsidRPr="00E55CAD" w:rsidRDefault="00E55CAD" w:rsidP="00661969">
            <w:pPr>
              <w:shd w:val="clear" w:color="auto" w:fill="FFFFFF"/>
              <w:jc w:val="both"/>
              <w:rPr>
                <w:b/>
                <w:iCs/>
                <w:sz w:val="28"/>
                <w:szCs w:val="28"/>
                <w:lang w:val="uk-UA"/>
              </w:rPr>
            </w:pPr>
            <w:r w:rsidRPr="00E55CAD">
              <w:rPr>
                <w:color w:val="000000"/>
                <w:sz w:val="28"/>
                <w:szCs w:val="28"/>
                <w:shd w:val="clear" w:color="auto" w:fill="FFFFFF"/>
                <w:lang w:val="uk-UA"/>
              </w:rPr>
              <w:t>У розділі 9 Кредитна політика підприємства пояснювальної записки міститься інформація щодо</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45.</w:t>
            </w:r>
          </w:p>
        </w:tc>
        <w:tc>
          <w:tcPr>
            <w:tcW w:w="4633" w:type="pct"/>
          </w:tcPr>
          <w:p w:rsidR="00E55CAD" w:rsidRPr="00E55CAD" w:rsidRDefault="00E55CAD" w:rsidP="00661969">
            <w:pPr>
              <w:shd w:val="clear" w:color="auto" w:fill="FFFFFF"/>
              <w:rPr>
                <w:sz w:val="28"/>
                <w:szCs w:val="28"/>
                <w:lang w:val="uk-UA"/>
              </w:rPr>
            </w:pPr>
            <w:r w:rsidRPr="00E55CAD">
              <w:rPr>
                <w:color w:val="000000"/>
                <w:sz w:val="28"/>
                <w:szCs w:val="28"/>
                <w:shd w:val="clear" w:color="auto" w:fill="FFFFFF"/>
                <w:lang w:val="uk-UA"/>
              </w:rPr>
              <w:t xml:space="preserve">Рекомендації щодо складання фінансового плану використовується  державними комерційними та казенними підприємства, господарського товариства, у статутному капіталі якого  державі належить більше </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46.</w:t>
            </w:r>
          </w:p>
        </w:tc>
        <w:tc>
          <w:tcPr>
            <w:tcW w:w="4633" w:type="pct"/>
          </w:tcPr>
          <w:p w:rsidR="00E55CAD" w:rsidRPr="00E55CAD" w:rsidRDefault="00E55CAD" w:rsidP="00661969">
            <w:pPr>
              <w:tabs>
                <w:tab w:val="left" w:pos="6225"/>
              </w:tabs>
              <w:rPr>
                <w:sz w:val="28"/>
                <w:szCs w:val="28"/>
                <w:lang w:val="uk-UA"/>
              </w:rPr>
            </w:pPr>
            <w:r w:rsidRPr="00E55CAD">
              <w:rPr>
                <w:color w:val="000000"/>
                <w:sz w:val="28"/>
                <w:szCs w:val="28"/>
                <w:shd w:val="clear" w:color="auto" w:fill="FFFFFF"/>
                <w:lang w:val="uk-UA"/>
              </w:rPr>
              <w:t>Фінансовий план / звіт про виконання фінансового плану підприємства (додатки 1 і 3 до Порядку) складаються на методологічних засадах</w:t>
            </w:r>
          </w:p>
        </w:tc>
      </w:tr>
      <w:tr w:rsidR="00E55CAD" w:rsidRPr="00E55CAD" w:rsidTr="00E55CAD">
        <w:trPr>
          <w:trHeight w:val="245"/>
        </w:trPr>
        <w:tc>
          <w:tcPr>
            <w:tcW w:w="367" w:type="pct"/>
          </w:tcPr>
          <w:p w:rsidR="00E55CAD" w:rsidRPr="00E55CAD" w:rsidRDefault="00E55CAD" w:rsidP="00661969">
            <w:pPr>
              <w:jc w:val="center"/>
              <w:rPr>
                <w:sz w:val="28"/>
                <w:szCs w:val="28"/>
                <w:lang w:val="uk-UA"/>
              </w:rPr>
            </w:pPr>
            <w:r w:rsidRPr="00E55CAD">
              <w:rPr>
                <w:sz w:val="28"/>
                <w:szCs w:val="28"/>
                <w:lang w:val="uk-UA"/>
              </w:rPr>
              <w:t>47.</w:t>
            </w:r>
          </w:p>
        </w:tc>
        <w:tc>
          <w:tcPr>
            <w:tcW w:w="4633" w:type="pct"/>
          </w:tcPr>
          <w:p w:rsidR="00E55CAD" w:rsidRPr="00E55CAD" w:rsidRDefault="00E55CAD" w:rsidP="00661969">
            <w:pPr>
              <w:tabs>
                <w:tab w:val="left" w:pos="6225"/>
              </w:tabs>
              <w:rPr>
                <w:sz w:val="28"/>
                <w:szCs w:val="28"/>
                <w:lang w:val="uk-UA"/>
              </w:rPr>
            </w:pPr>
            <w:r w:rsidRPr="00E55CAD">
              <w:rPr>
                <w:bCs/>
                <w:sz w:val="28"/>
                <w:szCs w:val="28"/>
                <w:lang w:val="uk-UA"/>
              </w:rPr>
              <w:t>В розрахунку показника EBITDA використовуються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48.</w:t>
            </w:r>
          </w:p>
        </w:tc>
        <w:tc>
          <w:tcPr>
            <w:tcW w:w="4633" w:type="pct"/>
          </w:tcPr>
          <w:p w:rsidR="00E55CAD" w:rsidRPr="00E55CAD" w:rsidRDefault="00E55CAD" w:rsidP="00661969">
            <w:pPr>
              <w:tabs>
                <w:tab w:val="left" w:pos="6225"/>
              </w:tabs>
              <w:rPr>
                <w:sz w:val="28"/>
                <w:szCs w:val="28"/>
                <w:lang w:val="uk-UA"/>
              </w:rPr>
            </w:pPr>
            <w:r w:rsidRPr="00E55CAD">
              <w:rPr>
                <w:bCs/>
                <w:sz w:val="28"/>
                <w:szCs w:val="28"/>
                <w:lang w:val="uk-UA"/>
              </w:rPr>
              <w:t>В розрахунку показника EBITDA використовуються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49.</w:t>
            </w:r>
          </w:p>
        </w:tc>
        <w:tc>
          <w:tcPr>
            <w:tcW w:w="4633" w:type="pct"/>
          </w:tcPr>
          <w:p w:rsidR="00E55CAD" w:rsidRPr="00E55CAD" w:rsidRDefault="00E55CAD" w:rsidP="00661969">
            <w:pPr>
              <w:jc w:val="both"/>
              <w:rPr>
                <w:sz w:val="28"/>
                <w:szCs w:val="28"/>
                <w:lang w:val="uk-UA"/>
              </w:rPr>
            </w:pPr>
            <w:r w:rsidRPr="00E55CAD">
              <w:rPr>
                <w:bCs/>
                <w:sz w:val="28"/>
                <w:szCs w:val="28"/>
                <w:lang w:val="uk-UA"/>
              </w:rPr>
              <w:t>В розрахунку показника EBITDA використовуються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50.</w:t>
            </w:r>
          </w:p>
        </w:tc>
        <w:tc>
          <w:tcPr>
            <w:tcW w:w="4633" w:type="pct"/>
          </w:tcPr>
          <w:p w:rsidR="00E55CAD" w:rsidRPr="00E55CAD" w:rsidRDefault="00E55CAD" w:rsidP="00661969">
            <w:pPr>
              <w:tabs>
                <w:tab w:val="left" w:pos="6225"/>
              </w:tabs>
              <w:rPr>
                <w:sz w:val="28"/>
                <w:szCs w:val="28"/>
                <w:lang w:val="uk-UA"/>
              </w:rPr>
            </w:pPr>
            <w:r w:rsidRPr="00E55CAD">
              <w:rPr>
                <w:bCs/>
                <w:sz w:val="28"/>
                <w:szCs w:val="28"/>
                <w:lang w:val="uk-UA"/>
              </w:rPr>
              <w:t>В розрахунку показника EBITDA використовуються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51.</w:t>
            </w:r>
          </w:p>
        </w:tc>
        <w:tc>
          <w:tcPr>
            <w:tcW w:w="4633" w:type="pct"/>
          </w:tcPr>
          <w:p w:rsidR="00E55CAD" w:rsidRPr="00E55CAD" w:rsidRDefault="00E55CAD" w:rsidP="00661969">
            <w:pPr>
              <w:tabs>
                <w:tab w:val="left" w:pos="6225"/>
              </w:tabs>
              <w:rPr>
                <w:sz w:val="28"/>
                <w:szCs w:val="28"/>
                <w:lang w:val="uk-UA"/>
              </w:rPr>
            </w:pPr>
            <w:r w:rsidRPr="00E55CAD">
              <w:rPr>
                <w:bCs/>
                <w:sz w:val="28"/>
                <w:szCs w:val="28"/>
                <w:lang w:val="uk-UA"/>
              </w:rPr>
              <w:t>В розрахунку показника EBITDA використовуються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52.</w:t>
            </w:r>
          </w:p>
        </w:tc>
        <w:tc>
          <w:tcPr>
            <w:tcW w:w="4633" w:type="pct"/>
          </w:tcPr>
          <w:p w:rsidR="00E55CAD" w:rsidRPr="00E55CAD" w:rsidRDefault="00E55CAD" w:rsidP="00661969">
            <w:pPr>
              <w:tabs>
                <w:tab w:val="left" w:pos="6225"/>
              </w:tabs>
              <w:rPr>
                <w:sz w:val="28"/>
                <w:szCs w:val="28"/>
                <w:lang w:val="uk-UA"/>
              </w:rPr>
            </w:pPr>
            <w:r w:rsidRPr="00E55CAD">
              <w:rPr>
                <w:rFonts w:eastAsia="Calibri"/>
                <w:sz w:val="28"/>
                <w:szCs w:val="28"/>
                <w:shd w:val="clear" w:color="auto" w:fill="FFFFFF"/>
                <w:lang w:val="uk-UA"/>
              </w:rPr>
              <w:t>Звіт про виконання фінансового плану державного підприємства містить наступні показники коефіцієнтного аналізу</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53.</w:t>
            </w:r>
          </w:p>
        </w:tc>
        <w:tc>
          <w:tcPr>
            <w:tcW w:w="4633" w:type="pct"/>
          </w:tcPr>
          <w:p w:rsidR="00E55CAD" w:rsidRPr="00E55CAD" w:rsidRDefault="00E55CAD" w:rsidP="00661969">
            <w:pPr>
              <w:tabs>
                <w:tab w:val="left" w:pos="6225"/>
              </w:tabs>
              <w:rPr>
                <w:sz w:val="28"/>
                <w:szCs w:val="28"/>
                <w:lang w:val="uk-UA"/>
              </w:rPr>
            </w:pPr>
            <w:r w:rsidRPr="00E55CAD">
              <w:rPr>
                <w:rFonts w:eastAsia="Calibri"/>
                <w:sz w:val="28"/>
                <w:szCs w:val="28"/>
                <w:shd w:val="clear" w:color="auto" w:fill="FFFFFF"/>
                <w:lang w:val="uk-UA"/>
              </w:rPr>
              <w:t>Звіт про виконання фінансового плану державного підприємства містить наступні показники коефіцієнтного аналізу</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54.</w:t>
            </w:r>
          </w:p>
        </w:tc>
        <w:tc>
          <w:tcPr>
            <w:tcW w:w="4633" w:type="pct"/>
          </w:tcPr>
          <w:p w:rsidR="00E55CAD" w:rsidRPr="00E55CAD" w:rsidRDefault="00E55CAD" w:rsidP="00661969">
            <w:pPr>
              <w:jc w:val="both"/>
              <w:rPr>
                <w:sz w:val="28"/>
                <w:szCs w:val="28"/>
                <w:lang w:val="uk-UA"/>
              </w:rPr>
            </w:pPr>
            <w:r w:rsidRPr="00E55CAD">
              <w:rPr>
                <w:rFonts w:eastAsia="Calibri"/>
                <w:sz w:val="28"/>
                <w:szCs w:val="28"/>
                <w:shd w:val="clear" w:color="auto" w:fill="FFFFFF"/>
                <w:lang w:val="uk-UA"/>
              </w:rPr>
              <w:t xml:space="preserve">Звіт про виконання фінансового плану державного підприємства містить </w:t>
            </w:r>
            <w:r w:rsidRPr="00E55CAD">
              <w:rPr>
                <w:rFonts w:eastAsia="Calibri"/>
                <w:sz w:val="28"/>
                <w:szCs w:val="28"/>
                <w:shd w:val="clear" w:color="auto" w:fill="FFFFFF"/>
                <w:lang w:val="uk-UA"/>
              </w:rPr>
              <w:lastRenderedPageBreak/>
              <w:t>наступні показники коефіцієнтного аналізу</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lastRenderedPageBreak/>
              <w:t>55.</w:t>
            </w:r>
          </w:p>
        </w:tc>
        <w:tc>
          <w:tcPr>
            <w:tcW w:w="4633" w:type="pct"/>
          </w:tcPr>
          <w:p w:rsidR="00E55CAD" w:rsidRPr="00E55CAD" w:rsidRDefault="00E55CAD" w:rsidP="00661969">
            <w:pPr>
              <w:tabs>
                <w:tab w:val="left" w:pos="6225"/>
              </w:tabs>
              <w:rPr>
                <w:sz w:val="28"/>
                <w:szCs w:val="28"/>
                <w:lang w:val="uk-UA"/>
              </w:rPr>
            </w:pPr>
            <w:r w:rsidRPr="00E55CAD">
              <w:rPr>
                <w:rFonts w:eastAsia="Calibri"/>
                <w:sz w:val="28"/>
                <w:szCs w:val="28"/>
                <w:shd w:val="clear" w:color="auto" w:fill="FFFFFF"/>
                <w:lang w:val="uk-UA"/>
              </w:rPr>
              <w:t>Звіт про виконання фінансового плану державного підприємства містить наступні показники коефіцієнтного аналізу</w:t>
            </w:r>
          </w:p>
        </w:tc>
      </w:tr>
      <w:tr w:rsidR="00E55CAD" w:rsidRPr="00E55CAD" w:rsidTr="00E55CAD">
        <w:trPr>
          <w:trHeight w:val="570"/>
        </w:trPr>
        <w:tc>
          <w:tcPr>
            <w:tcW w:w="367" w:type="pct"/>
          </w:tcPr>
          <w:p w:rsidR="00E55CAD" w:rsidRPr="00E55CAD" w:rsidRDefault="00E55CAD" w:rsidP="00661969">
            <w:pPr>
              <w:jc w:val="center"/>
              <w:rPr>
                <w:sz w:val="28"/>
                <w:szCs w:val="28"/>
                <w:lang w:val="uk-UA"/>
              </w:rPr>
            </w:pPr>
            <w:r w:rsidRPr="00E55CAD">
              <w:rPr>
                <w:sz w:val="28"/>
                <w:szCs w:val="28"/>
                <w:lang w:val="uk-UA"/>
              </w:rPr>
              <w:t>56.</w:t>
            </w:r>
          </w:p>
        </w:tc>
        <w:tc>
          <w:tcPr>
            <w:tcW w:w="4633" w:type="pct"/>
          </w:tcPr>
          <w:p w:rsidR="00E55CAD" w:rsidRPr="00E55CAD" w:rsidRDefault="00E55CAD" w:rsidP="00661969">
            <w:pPr>
              <w:jc w:val="both"/>
              <w:rPr>
                <w:sz w:val="28"/>
                <w:szCs w:val="28"/>
                <w:lang w:val="uk-UA"/>
              </w:rPr>
            </w:pPr>
            <w:r w:rsidRPr="00E55CAD">
              <w:rPr>
                <w:rFonts w:eastAsia="Calibri"/>
                <w:sz w:val="28"/>
                <w:szCs w:val="28"/>
                <w:shd w:val="clear" w:color="auto" w:fill="FFFFFF"/>
                <w:lang w:val="uk-UA"/>
              </w:rPr>
              <w:t>Звіт про виконання фінансового плану державного підприємства містить наступні показники коефіцієнтного аналізу</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57.</w:t>
            </w:r>
          </w:p>
        </w:tc>
        <w:tc>
          <w:tcPr>
            <w:tcW w:w="4633" w:type="pct"/>
          </w:tcPr>
          <w:p w:rsidR="00E55CAD" w:rsidRPr="00E55CAD" w:rsidRDefault="00E55CAD" w:rsidP="00661969">
            <w:pPr>
              <w:tabs>
                <w:tab w:val="left" w:pos="6225"/>
              </w:tabs>
              <w:rPr>
                <w:b/>
                <w:sz w:val="28"/>
                <w:szCs w:val="28"/>
                <w:lang w:val="uk-UA"/>
              </w:rPr>
            </w:pPr>
            <w:r w:rsidRPr="00E55CAD">
              <w:rPr>
                <w:rStyle w:val="a5"/>
                <w:b w:val="0"/>
                <w:sz w:val="28"/>
                <w:szCs w:val="28"/>
                <w:lang w:val="uk-UA"/>
              </w:rPr>
              <w:t>План, що охоплює майбутні операції підприємства є</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58.</w:t>
            </w:r>
          </w:p>
        </w:tc>
        <w:tc>
          <w:tcPr>
            <w:tcW w:w="4633" w:type="pct"/>
          </w:tcPr>
          <w:p w:rsidR="00E55CAD" w:rsidRPr="00E55CAD" w:rsidRDefault="00E55CAD" w:rsidP="00661969">
            <w:pPr>
              <w:tabs>
                <w:tab w:val="left" w:pos="6225"/>
              </w:tabs>
              <w:rPr>
                <w:sz w:val="28"/>
                <w:szCs w:val="28"/>
                <w:lang w:val="uk-UA"/>
              </w:rPr>
            </w:pPr>
            <w:r w:rsidRPr="00E55CAD">
              <w:rPr>
                <w:rFonts w:eastAsia="Calibri"/>
                <w:sz w:val="28"/>
                <w:szCs w:val="28"/>
                <w:shd w:val="clear" w:color="auto" w:fill="FFFFFF"/>
                <w:lang w:val="uk-UA"/>
              </w:rPr>
              <w:t>Складання фінансових планів та бюджетів на основі минулих даних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59.</w:t>
            </w:r>
          </w:p>
        </w:tc>
        <w:tc>
          <w:tcPr>
            <w:tcW w:w="4633" w:type="pct"/>
          </w:tcPr>
          <w:p w:rsidR="00E55CAD" w:rsidRPr="00E55CAD" w:rsidRDefault="00E55CAD" w:rsidP="00661969">
            <w:pPr>
              <w:tabs>
                <w:tab w:val="left" w:pos="6225"/>
              </w:tabs>
              <w:rPr>
                <w:sz w:val="28"/>
                <w:szCs w:val="28"/>
                <w:lang w:val="uk-UA"/>
              </w:rPr>
            </w:pPr>
            <w:r w:rsidRPr="00E55CAD">
              <w:rPr>
                <w:rFonts w:eastAsia="Calibri"/>
                <w:sz w:val="28"/>
                <w:szCs w:val="28"/>
                <w:shd w:val="clear" w:color="auto" w:fill="FFFFFF"/>
                <w:lang w:val="uk-UA"/>
              </w:rPr>
              <w:t>Складання фінансових планів та бюджетів на основі нових даних поточного року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60.</w:t>
            </w:r>
          </w:p>
        </w:tc>
        <w:tc>
          <w:tcPr>
            <w:tcW w:w="4633" w:type="pct"/>
          </w:tcPr>
          <w:p w:rsidR="00E55CAD" w:rsidRPr="00E55CAD" w:rsidRDefault="00E55CAD" w:rsidP="00661969">
            <w:pPr>
              <w:tabs>
                <w:tab w:val="left" w:pos="6225"/>
              </w:tabs>
              <w:rPr>
                <w:sz w:val="28"/>
                <w:szCs w:val="28"/>
                <w:lang w:val="uk-UA"/>
              </w:rPr>
            </w:pPr>
            <w:r w:rsidRPr="00E55CAD">
              <w:rPr>
                <w:rFonts w:eastAsia="Calibri"/>
                <w:sz w:val="28"/>
                <w:szCs w:val="28"/>
                <w:shd w:val="clear" w:color="auto" w:fill="FFFFFF"/>
                <w:lang w:val="uk-UA"/>
              </w:rPr>
              <w:t xml:space="preserve">Узгодженням та затвердженням бюджетів займається </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61.</w:t>
            </w:r>
          </w:p>
        </w:tc>
        <w:tc>
          <w:tcPr>
            <w:tcW w:w="4633" w:type="pct"/>
          </w:tcPr>
          <w:p w:rsidR="00E55CAD" w:rsidRPr="00E55CAD" w:rsidRDefault="00E55CAD" w:rsidP="00661969">
            <w:pPr>
              <w:tabs>
                <w:tab w:val="left" w:pos="6225"/>
              </w:tabs>
              <w:rPr>
                <w:sz w:val="28"/>
                <w:szCs w:val="28"/>
                <w:lang w:val="uk-UA"/>
              </w:rPr>
            </w:pPr>
            <w:r w:rsidRPr="00E55CAD">
              <w:rPr>
                <w:rFonts w:eastAsia="Calibri"/>
                <w:sz w:val="28"/>
                <w:szCs w:val="28"/>
                <w:shd w:val="clear" w:color="auto" w:fill="FFFFFF"/>
                <w:lang w:val="uk-UA"/>
              </w:rPr>
              <w:t>Вихідною точкою бюджетування  є операційний бюджет</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62.</w:t>
            </w:r>
          </w:p>
        </w:tc>
        <w:tc>
          <w:tcPr>
            <w:tcW w:w="4633" w:type="pct"/>
          </w:tcPr>
          <w:p w:rsidR="00E55CAD" w:rsidRPr="00E55CAD" w:rsidRDefault="00E55CAD" w:rsidP="00661969">
            <w:pPr>
              <w:jc w:val="both"/>
              <w:rPr>
                <w:sz w:val="28"/>
                <w:szCs w:val="28"/>
                <w:lang w:val="uk-UA"/>
              </w:rPr>
            </w:pPr>
            <w:r w:rsidRPr="00E55CAD">
              <w:rPr>
                <w:rFonts w:eastAsia="Calibri"/>
                <w:sz w:val="28"/>
                <w:szCs w:val="28"/>
                <w:shd w:val="clear" w:color="auto" w:fill="FFFFFF"/>
                <w:lang w:val="uk-UA"/>
              </w:rPr>
              <w:t xml:space="preserve">При бюджетуванні бюджети поділяються на </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63.</w:t>
            </w:r>
          </w:p>
        </w:tc>
        <w:tc>
          <w:tcPr>
            <w:tcW w:w="4633" w:type="pct"/>
          </w:tcPr>
          <w:p w:rsidR="00E55CAD" w:rsidRPr="00E55CAD" w:rsidRDefault="00E55CAD" w:rsidP="00661969">
            <w:pPr>
              <w:jc w:val="both"/>
              <w:rPr>
                <w:sz w:val="28"/>
                <w:szCs w:val="28"/>
                <w:lang w:val="uk-UA"/>
              </w:rPr>
            </w:pPr>
            <w:r w:rsidRPr="00E55CAD">
              <w:rPr>
                <w:rFonts w:eastAsia="Calibri"/>
                <w:sz w:val="28"/>
                <w:szCs w:val="28"/>
                <w:shd w:val="clear" w:color="auto" w:fill="FFFFFF"/>
                <w:lang w:val="uk-UA"/>
              </w:rPr>
              <w:t>Основними користувачами інформації фінансових планів є:</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64.</w:t>
            </w:r>
          </w:p>
        </w:tc>
        <w:tc>
          <w:tcPr>
            <w:tcW w:w="4633" w:type="pct"/>
          </w:tcPr>
          <w:p w:rsidR="00E55CAD" w:rsidRPr="00E55CAD" w:rsidRDefault="00E55CAD" w:rsidP="00661969">
            <w:pPr>
              <w:tabs>
                <w:tab w:val="left" w:pos="6225"/>
              </w:tabs>
              <w:rPr>
                <w:sz w:val="28"/>
                <w:szCs w:val="28"/>
                <w:lang w:val="uk-UA"/>
              </w:rPr>
            </w:pPr>
            <w:r w:rsidRPr="00E55CAD">
              <w:rPr>
                <w:sz w:val="28"/>
                <w:szCs w:val="28"/>
                <w:lang w:val="uk-UA"/>
              </w:rPr>
              <w:t>Ставка єдиного соціального внеску складає</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65.</w:t>
            </w:r>
          </w:p>
        </w:tc>
        <w:tc>
          <w:tcPr>
            <w:tcW w:w="4633" w:type="pct"/>
          </w:tcPr>
          <w:p w:rsidR="00E55CAD" w:rsidRPr="00E55CAD" w:rsidRDefault="00E55CAD" w:rsidP="00661969">
            <w:pPr>
              <w:tabs>
                <w:tab w:val="left" w:pos="6225"/>
              </w:tabs>
              <w:rPr>
                <w:sz w:val="28"/>
                <w:szCs w:val="28"/>
                <w:lang w:val="uk-UA"/>
              </w:rPr>
            </w:pPr>
            <w:r w:rsidRPr="00E55CAD">
              <w:rPr>
                <w:sz w:val="28"/>
                <w:szCs w:val="28"/>
                <w:lang w:val="uk-UA"/>
              </w:rPr>
              <w:t>Базова ставка ПДФО складає</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66.</w:t>
            </w:r>
          </w:p>
        </w:tc>
        <w:tc>
          <w:tcPr>
            <w:tcW w:w="4633" w:type="pct"/>
          </w:tcPr>
          <w:p w:rsidR="00E55CAD" w:rsidRPr="00E55CAD" w:rsidRDefault="00E55CAD" w:rsidP="00661969">
            <w:pPr>
              <w:jc w:val="both"/>
              <w:rPr>
                <w:sz w:val="28"/>
                <w:szCs w:val="28"/>
                <w:lang w:val="uk-UA"/>
              </w:rPr>
            </w:pPr>
            <w:r w:rsidRPr="00E55CAD">
              <w:rPr>
                <w:sz w:val="28"/>
                <w:szCs w:val="28"/>
                <w:lang w:val="uk-UA"/>
              </w:rPr>
              <w:t>Базова ставка податку на прибуток складає</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67.</w:t>
            </w:r>
          </w:p>
        </w:tc>
        <w:tc>
          <w:tcPr>
            <w:tcW w:w="4633" w:type="pct"/>
          </w:tcPr>
          <w:p w:rsidR="00E55CAD" w:rsidRPr="00E55CAD" w:rsidRDefault="00E55CAD" w:rsidP="00661969">
            <w:pPr>
              <w:tabs>
                <w:tab w:val="left" w:pos="6225"/>
              </w:tabs>
              <w:rPr>
                <w:sz w:val="28"/>
                <w:szCs w:val="28"/>
                <w:lang w:val="uk-UA"/>
              </w:rPr>
            </w:pPr>
            <w:r w:rsidRPr="00E55CAD">
              <w:rPr>
                <w:sz w:val="28"/>
                <w:szCs w:val="28"/>
                <w:lang w:val="uk-UA"/>
              </w:rPr>
              <w:t xml:space="preserve">Базова </w:t>
            </w:r>
            <w:r>
              <w:rPr>
                <w:sz w:val="28"/>
                <w:szCs w:val="28"/>
                <w:lang w:val="uk-UA"/>
              </w:rPr>
              <w:t>ставка ПДВ складає</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68.</w:t>
            </w:r>
          </w:p>
        </w:tc>
        <w:tc>
          <w:tcPr>
            <w:tcW w:w="4633" w:type="pct"/>
          </w:tcPr>
          <w:p w:rsidR="00E55CAD" w:rsidRPr="00E55CAD" w:rsidRDefault="00E55CAD" w:rsidP="00661969">
            <w:pPr>
              <w:tabs>
                <w:tab w:val="left" w:pos="6225"/>
              </w:tabs>
              <w:rPr>
                <w:sz w:val="28"/>
                <w:szCs w:val="28"/>
                <w:lang w:val="uk-UA"/>
              </w:rPr>
            </w:pPr>
            <w:r w:rsidRPr="00E55CAD">
              <w:rPr>
                <w:sz w:val="28"/>
                <w:szCs w:val="28"/>
                <w:lang w:val="uk-UA"/>
              </w:rPr>
              <w:t>Ставка ПДВ по ліках складає</w:t>
            </w:r>
          </w:p>
        </w:tc>
      </w:tr>
      <w:tr w:rsidR="00E55CAD" w:rsidRPr="00E55CAD" w:rsidTr="00E55CAD">
        <w:trPr>
          <w:trHeight w:val="427"/>
        </w:trPr>
        <w:tc>
          <w:tcPr>
            <w:tcW w:w="367" w:type="pct"/>
          </w:tcPr>
          <w:p w:rsidR="00E55CAD" w:rsidRPr="00E55CAD" w:rsidRDefault="00E55CAD" w:rsidP="00661969">
            <w:pPr>
              <w:jc w:val="center"/>
              <w:rPr>
                <w:sz w:val="28"/>
                <w:szCs w:val="28"/>
                <w:lang w:val="uk-UA"/>
              </w:rPr>
            </w:pPr>
            <w:r w:rsidRPr="00E55CAD">
              <w:rPr>
                <w:sz w:val="28"/>
                <w:szCs w:val="28"/>
                <w:lang w:val="uk-UA"/>
              </w:rPr>
              <w:t>69.</w:t>
            </w:r>
          </w:p>
        </w:tc>
        <w:tc>
          <w:tcPr>
            <w:tcW w:w="4633" w:type="pct"/>
          </w:tcPr>
          <w:p w:rsidR="00E55CAD" w:rsidRPr="00E55CAD" w:rsidRDefault="00E55CAD" w:rsidP="00661969">
            <w:pPr>
              <w:shd w:val="clear" w:color="auto" w:fill="FFFFFF"/>
              <w:jc w:val="both"/>
              <w:rPr>
                <w:sz w:val="28"/>
                <w:szCs w:val="28"/>
                <w:lang w:val="uk-UA" w:eastAsia="uk-UA"/>
              </w:rPr>
            </w:pPr>
            <w:r w:rsidRPr="00E55CAD">
              <w:rPr>
                <w:sz w:val="28"/>
                <w:szCs w:val="28"/>
                <w:lang w:val="uk-UA" w:eastAsia="uk-UA"/>
              </w:rPr>
              <w:t>Обсяг доходу 1 млн грн. при сплаті єдиного податку (до 2 квітня – 300 тис. грн) відноситься: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70.</w:t>
            </w:r>
          </w:p>
        </w:tc>
        <w:tc>
          <w:tcPr>
            <w:tcW w:w="4633" w:type="pct"/>
          </w:tcPr>
          <w:p w:rsidR="00E55CAD" w:rsidRPr="00E55CAD" w:rsidRDefault="00E55CAD" w:rsidP="00661969">
            <w:pPr>
              <w:shd w:val="clear" w:color="auto" w:fill="FFFFFF"/>
              <w:jc w:val="both"/>
              <w:rPr>
                <w:sz w:val="28"/>
                <w:szCs w:val="28"/>
                <w:lang w:val="uk-UA" w:eastAsia="uk-UA"/>
              </w:rPr>
            </w:pPr>
            <w:r w:rsidRPr="00E55CAD">
              <w:rPr>
                <w:sz w:val="28"/>
                <w:szCs w:val="28"/>
                <w:lang w:val="uk-UA" w:eastAsia="uk-UA"/>
              </w:rPr>
              <w:t>Обсяг доходу при сплаті єдиного податку для фіз</w:t>
            </w:r>
            <w:r>
              <w:rPr>
                <w:sz w:val="28"/>
                <w:szCs w:val="28"/>
                <w:lang w:val="uk-UA" w:eastAsia="uk-UA"/>
              </w:rPr>
              <w:t xml:space="preserve">ичних </w:t>
            </w:r>
            <w:r w:rsidRPr="00E55CAD">
              <w:rPr>
                <w:sz w:val="28"/>
                <w:szCs w:val="28"/>
                <w:lang w:val="uk-UA" w:eastAsia="uk-UA"/>
              </w:rPr>
              <w:t>осіб в 5 млн грн (до 2 квітня – 1,5 млн грн) відноситься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71.</w:t>
            </w:r>
          </w:p>
        </w:tc>
        <w:tc>
          <w:tcPr>
            <w:tcW w:w="4633" w:type="pct"/>
          </w:tcPr>
          <w:p w:rsidR="00E55CAD" w:rsidRPr="00E55CAD" w:rsidRDefault="00E55CAD" w:rsidP="00661969">
            <w:pPr>
              <w:shd w:val="clear" w:color="auto" w:fill="FFFFFF"/>
              <w:jc w:val="both"/>
              <w:rPr>
                <w:color w:val="232B30"/>
                <w:sz w:val="28"/>
                <w:szCs w:val="28"/>
                <w:lang w:val="uk-UA" w:eastAsia="uk-UA"/>
              </w:rPr>
            </w:pPr>
            <w:r w:rsidRPr="00E55CAD">
              <w:rPr>
                <w:sz w:val="28"/>
                <w:szCs w:val="28"/>
                <w:lang w:val="uk-UA" w:eastAsia="uk-UA"/>
              </w:rPr>
              <w:t>Обсяг доходу при сплаті єдиного податку для фіз</w:t>
            </w:r>
            <w:r>
              <w:rPr>
                <w:sz w:val="28"/>
                <w:szCs w:val="28"/>
                <w:lang w:val="uk-UA" w:eastAsia="uk-UA"/>
              </w:rPr>
              <w:t xml:space="preserve">ичних </w:t>
            </w:r>
            <w:r w:rsidRPr="00E55CAD">
              <w:rPr>
                <w:sz w:val="28"/>
                <w:szCs w:val="28"/>
                <w:lang w:val="uk-UA" w:eastAsia="uk-UA"/>
              </w:rPr>
              <w:t>осіб-«єдинників» та юр</w:t>
            </w:r>
            <w:r>
              <w:rPr>
                <w:sz w:val="28"/>
                <w:szCs w:val="28"/>
                <w:lang w:val="uk-UA" w:eastAsia="uk-UA"/>
              </w:rPr>
              <w:t xml:space="preserve">идичних </w:t>
            </w:r>
            <w:r w:rsidRPr="00E55CAD">
              <w:rPr>
                <w:sz w:val="28"/>
                <w:szCs w:val="28"/>
                <w:lang w:val="uk-UA" w:eastAsia="uk-UA"/>
              </w:rPr>
              <w:t>особ-«єдинників» 7 млн грн (до 2 квітня – 5 млн грн). відноситься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72.</w:t>
            </w:r>
          </w:p>
        </w:tc>
        <w:tc>
          <w:tcPr>
            <w:tcW w:w="4633" w:type="pct"/>
          </w:tcPr>
          <w:p w:rsidR="00E55CAD" w:rsidRPr="00E55CAD" w:rsidRDefault="00E55CAD" w:rsidP="00661969">
            <w:pPr>
              <w:jc w:val="both"/>
              <w:rPr>
                <w:sz w:val="28"/>
                <w:szCs w:val="28"/>
                <w:lang w:val="uk-UA"/>
              </w:rPr>
            </w:pPr>
            <w:r w:rsidRPr="00E55CAD">
              <w:rPr>
                <w:sz w:val="28"/>
                <w:szCs w:val="28"/>
                <w:shd w:val="clear" w:color="auto" w:fill="FFFFFF"/>
                <w:lang w:val="uk-UA"/>
              </w:rPr>
              <w:t>Фізичні особи — підприємці (1 група), які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сплачують єдиний податок за ставками</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73.</w:t>
            </w:r>
          </w:p>
        </w:tc>
        <w:tc>
          <w:tcPr>
            <w:tcW w:w="4633" w:type="pct"/>
          </w:tcPr>
          <w:p w:rsidR="00E55CAD" w:rsidRPr="00E55CAD" w:rsidRDefault="00E55CAD" w:rsidP="00661969">
            <w:pPr>
              <w:jc w:val="both"/>
              <w:rPr>
                <w:sz w:val="28"/>
                <w:szCs w:val="28"/>
                <w:lang w:val="uk-UA"/>
              </w:rPr>
            </w:pPr>
            <w:r w:rsidRPr="00E55CAD">
              <w:rPr>
                <w:sz w:val="28"/>
                <w:szCs w:val="28"/>
                <w:shd w:val="clear" w:color="auto" w:fill="FFFFFF"/>
                <w:lang w:val="uk-UA"/>
              </w:rPr>
              <w:t>Фізичні особи (2 група)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сплачують єдиний податок за ставками</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74.</w:t>
            </w:r>
          </w:p>
        </w:tc>
        <w:tc>
          <w:tcPr>
            <w:tcW w:w="4633" w:type="pct"/>
          </w:tcPr>
          <w:p w:rsidR="00E55CAD" w:rsidRPr="00E55CAD" w:rsidRDefault="00E55CAD" w:rsidP="00661969">
            <w:pPr>
              <w:widowControl w:val="0"/>
              <w:autoSpaceDE w:val="0"/>
              <w:autoSpaceDN w:val="0"/>
              <w:adjustRightInd w:val="0"/>
              <w:ind w:right="-1"/>
              <w:jc w:val="both"/>
              <w:rPr>
                <w:sz w:val="28"/>
                <w:szCs w:val="28"/>
                <w:lang w:val="uk-UA"/>
              </w:rPr>
            </w:pPr>
            <w:r w:rsidRPr="00E55CAD">
              <w:rPr>
                <w:sz w:val="28"/>
                <w:szCs w:val="28"/>
                <w:shd w:val="clear" w:color="auto" w:fill="FFFFFF"/>
                <w:lang w:val="uk-UA"/>
              </w:rPr>
              <w:t>Фізичні особи (3 група)— підприємці та юридичні особи — суб'єкти господарювання будь-якої організаційно-правової форми сплачують єдиний податок за базовими ставками</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75.</w:t>
            </w:r>
          </w:p>
        </w:tc>
        <w:tc>
          <w:tcPr>
            <w:tcW w:w="4633" w:type="pct"/>
          </w:tcPr>
          <w:p w:rsidR="00E55CAD" w:rsidRPr="00E55CAD" w:rsidRDefault="00E55CAD" w:rsidP="00661969">
            <w:pPr>
              <w:ind w:right="-1" w:firstLine="142"/>
              <w:jc w:val="both"/>
              <w:rPr>
                <w:sz w:val="28"/>
                <w:szCs w:val="28"/>
                <w:lang w:val="uk-UA"/>
              </w:rPr>
            </w:pPr>
            <w:r w:rsidRPr="00E55CAD">
              <w:rPr>
                <w:sz w:val="28"/>
                <w:szCs w:val="28"/>
                <w:shd w:val="clear" w:color="auto" w:fill="FFFFFF"/>
                <w:lang w:val="uk-UA"/>
              </w:rPr>
              <w:t>Фізичні особи (3 група)  — підприємці та юридичні особи — суб'єкти господарювання будь-якої організаційно-правової форми сплачують єдиний податок за підвищеними ставками</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76.</w:t>
            </w:r>
          </w:p>
        </w:tc>
        <w:tc>
          <w:tcPr>
            <w:tcW w:w="4633" w:type="pct"/>
          </w:tcPr>
          <w:p w:rsidR="00E55CAD" w:rsidRPr="00E55CAD" w:rsidRDefault="00E55CAD" w:rsidP="00E55CAD">
            <w:pPr>
              <w:shd w:val="clear" w:color="auto" w:fill="FFFFFF"/>
              <w:jc w:val="both"/>
              <w:rPr>
                <w:sz w:val="28"/>
                <w:szCs w:val="28"/>
                <w:lang w:val="uk-UA" w:eastAsia="uk-UA"/>
              </w:rPr>
            </w:pPr>
            <w:r w:rsidRPr="00E55CAD">
              <w:rPr>
                <w:sz w:val="28"/>
                <w:szCs w:val="28"/>
                <w:lang w:val="uk-UA" w:eastAsia="uk-UA"/>
              </w:rPr>
              <w:t>Внутрішніми джерелами фінансових ресурсів є:</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77.</w:t>
            </w:r>
          </w:p>
        </w:tc>
        <w:tc>
          <w:tcPr>
            <w:tcW w:w="4633" w:type="pct"/>
          </w:tcPr>
          <w:p w:rsidR="00E55CAD" w:rsidRPr="00E55CAD" w:rsidRDefault="00E55CAD" w:rsidP="00661969">
            <w:pPr>
              <w:shd w:val="clear" w:color="auto" w:fill="FFFFFF"/>
              <w:jc w:val="both"/>
              <w:rPr>
                <w:sz w:val="28"/>
                <w:szCs w:val="28"/>
                <w:lang w:val="uk-UA" w:eastAsia="uk-UA"/>
              </w:rPr>
            </w:pPr>
            <w:r w:rsidRPr="00E55CAD">
              <w:rPr>
                <w:iCs/>
                <w:color w:val="000000"/>
                <w:sz w:val="28"/>
                <w:szCs w:val="28"/>
                <w:lang w:val="uk-UA"/>
              </w:rPr>
              <w:t>Метод</w:t>
            </w:r>
            <w:r w:rsidRPr="00E55CAD">
              <w:rPr>
                <w:color w:val="000000"/>
                <w:sz w:val="28"/>
                <w:szCs w:val="28"/>
                <w:lang w:val="uk-UA"/>
              </w:rPr>
              <w:t xml:space="preserve">, за яким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w:t>
            </w:r>
            <w:r w:rsidRPr="00E55CAD">
              <w:rPr>
                <w:color w:val="000000"/>
                <w:sz w:val="28"/>
                <w:szCs w:val="28"/>
                <w:lang w:val="uk-UA"/>
              </w:rPr>
              <w:lastRenderedPageBreak/>
              <w:t>амортизації, яка обчислюється відповідно до строку корисного використання об'єкта і подвоюється.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lastRenderedPageBreak/>
              <w:t>78.</w:t>
            </w:r>
          </w:p>
        </w:tc>
        <w:tc>
          <w:tcPr>
            <w:tcW w:w="4633" w:type="pct"/>
          </w:tcPr>
          <w:p w:rsidR="00E55CAD" w:rsidRPr="00E55CAD" w:rsidRDefault="00E55CAD" w:rsidP="00661969">
            <w:pPr>
              <w:jc w:val="both"/>
              <w:rPr>
                <w:sz w:val="28"/>
                <w:szCs w:val="28"/>
                <w:lang w:val="uk-UA"/>
              </w:rPr>
            </w:pPr>
            <w:r w:rsidRPr="00E55CAD">
              <w:rPr>
                <w:iCs/>
                <w:color w:val="000000"/>
                <w:sz w:val="28"/>
                <w:szCs w:val="28"/>
                <w:lang w:val="uk-UA"/>
              </w:rPr>
              <w:t>Метод</w:t>
            </w:r>
            <w:r w:rsidRPr="00E55CAD">
              <w:rPr>
                <w:color w:val="000000"/>
                <w:sz w:val="28"/>
                <w:szCs w:val="28"/>
                <w:lang w:val="uk-UA"/>
              </w:rPr>
              <w:t xml:space="preserve"> за яким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Річна норма амортизації (у відсотках) обчислюється як різниця між одиницею та результатом кореня ступеня кількості років корисного використання об'єкта з результату від ділення ліквідаційної ва</w:t>
            </w:r>
            <w:r>
              <w:rPr>
                <w:color w:val="000000"/>
                <w:sz w:val="28"/>
                <w:szCs w:val="28"/>
                <w:lang w:val="uk-UA"/>
              </w:rPr>
              <w:t xml:space="preserve">ртості об'єкта на його первісну </w:t>
            </w:r>
            <w:r w:rsidRPr="00E55CAD">
              <w:rPr>
                <w:color w:val="000000"/>
                <w:sz w:val="28"/>
                <w:szCs w:val="28"/>
                <w:lang w:val="uk-UA"/>
              </w:rPr>
              <w:t>вартість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79.</w:t>
            </w:r>
          </w:p>
        </w:tc>
        <w:tc>
          <w:tcPr>
            <w:tcW w:w="4633" w:type="pct"/>
          </w:tcPr>
          <w:p w:rsidR="00E55CAD" w:rsidRPr="00E55CAD" w:rsidRDefault="00E55CAD" w:rsidP="00661969">
            <w:pPr>
              <w:jc w:val="both"/>
              <w:rPr>
                <w:sz w:val="28"/>
                <w:szCs w:val="28"/>
                <w:lang w:val="uk-UA"/>
              </w:rPr>
            </w:pPr>
            <w:r w:rsidRPr="00E55CAD">
              <w:rPr>
                <w:iCs/>
                <w:color w:val="000000"/>
                <w:sz w:val="28"/>
                <w:szCs w:val="28"/>
                <w:lang w:val="uk-UA"/>
              </w:rPr>
              <w:t>Метод амортизації,</w:t>
            </w:r>
            <w:r w:rsidRPr="00E55CAD">
              <w:rPr>
                <w:color w:val="000000"/>
                <w:sz w:val="28"/>
                <w:szCs w:val="28"/>
                <w:lang w:val="uk-UA"/>
              </w:rPr>
              <w:t xml:space="preserve"> за яким річна сума амортизації визначається діленням вартості, яка амортизується, на строк корисног</w:t>
            </w:r>
            <w:r>
              <w:rPr>
                <w:color w:val="000000"/>
                <w:sz w:val="28"/>
                <w:szCs w:val="28"/>
                <w:lang w:val="uk-UA"/>
              </w:rPr>
              <w:t xml:space="preserve">о використання об'єкта основних </w:t>
            </w:r>
            <w:r w:rsidRPr="00E55CAD">
              <w:rPr>
                <w:color w:val="000000"/>
                <w:sz w:val="28"/>
                <w:szCs w:val="28"/>
                <w:lang w:val="uk-UA"/>
              </w:rPr>
              <w:t>засобів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80.</w:t>
            </w:r>
          </w:p>
        </w:tc>
        <w:tc>
          <w:tcPr>
            <w:tcW w:w="4633" w:type="pct"/>
          </w:tcPr>
          <w:p w:rsidR="00E55CAD" w:rsidRPr="00E55CAD" w:rsidRDefault="00E55CAD" w:rsidP="00661969">
            <w:pPr>
              <w:widowControl w:val="0"/>
              <w:autoSpaceDE w:val="0"/>
              <w:autoSpaceDN w:val="0"/>
              <w:adjustRightInd w:val="0"/>
              <w:ind w:right="-1"/>
              <w:jc w:val="both"/>
              <w:rPr>
                <w:sz w:val="28"/>
                <w:szCs w:val="28"/>
                <w:lang w:val="uk-UA"/>
              </w:rPr>
            </w:pPr>
            <w:r w:rsidRPr="00E55CAD">
              <w:rPr>
                <w:iCs/>
                <w:color w:val="000000"/>
                <w:sz w:val="28"/>
                <w:szCs w:val="28"/>
                <w:lang w:val="uk-UA"/>
              </w:rPr>
              <w:t>Метод амортизації</w:t>
            </w:r>
            <w:r w:rsidRPr="00E55CAD">
              <w:rPr>
                <w:color w:val="000000"/>
                <w:sz w:val="28"/>
                <w:szCs w:val="28"/>
                <w:lang w:val="uk-UA"/>
              </w:rPr>
              <w:t>, за яким річна сума амортизації визначається як добуток вартості, яка амортизується, та кумулятивного коефіцієнта. Кумулятивний коефіцієнт розраховується діленням кількості років, що залишаються до кінця строку корисного використання об'єкта основних засобів, на суму числа років його корисного використання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81.</w:t>
            </w:r>
          </w:p>
        </w:tc>
        <w:tc>
          <w:tcPr>
            <w:tcW w:w="4633" w:type="pct"/>
          </w:tcPr>
          <w:p w:rsidR="00E55CAD" w:rsidRPr="00E55CAD" w:rsidRDefault="00E55CAD" w:rsidP="00661969">
            <w:pPr>
              <w:ind w:right="-1"/>
              <w:jc w:val="both"/>
              <w:rPr>
                <w:sz w:val="28"/>
                <w:szCs w:val="28"/>
                <w:lang w:val="uk-UA"/>
              </w:rPr>
            </w:pPr>
            <w:r w:rsidRPr="00E55CAD">
              <w:rPr>
                <w:iCs/>
                <w:color w:val="000000"/>
                <w:sz w:val="28"/>
                <w:szCs w:val="28"/>
                <w:lang w:val="uk-UA"/>
              </w:rPr>
              <w:t>Метод амортизації</w:t>
            </w:r>
            <w:r w:rsidRPr="00E55CAD">
              <w:rPr>
                <w:color w:val="000000"/>
                <w:sz w:val="28"/>
                <w:szCs w:val="28"/>
                <w:lang w:val="uk-UA"/>
              </w:rPr>
              <w:t>, за яким місячна сума амортизації визначається як добуток фактичного місячного обсягу продукції (робіт, послуг) та виробничої ставки амортизації. Виробнича ставка амортизації обчислюється діленням вартості, яка амортизується, на загальний обсяг продукції (робіт, послуг), який підприємство очікує виробити (виконати) з використанням об'єкта основних засобів.</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82.</w:t>
            </w:r>
          </w:p>
        </w:tc>
        <w:tc>
          <w:tcPr>
            <w:tcW w:w="4633" w:type="pct"/>
          </w:tcPr>
          <w:p w:rsidR="00E55CAD" w:rsidRPr="00E55CAD" w:rsidRDefault="00E55CAD" w:rsidP="00661969">
            <w:pPr>
              <w:jc w:val="both"/>
              <w:rPr>
                <w:i/>
                <w:sz w:val="28"/>
                <w:szCs w:val="28"/>
                <w:lang w:val="uk-UA"/>
              </w:rPr>
            </w:pPr>
            <w:r w:rsidRPr="00E55CAD">
              <w:rPr>
                <w:rStyle w:val="fontstyle01"/>
                <w:i w:val="0"/>
                <w:lang w:val="uk-UA"/>
              </w:rPr>
              <w:t>Права користування природними ресурсами (право користування надрами,</w:t>
            </w:r>
            <w:r w:rsidRPr="00E55CAD">
              <w:rPr>
                <w:i/>
                <w:color w:val="000000"/>
                <w:sz w:val="28"/>
                <w:szCs w:val="28"/>
                <w:lang w:val="uk-UA"/>
              </w:rPr>
              <w:t xml:space="preserve"> </w:t>
            </w:r>
            <w:r w:rsidRPr="00E55CAD">
              <w:rPr>
                <w:rStyle w:val="fontstyle01"/>
                <w:i w:val="0"/>
                <w:lang w:val="uk-UA"/>
              </w:rPr>
              <w:t>іншими ресурсами природного середовища, геологічною та іншою інформацією про</w:t>
            </w:r>
            <w:r w:rsidRPr="00E55CAD">
              <w:rPr>
                <w:i/>
                <w:color w:val="000000"/>
                <w:sz w:val="28"/>
                <w:szCs w:val="28"/>
                <w:lang w:val="uk-UA"/>
              </w:rPr>
              <w:t xml:space="preserve"> </w:t>
            </w:r>
            <w:r w:rsidRPr="00E55CAD">
              <w:rPr>
                <w:rStyle w:val="fontstyle01"/>
                <w:i w:val="0"/>
                <w:lang w:val="uk-UA"/>
              </w:rPr>
              <w:t>природне середовище) відносяться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83.</w:t>
            </w:r>
          </w:p>
        </w:tc>
        <w:tc>
          <w:tcPr>
            <w:tcW w:w="4633" w:type="pct"/>
          </w:tcPr>
          <w:p w:rsidR="00E55CAD" w:rsidRPr="00E55CAD" w:rsidRDefault="00E55CAD" w:rsidP="00661969">
            <w:pPr>
              <w:jc w:val="both"/>
              <w:rPr>
                <w:rFonts w:eastAsia="Calibri"/>
                <w:sz w:val="28"/>
                <w:szCs w:val="28"/>
                <w:shd w:val="clear" w:color="auto" w:fill="FFFFFF"/>
                <w:lang w:val="uk-UA"/>
              </w:rPr>
            </w:pPr>
            <w:r w:rsidRPr="00E55CAD">
              <w:rPr>
                <w:rFonts w:eastAsia="Calibri"/>
                <w:sz w:val="28"/>
                <w:szCs w:val="28"/>
                <w:shd w:val="clear" w:color="auto" w:fill="FFFFFF"/>
                <w:lang w:val="uk-UA"/>
              </w:rPr>
              <w:t>Права користування майном (право користування земельною ділянкою, крім права постійного користування земельною ділянкою, відповідно до закону, право користування будівлею, право на оренду приміщень тощо) відносяться до</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84.</w:t>
            </w:r>
          </w:p>
        </w:tc>
        <w:tc>
          <w:tcPr>
            <w:tcW w:w="4633" w:type="pct"/>
          </w:tcPr>
          <w:p w:rsidR="00E55CAD" w:rsidRPr="00E55CAD" w:rsidRDefault="00E55CAD" w:rsidP="00661969">
            <w:pPr>
              <w:jc w:val="both"/>
              <w:rPr>
                <w:rFonts w:eastAsia="Calibri"/>
                <w:sz w:val="28"/>
                <w:szCs w:val="28"/>
                <w:shd w:val="clear" w:color="auto" w:fill="FFFFFF"/>
                <w:lang w:val="uk-UA"/>
              </w:rPr>
            </w:pPr>
            <w:r w:rsidRPr="00E55CAD">
              <w:rPr>
                <w:rFonts w:eastAsia="Calibri"/>
                <w:sz w:val="28"/>
                <w:szCs w:val="28"/>
                <w:shd w:val="clear" w:color="auto" w:fill="FFFFFF"/>
                <w:lang w:val="uk-UA"/>
              </w:rPr>
              <w:t>Права на комерційні позначення (права на торговельні марки (знаки для товарів і послуг), комерційні (фірмові) найменування тощо), крім тих, витрати на придбання яких визнаються роялті відносять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85.</w:t>
            </w:r>
          </w:p>
        </w:tc>
        <w:tc>
          <w:tcPr>
            <w:tcW w:w="4633" w:type="pct"/>
          </w:tcPr>
          <w:p w:rsidR="00E55CAD" w:rsidRPr="00E55CAD" w:rsidRDefault="00E55CAD" w:rsidP="00661969">
            <w:pPr>
              <w:jc w:val="both"/>
              <w:rPr>
                <w:rFonts w:eastAsia="Calibri"/>
                <w:sz w:val="28"/>
                <w:szCs w:val="28"/>
                <w:shd w:val="clear" w:color="auto" w:fill="FFFFFF"/>
                <w:lang w:val="uk-UA"/>
              </w:rPr>
            </w:pPr>
            <w:r w:rsidRPr="00E55CAD">
              <w:rPr>
                <w:rFonts w:eastAsia="Calibri"/>
                <w:sz w:val="28"/>
                <w:szCs w:val="28"/>
                <w:shd w:val="clear" w:color="auto" w:fill="FFFFFF"/>
                <w:lang w:val="uk-UA"/>
              </w:rPr>
              <w:t>Права на об’єкти промислової власності (право на винаходи, корисні моделі, промислові зразки, сорти рослин, породи тварин, компонування (топографії) інтегральних мікросхем, комерційні таємниці, в тому числі ноу-хау, захист від недобросовісної конкуренції тощо) крім тих, витрати на придбання яких визнаються роялті; відносяться</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86.</w:t>
            </w:r>
          </w:p>
        </w:tc>
        <w:tc>
          <w:tcPr>
            <w:tcW w:w="4633" w:type="pct"/>
          </w:tcPr>
          <w:p w:rsidR="00E55CAD" w:rsidRPr="00E55CAD" w:rsidRDefault="00E55CAD" w:rsidP="00661969">
            <w:pPr>
              <w:jc w:val="both"/>
              <w:rPr>
                <w:rFonts w:eastAsia="Calibri"/>
                <w:sz w:val="28"/>
                <w:szCs w:val="28"/>
                <w:shd w:val="clear" w:color="auto" w:fill="FFFFFF"/>
                <w:lang w:val="uk-UA"/>
              </w:rPr>
            </w:pPr>
            <w:r w:rsidRPr="00E55CAD">
              <w:rPr>
                <w:rFonts w:eastAsia="Calibri"/>
                <w:sz w:val="28"/>
                <w:szCs w:val="28"/>
                <w:shd w:val="clear" w:color="auto" w:fill="FFFFFF"/>
                <w:lang w:val="uk-UA"/>
              </w:rPr>
              <w:t>Авторське право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(бази даних), фонограми, відеограми, передачі (програми) організацій мовлення тощо) крім тих, витрати на придбання яких визнаються роялті; відносяться до</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87.</w:t>
            </w:r>
          </w:p>
        </w:tc>
        <w:tc>
          <w:tcPr>
            <w:tcW w:w="4633" w:type="pct"/>
          </w:tcPr>
          <w:p w:rsidR="00E55CAD" w:rsidRPr="00E55CAD" w:rsidRDefault="00E55CAD" w:rsidP="00E55CAD">
            <w:pPr>
              <w:jc w:val="both"/>
              <w:rPr>
                <w:rFonts w:eastAsia="Calibri"/>
                <w:sz w:val="28"/>
                <w:szCs w:val="28"/>
                <w:shd w:val="clear" w:color="auto" w:fill="FFFFFF"/>
                <w:lang w:val="uk-UA"/>
              </w:rPr>
            </w:pPr>
            <w:r w:rsidRPr="00E55CAD">
              <w:rPr>
                <w:rFonts w:eastAsia="Calibri"/>
                <w:sz w:val="28"/>
                <w:szCs w:val="28"/>
                <w:shd w:val="clear" w:color="auto" w:fill="FFFFFF"/>
                <w:lang w:val="uk-UA"/>
              </w:rPr>
              <w:t>Інші нематеріальні активи (право на ведення діяльності, використання</w:t>
            </w:r>
            <w:r>
              <w:rPr>
                <w:rFonts w:eastAsia="Calibri"/>
                <w:sz w:val="28"/>
                <w:szCs w:val="28"/>
                <w:shd w:val="clear" w:color="auto" w:fill="FFFFFF"/>
                <w:lang w:val="uk-UA"/>
              </w:rPr>
              <w:t xml:space="preserve"> </w:t>
            </w:r>
            <w:r w:rsidRPr="00E55CAD">
              <w:rPr>
                <w:rFonts w:eastAsia="Calibri"/>
                <w:sz w:val="28"/>
                <w:szCs w:val="28"/>
                <w:shd w:val="clear" w:color="auto" w:fill="FFFFFF"/>
                <w:lang w:val="uk-UA"/>
              </w:rPr>
              <w:lastRenderedPageBreak/>
              <w:t>економічних та інших привілеїв тощо) відносяться до</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lastRenderedPageBreak/>
              <w:t>88.</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місцевих податків та зборів відносять: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89.</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місцевих податків та зборів відносять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90.</w:t>
            </w:r>
          </w:p>
        </w:tc>
        <w:tc>
          <w:tcPr>
            <w:tcW w:w="4633" w:type="pct"/>
          </w:tcPr>
          <w:p w:rsidR="00E55CAD" w:rsidRPr="00E55CAD" w:rsidRDefault="00E55CAD" w:rsidP="00661969">
            <w:pPr>
              <w:shd w:val="clear" w:color="auto" w:fill="FFFFFF"/>
              <w:jc w:val="both"/>
              <w:rPr>
                <w:color w:val="000000"/>
                <w:sz w:val="28"/>
                <w:szCs w:val="28"/>
                <w:lang w:val="uk-UA" w:eastAsia="uk-UA"/>
              </w:rPr>
            </w:pPr>
            <w:r w:rsidRPr="00E55CAD">
              <w:rPr>
                <w:color w:val="000000"/>
                <w:sz w:val="28"/>
                <w:szCs w:val="28"/>
                <w:lang w:val="uk-UA" w:eastAsia="uk-UA"/>
              </w:rPr>
              <w:t>До місцевих зборів належить: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91.</w:t>
            </w:r>
          </w:p>
        </w:tc>
        <w:tc>
          <w:tcPr>
            <w:tcW w:w="4633" w:type="pct"/>
          </w:tcPr>
          <w:p w:rsidR="00E55CAD" w:rsidRPr="00E55CAD" w:rsidRDefault="00E55CAD" w:rsidP="00661969">
            <w:pPr>
              <w:shd w:val="clear" w:color="auto" w:fill="FFFFFF"/>
              <w:jc w:val="both"/>
              <w:rPr>
                <w:color w:val="000000"/>
                <w:sz w:val="28"/>
                <w:szCs w:val="28"/>
                <w:lang w:val="uk-UA" w:eastAsia="uk-UA"/>
              </w:rPr>
            </w:pPr>
            <w:r w:rsidRPr="00E55CAD">
              <w:rPr>
                <w:color w:val="000000"/>
                <w:sz w:val="28"/>
                <w:szCs w:val="28"/>
                <w:lang w:val="uk-UA" w:eastAsia="uk-UA"/>
              </w:rPr>
              <w:t>До місцевих зборів належить: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92.</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загальнодержавних податків належать: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93.</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загальнодержавних податків належать: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94.</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загальнодержавних податків належать: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95.</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загальнодержавних податків належать: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96.</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загальнодержавних податків належать: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97.</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загальнодержавних податків належать: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98.</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загальнодержавних податків належать: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99.</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місцевих податків та зборів відносять: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100.</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місцевих податків та зборів відносять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101.</w:t>
            </w:r>
          </w:p>
        </w:tc>
        <w:tc>
          <w:tcPr>
            <w:tcW w:w="4633" w:type="pct"/>
          </w:tcPr>
          <w:p w:rsidR="00E55CAD" w:rsidRPr="00E55CAD" w:rsidRDefault="00E55CAD" w:rsidP="00661969">
            <w:pPr>
              <w:shd w:val="clear" w:color="auto" w:fill="FFFFFF"/>
              <w:jc w:val="both"/>
              <w:rPr>
                <w:color w:val="000000"/>
                <w:sz w:val="28"/>
                <w:szCs w:val="28"/>
                <w:lang w:val="uk-UA" w:eastAsia="uk-UA"/>
              </w:rPr>
            </w:pPr>
            <w:r w:rsidRPr="00E55CAD">
              <w:rPr>
                <w:color w:val="000000"/>
                <w:sz w:val="28"/>
                <w:szCs w:val="28"/>
                <w:lang w:val="uk-UA" w:eastAsia="uk-UA"/>
              </w:rPr>
              <w:t>До місцевих зборів належить: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102.</w:t>
            </w:r>
          </w:p>
        </w:tc>
        <w:tc>
          <w:tcPr>
            <w:tcW w:w="4633" w:type="pct"/>
          </w:tcPr>
          <w:p w:rsidR="00E55CAD" w:rsidRPr="00E55CAD" w:rsidRDefault="00E55CAD" w:rsidP="00E55CAD">
            <w:pPr>
              <w:shd w:val="clear" w:color="auto" w:fill="FFFFFF"/>
              <w:jc w:val="both"/>
              <w:rPr>
                <w:color w:val="000000"/>
                <w:sz w:val="28"/>
                <w:szCs w:val="28"/>
                <w:lang w:val="uk-UA" w:eastAsia="uk-UA"/>
              </w:rPr>
            </w:pPr>
            <w:r w:rsidRPr="00E55CAD">
              <w:rPr>
                <w:color w:val="000000"/>
                <w:sz w:val="28"/>
                <w:szCs w:val="28"/>
                <w:lang w:val="uk-UA" w:eastAsia="uk-UA"/>
              </w:rPr>
              <w:t>До місцевих зборів належить: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103.</w:t>
            </w:r>
          </w:p>
        </w:tc>
        <w:tc>
          <w:tcPr>
            <w:tcW w:w="4633" w:type="pct"/>
          </w:tcPr>
          <w:p w:rsidR="00E55CAD" w:rsidRPr="00CC4A77" w:rsidRDefault="00E55CAD" w:rsidP="00CC4A77">
            <w:pPr>
              <w:shd w:val="clear" w:color="auto" w:fill="FFFFFF"/>
              <w:jc w:val="both"/>
              <w:rPr>
                <w:color w:val="000000"/>
                <w:sz w:val="28"/>
                <w:szCs w:val="28"/>
                <w:lang w:val="uk-UA" w:eastAsia="uk-UA"/>
              </w:rPr>
            </w:pPr>
            <w:r w:rsidRPr="00E55CAD">
              <w:rPr>
                <w:color w:val="000000"/>
                <w:sz w:val="28"/>
                <w:szCs w:val="28"/>
                <w:lang w:val="uk-UA" w:eastAsia="uk-UA"/>
              </w:rPr>
              <w:t>До загальнодержавних податків належать: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104.</w:t>
            </w:r>
          </w:p>
        </w:tc>
        <w:tc>
          <w:tcPr>
            <w:tcW w:w="4633" w:type="pct"/>
          </w:tcPr>
          <w:p w:rsidR="00E55CAD" w:rsidRPr="00CC4A77" w:rsidRDefault="00E55CAD" w:rsidP="00CC4A77">
            <w:pPr>
              <w:shd w:val="clear" w:color="auto" w:fill="FFFFFF"/>
              <w:jc w:val="both"/>
              <w:rPr>
                <w:color w:val="000000"/>
                <w:sz w:val="28"/>
                <w:szCs w:val="28"/>
                <w:lang w:val="uk-UA" w:eastAsia="uk-UA"/>
              </w:rPr>
            </w:pPr>
            <w:r w:rsidRPr="00E55CAD">
              <w:rPr>
                <w:color w:val="000000"/>
                <w:sz w:val="28"/>
                <w:szCs w:val="28"/>
                <w:lang w:val="uk-UA" w:eastAsia="uk-UA"/>
              </w:rPr>
              <w:t>До загальнодержавних податків належать: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105.</w:t>
            </w:r>
          </w:p>
        </w:tc>
        <w:tc>
          <w:tcPr>
            <w:tcW w:w="4633" w:type="pct"/>
          </w:tcPr>
          <w:p w:rsidR="00E55CAD" w:rsidRPr="00CC4A77" w:rsidRDefault="00E55CAD" w:rsidP="00661969">
            <w:pPr>
              <w:rPr>
                <w:sz w:val="28"/>
                <w:szCs w:val="28"/>
                <w:lang w:val="uk-UA"/>
              </w:rPr>
            </w:pPr>
            <w:r w:rsidRPr="00E55CAD">
              <w:rPr>
                <w:sz w:val="28"/>
                <w:szCs w:val="28"/>
                <w:lang w:val="uk-UA"/>
              </w:rPr>
              <w:t>Доходи як економічна категорія –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106.</w:t>
            </w:r>
          </w:p>
        </w:tc>
        <w:tc>
          <w:tcPr>
            <w:tcW w:w="4633" w:type="pct"/>
          </w:tcPr>
          <w:p w:rsidR="00E55CAD" w:rsidRPr="00E55CAD" w:rsidRDefault="00E55CAD" w:rsidP="00661969">
            <w:pPr>
              <w:rPr>
                <w:sz w:val="28"/>
                <w:szCs w:val="28"/>
                <w:lang w:val="uk-UA"/>
              </w:rPr>
            </w:pPr>
            <w:r w:rsidRPr="00E55CAD">
              <w:rPr>
                <w:sz w:val="28"/>
                <w:szCs w:val="28"/>
                <w:lang w:val="uk-UA"/>
              </w:rPr>
              <w:t>Доходи підприємства від реалізації продукції (товарів, робіт, послуг) –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107.</w:t>
            </w:r>
          </w:p>
        </w:tc>
        <w:tc>
          <w:tcPr>
            <w:tcW w:w="4633" w:type="pct"/>
          </w:tcPr>
          <w:p w:rsidR="00E55CAD" w:rsidRPr="00E55CAD" w:rsidRDefault="00E55CAD" w:rsidP="00661969">
            <w:pPr>
              <w:rPr>
                <w:sz w:val="28"/>
                <w:szCs w:val="28"/>
                <w:lang w:val="uk-UA"/>
              </w:rPr>
            </w:pPr>
            <w:r w:rsidRPr="00E55CAD">
              <w:rPr>
                <w:sz w:val="28"/>
                <w:szCs w:val="28"/>
                <w:lang w:val="uk-UA"/>
              </w:rPr>
              <w:t>Прибуток –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108.</w:t>
            </w:r>
          </w:p>
        </w:tc>
        <w:tc>
          <w:tcPr>
            <w:tcW w:w="4633" w:type="pct"/>
          </w:tcPr>
          <w:p w:rsidR="00E55CAD" w:rsidRPr="00E55CAD" w:rsidRDefault="00E55CAD" w:rsidP="00661969">
            <w:pPr>
              <w:rPr>
                <w:sz w:val="28"/>
                <w:szCs w:val="28"/>
                <w:lang w:val="uk-UA"/>
              </w:rPr>
            </w:pPr>
            <w:r w:rsidRPr="00E55CAD">
              <w:rPr>
                <w:sz w:val="28"/>
                <w:szCs w:val="28"/>
                <w:lang w:val="uk-UA"/>
              </w:rPr>
              <w:t>Назвіть чинники, що впливають на величину чистого доходу від реалізації продукції (товарів, робіт, послуг):</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109.</w:t>
            </w:r>
          </w:p>
        </w:tc>
        <w:tc>
          <w:tcPr>
            <w:tcW w:w="4633" w:type="pct"/>
          </w:tcPr>
          <w:p w:rsidR="00E55CAD" w:rsidRPr="00CC4A77" w:rsidRDefault="00E55CAD" w:rsidP="00661969">
            <w:pPr>
              <w:rPr>
                <w:sz w:val="28"/>
                <w:szCs w:val="28"/>
                <w:lang w:val="uk-UA"/>
              </w:rPr>
            </w:pPr>
            <w:r w:rsidRPr="00E55CAD">
              <w:rPr>
                <w:sz w:val="28"/>
                <w:szCs w:val="28"/>
                <w:lang w:val="uk-UA"/>
              </w:rPr>
              <w:t>На величину валового прибутку впливають: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110.</w:t>
            </w:r>
          </w:p>
        </w:tc>
        <w:tc>
          <w:tcPr>
            <w:tcW w:w="4633" w:type="pct"/>
          </w:tcPr>
          <w:p w:rsidR="00E55CAD" w:rsidRPr="00CC4A77" w:rsidRDefault="00E55CAD" w:rsidP="00661969">
            <w:pPr>
              <w:rPr>
                <w:sz w:val="28"/>
                <w:szCs w:val="28"/>
                <w:lang w:val="uk-UA"/>
              </w:rPr>
            </w:pPr>
            <w:r w:rsidRPr="00E55CAD">
              <w:rPr>
                <w:sz w:val="28"/>
                <w:szCs w:val="28"/>
                <w:lang w:val="uk-UA"/>
              </w:rPr>
              <w:t>Прибуток від операційної діяльності –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111.</w:t>
            </w:r>
          </w:p>
        </w:tc>
        <w:tc>
          <w:tcPr>
            <w:tcW w:w="4633" w:type="pct"/>
          </w:tcPr>
          <w:p w:rsidR="00E55CAD" w:rsidRPr="00E55CAD" w:rsidRDefault="00E55CAD" w:rsidP="00661969">
            <w:pPr>
              <w:rPr>
                <w:sz w:val="28"/>
                <w:szCs w:val="28"/>
                <w:lang w:val="uk-UA"/>
              </w:rPr>
            </w:pPr>
            <w:r w:rsidRPr="00E55CAD">
              <w:rPr>
                <w:sz w:val="28"/>
                <w:szCs w:val="28"/>
                <w:lang w:val="uk-UA"/>
              </w:rPr>
              <w:t>Збиток від операційної діяльності –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112.</w:t>
            </w:r>
          </w:p>
        </w:tc>
        <w:tc>
          <w:tcPr>
            <w:tcW w:w="4633" w:type="pct"/>
          </w:tcPr>
          <w:p w:rsidR="00E55CAD" w:rsidRPr="00E55CAD" w:rsidRDefault="00E55CAD" w:rsidP="00661969">
            <w:pPr>
              <w:rPr>
                <w:sz w:val="28"/>
                <w:szCs w:val="28"/>
                <w:lang w:val="uk-UA"/>
              </w:rPr>
            </w:pPr>
            <w:r w:rsidRPr="00E55CAD">
              <w:rPr>
                <w:sz w:val="28"/>
                <w:szCs w:val="28"/>
                <w:lang w:val="uk-UA"/>
              </w:rPr>
              <w:t>Чистий прибуток планується як:</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113.</w:t>
            </w:r>
          </w:p>
        </w:tc>
        <w:tc>
          <w:tcPr>
            <w:tcW w:w="4633" w:type="pct"/>
          </w:tcPr>
          <w:p w:rsidR="00E55CAD" w:rsidRPr="00CC4A77" w:rsidRDefault="00E55CAD" w:rsidP="00661969">
            <w:pPr>
              <w:rPr>
                <w:sz w:val="28"/>
                <w:szCs w:val="28"/>
                <w:lang w:val="uk-UA"/>
              </w:rPr>
            </w:pPr>
            <w:r w:rsidRPr="00E55CAD">
              <w:rPr>
                <w:sz w:val="28"/>
                <w:szCs w:val="28"/>
                <w:lang w:val="uk-UA"/>
              </w:rPr>
              <w:t>Чистий дохід –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114.</w:t>
            </w:r>
          </w:p>
        </w:tc>
        <w:tc>
          <w:tcPr>
            <w:tcW w:w="4633" w:type="pct"/>
          </w:tcPr>
          <w:p w:rsidR="00E55CAD" w:rsidRPr="00E55CAD" w:rsidRDefault="00E55CAD" w:rsidP="00661969">
            <w:pPr>
              <w:rPr>
                <w:sz w:val="28"/>
                <w:szCs w:val="28"/>
                <w:lang w:val="uk-UA"/>
              </w:rPr>
            </w:pPr>
            <w:r w:rsidRPr="00E55CAD">
              <w:rPr>
                <w:sz w:val="28"/>
                <w:szCs w:val="28"/>
                <w:lang w:val="uk-UA"/>
              </w:rPr>
              <w:t xml:space="preserve">Беззбиткова діяльність підприємства забезпечує: </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115.</w:t>
            </w:r>
          </w:p>
        </w:tc>
        <w:tc>
          <w:tcPr>
            <w:tcW w:w="4633" w:type="pct"/>
          </w:tcPr>
          <w:p w:rsidR="00E55CAD" w:rsidRPr="00CC4A77" w:rsidRDefault="00E55CAD" w:rsidP="00CC4A77">
            <w:pPr>
              <w:rPr>
                <w:sz w:val="28"/>
                <w:szCs w:val="28"/>
                <w:lang w:val="uk-UA"/>
              </w:rPr>
            </w:pPr>
            <w:r w:rsidRPr="00E55CAD">
              <w:rPr>
                <w:sz w:val="28"/>
                <w:szCs w:val="28"/>
                <w:lang w:val="uk-UA"/>
              </w:rPr>
              <w:t>Збиткова діяльність призводить до:</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116.</w:t>
            </w:r>
          </w:p>
        </w:tc>
        <w:tc>
          <w:tcPr>
            <w:tcW w:w="4633" w:type="pct"/>
          </w:tcPr>
          <w:p w:rsidR="00E55CAD" w:rsidRPr="00E55CAD" w:rsidRDefault="00E55CAD" w:rsidP="00661969">
            <w:pPr>
              <w:rPr>
                <w:color w:val="000000"/>
                <w:sz w:val="28"/>
                <w:szCs w:val="28"/>
                <w:lang w:val="uk-UA" w:eastAsia="uk-UA"/>
              </w:rPr>
            </w:pPr>
            <w:r w:rsidRPr="00E55CAD">
              <w:rPr>
                <w:color w:val="000000"/>
                <w:sz w:val="28"/>
                <w:szCs w:val="28"/>
                <w:lang w:val="uk-UA" w:eastAsia="uk-UA"/>
              </w:rPr>
              <w:t>До зовнішніх користувачів фінансового плану відносять:</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117.</w:t>
            </w:r>
          </w:p>
        </w:tc>
        <w:tc>
          <w:tcPr>
            <w:tcW w:w="4633" w:type="pct"/>
          </w:tcPr>
          <w:p w:rsidR="00E55CAD" w:rsidRPr="00E55CAD" w:rsidRDefault="00E55CAD" w:rsidP="00661969">
            <w:pPr>
              <w:rPr>
                <w:sz w:val="28"/>
                <w:szCs w:val="28"/>
                <w:lang w:val="uk-UA"/>
              </w:rPr>
            </w:pPr>
            <w:r w:rsidRPr="00E55CAD">
              <w:rPr>
                <w:sz w:val="28"/>
                <w:szCs w:val="28"/>
                <w:lang w:val="uk-UA"/>
              </w:rPr>
              <w:t>Збільшення економічної вигоди у вигляді надходження активів або зменшення зобов’язань, які призводять до зростання власного капіталу, це:</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118.</w:t>
            </w:r>
          </w:p>
        </w:tc>
        <w:tc>
          <w:tcPr>
            <w:tcW w:w="4633" w:type="pct"/>
          </w:tcPr>
          <w:p w:rsidR="00E55CAD" w:rsidRPr="00E55CAD" w:rsidRDefault="00E55CAD" w:rsidP="00661969">
            <w:pPr>
              <w:rPr>
                <w:sz w:val="28"/>
                <w:szCs w:val="28"/>
                <w:lang w:val="uk-UA"/>
              </w:rPr>
            </w:pPr>
            <w:r w:rsidRPr="00E55CAD">
              <w:rPr>
                <w:sz w:val="28"/>
                <w:szCs w:val="28"/>
                <w:lang w:val="uk-UA"/>
              </w:rPr>
              <w:t>Основним шляхом збільшення прибутку на промисловому підприємстві є:</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119.</w:t>
            </w:r>
          </w:p>
        </w:tc>
        <w:tc>
          <w:tcPr>
            <w:tcW w:w="4633" w:type="pct"/>
          </w:tcPr>
          <w:p w:rsidR="00E55CAD" w:rsidRPr="00E55CAD" w:rsidRDefault="00E55CAD" w:rsidP="00661969">
            <w:pPr>
              <w:shd w:val="clear" w:color="auto" w:fill="FFFFFF"/>
              <w:jc w:val="both"/>
              <w:rPr>
                <w:color w:val="000000"/>
                <w:sz w:val="28"/>
                <w:szCs w:val="28"/>
                <w:lang w:val="uk-UA" w:eastAsia="uk-UA"/>
              </w:rPr>
            </w:pPr>
            <w:r w:rsidRPr="00E55CAD">
              <w:rPr>
                <w:color w:val="000000"/>
                <w:sz w:val="28"/>
                <w:szCs w:val="28"/>
                <w:lang w:val="uk-UA" w:eastAsia="uk-UA"/>
              </w:rPr>
              <w:t>Поточний фінансовий план розробляється на основі:</w:t>
            </w:r>
          </w:p>
        </w:tc>
      </w:tr>
      <w:tr w:rsidR="00E55CAD" w:rsidRPr="00E55CAD" w:rsidTr="00E55CAD">
        <w:tc>
          <w:tcPr>
            <w:tcW w:w="367" w:type="pct"/>
          </w:tcPr>
          <w:p w:rsidR="00E55CAD" w:rsidRPr="00E55CAD" w:rsidRDefault="00E55CAD" w:rsidP="00661969">
            <w:pPr>
              <w:jc w:val="center"/>
              <w:rPr>
                <w:sz w:val="28"/>
                <w:szCs w:val="28"/>
                <w:lang w:val="uk-UA"/>
              </w:rPr>
            </w:pPr>
            <w:r w:rsidRPr="00E55CAD">
              <w:rPr>
                <w:sz w:val="28"/>
                <w:szCs w:val="28"/>
                <w:lang w:val="uk-UA"/>
              </w:rPr>
              <w:t>120.</w:t>
            </w:r>
          </w:p>
        </w:tc>
        <w:tc>
          <w:tcPr>
            <w:tcW w:w="4633" w:type="pct"/>
          </w:tcPr>
          <w:p w:rsidR="00E55CAD" w:rsidRPr="00E55CAD" w:rsidRDefault="00E55CAD" w:rsidP="00661969">
            <w:pPr>
              <w:shd w:val="clear" w:color="auto" w:fill="FFFFFF"/>
              <w:jc w:val="both"/>
              <w:rPr>
                <w:color w:val="000000"/>
                <w:sz w:val="28"/>
                <w:szCs w:val="28"/>
                <w:lang w:val="uk-UA" w:eastAsia="uk-UA"/>
              </w:rPr>
            </w:pPr>
            <w:r w:rsidRPr="00E55CAD">
              <w:rPr>
                <w:color w:val="000000"/>
                <w:sz w:val="28"/>
                <w:szCs w:val="28"/>
                <w:lang w:val="uk-UA" w:eastAsia="uk-UA"/>
              </w:rPr>
              <w:t>Фінансовий план складається з:</w:t>
            </w:r>
            <w:bookmarkStart w:id="0" w:name="_GoBack"/>
            <w:bookmarkEnd w:id="0"/>
          </w:p>
        </w:tc>
      </w:tr>
    </w:tbl>
    <w:p w:rsidR="00E00163" w:rsidRPr="00E55CAD" w:rsidRDefault="00E00163" w:rsidP="00E55CAD"/>
    <w:sectPr w:rsidR="00E00163" w:rsidRPr="00E55CAD" w:rsidSect="00E55C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E6C01"/>
    <w:multiLevelType w:val="hybridMultilevel"/>
    <w:tmpl w:val="68B21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C1"/>
    <w:rsid w:val="00CC4A77"/>
    <w:rsid w:val="00E00163"/>
    <w:rsid w:val="00E55CAD"/>
    <w:rsid w:val="00F84A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EA58B-9660-4976-8F46-1517BDA8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A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55CAD"/>
    <w:rPr>
      <w:rFonts w:ascii="Times New Roman" w:hAnsi="Times New Roman" w:cs="Times New Roman" w:hint="default"/>
      <w:b w:val="0"/>
      <w:bCs w:val="0"/>
      <w:i/>
      <w:iCs/>
      <w:color w:val="000000"/>
      <w:sz w:val="28"/>
      <w:szCs w:val="28"/>
    </w:rPr>
  </w:style>
  <w:style w:type="paragraph" w:styleId="a4">
    <w:name w:val="Normal (Web)"/>
    <w:basedOn w:val="a"/>
    <w:uiPriority w:val="99"/>
    <w:unhideWhenUsed/>
    <w:rsid w:val="00E55CAD"/>
    <w:pPr>
      <w:spacing w:before="100" w:beforeAutospacing="1" w:after="100" w:afterAutospacing="1"/>
    </w:pPr>
  </w:style>
  <w:style w:type="character" w:styleId="a5">
    <w:name w:val="Strong"/>
    <w:uiPriority w:val="22"/>
    <w:qFormat/>
    <w:rsid w:val="00E55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2493</Words>
  <Characters>14214</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Samsung</cp:lastModifiedBy>
  <cp:revision>2</cp:revision>
  <dcterms:created xsi:type="dcterms:W3CDTF">2020-04-22T10:42:00Z</dcterms:created>
  <dcterms:modified xsi:type="dcterms:W3CDTF">2020-12-21T20:01:00Z</dcterms:modified>
</cp:coreProperties>
</file>