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7740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«Інженерна та комп’ютерна графіка. Комп’ютерна графіка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спеціальності 151 «Автоматизація та комп’ютерно-інтегровані технології»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та комп’ютерно-інтегровані технології»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D07F02">
        <w:rPr>
          <w:rFonts w:ascii="Times New Roman" w:hAnsi="Times New Roman" w:cs="Times New Roman"/>
          <w:sz w:val="28"/>
          <w:szCs w:val="28"/>
          <w:lang w:val="uk-UA"/>
        </w:rPr>
        <w:t>Робототехніка та комп’ютеризовані системи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A7740" w:rsidRPr="00631E32" w:rsidRDefault="000A7740" w:rsidP="000A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0A7740" w:rsidRPr="00631E32" w:rsidRDefault="000A7740" w:rsidP="000A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0A7740" w:rsidRPr="00631E32" w:rsidRDefault="000A7740" w:rsidP="000A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A7740" w:rsidRDefault="000A7740" w:rsidP="000A77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A2E5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Інженерна та комп’ютерна графіка. Комп’ютерна графіка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151 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«Автоматизація та комп’ютерно-інтегровані технології»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880"/>
        <w:gridCol w:w="8759"/>
      </w:tblGrid>
      <w:tr w:rsidR="002A2E53" w:rsidRPr="002A2E53" w:rsidTr="002A2E53">
        <w:trPr>
          <w:jc w:val="center"/>
        </w:trPr>
        <w:tc>
          <w:tcPr>
            <w:tcW w:w="880" w:type="dxa"/>
            <w:vAlign w:val="center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59" w:type="dxa"/>
            <w:vAlign w:val="center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2A2E53" w:rsidRPr="002A2E53" w:rsidTr="002A2E53">
        <w:trPr>
          <w:jc w:val="center"/>
        </w:trPr>
        <w:tc>
          <w:tcPr>
            <w:tcW w:w="9639" w:type="dxa"/>
            <w:gridSpan w:val="2"/>
          </w:tcPr>
          <w:p w:rsidR="002A2E53" w:rsidRPr="002A2E53" w:rsidRDefault="002A2E53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задачі комп’ютерної графіки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візуальної якості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точності визначення геометричних параметрів за зображеннями?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сканера при його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цифрового фотоапарата при його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цифрової відеокамери при її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спеціалізованої відеокамери при її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цифрової відеокамери найбільш впливає на розподільчу здатність отриманих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цифрової відеокамери найбільш впливає на якість передачі кольору на зображеннях?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сканера найбільш впливає на розподільчу здатність отриманих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сканера найбільш впливає на якість передачі кольору на зображеннях?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підтримуються пакетом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59" w:type="dxa"/>
          </w:tcPr>
          <w:p w:rsidR="002A2E53" w:rsidRPr="002A2E53" w:rsidRDefault="002A2E53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не підтримуються пакетом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є програмою обробки зображень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не є програмою обробки зображень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візуалізувати</w:t>
            </w:r>
            <w:proofErr w:type="spellEnd"/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 глибину кольору зображення?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 розмір зображення в дискретних точках?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будує прямокутник на зображенні?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59" w:type="dxa"/>
          </w:tcPr>
          <w:p w:rsidR="002A2E53" w:rsidRPr="002A2E53" w:rsidRDefault="002A2E53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розміром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59" w:type="dxa"/>
          </w:tcPr>
          <w:p w:rsidR="002A2E53" w:rsidRPr="002A2E53" w:rsidRDefault="002A2E53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напівтонові зображення розміром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59" w:type="dxa"/>
          </w:tcPr>
          <w:p w:rsidR="002A2E53" w:rsidRPr="002A2E53" w:rsidRDefault="002A2E53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розміром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9639" w:type="dxa"/>
            <w:gridSpan w:val="2"/>
          </w:tcPr>
          <w:p w:rsidR="002A2E53" w:rsidRPr="007E5717" w:rsidRDefault="002A2E53" w:rsidP="002A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571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Методи фільтрації, стиснення, відновлення зображень у комп’ютерній графіці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59" w:type="dxa"/>
          </w:tcPr>
          <w:p w:rsidR="002A2E53" w:rsidRPr="002A2E53" w:rsidRDefault="002A2E53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59" w:type="dxa"/>
          </w:tcPr>
          <w:p w:rsidR="002A2E53" w:rsidRPr="002A2E53" w:rsidRDefault="002A2E53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найбільшу ступінь стиснення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59" w:type="dxa"/>
          </w:tcPr>
          <w:p w:rsidR="002A2E53" w:rsidRPr="002A2E53" w:rsidRDefault="002A2E53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можливість масштабування зображення при відновленні без втрати якості?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основних етапів, з яких складається JPEG-алгоритм стиснення цифрових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базове перетворення використовується в JPEG-алгоритмі стиснення цифрових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дискретного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до цифрового зображення?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обчислюється пряме і обернене дискретне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перетворення?</w:t>
            </w:r>
          </w:p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використовуються для обчислення прямого і оберненого дискретного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усереднення значень яскравості сусідніх точок зображення?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Медіанна фільтрація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 фільтрація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просторовій області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частотній області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частотній області виконується шляхом …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теплових шумів на зображеннях?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імпульсних шумів на зображеннях?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мультиплікативних шумів на зображеннях?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якості координат точок об'єктів на цифровому зображенні?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59" w:type="dxa"/>
          </w:tcPr>
          <w:p w:rsidR="002A2E53" w:rsidRPr="002A2E53" w:rsidRDefault="002A2E53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59" w:type="dxa"/>
          </w:tcPr>
          <w:p w:rsidR="002A2E53" w:rsidRPr="002A2E53" w:rsidRDefault="002A2E53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виділення контурів на зображеннях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сегментації зображеннях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 використовується для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59" w:type="dxa"/>
          </w:tcPr>
          <w:p w:rsidR="002A2E53" w:rsidRPr="002A2E53" w:rsidRDefault="002A2E53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верхніх частот використовується для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59" w:type="dxa"/>
          </w:tcPr>
          <w:p w:rsidR="002A2E53" w:rsidRPr="002A2E53" w:rsidRDefault="002A2E53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 характеристика фільтра нижніх частот використовується для …</w:t>
            </w:r>
          </w:p>
        </w:tc>
      </w:tr>
      <w:tr w:rsidR="002A2E53" w:rsidRPr="007E5717" w:rsidTr="002A2E53">
        <w:trPr>
          <w:jc w:val="center"/>
        </w:trPr>
        <w:tc>
          <w:tcPr>
            <w:tcW w:w="9639" w:type="dxa"/>
            <w:gridSpan w:val="2"/>
          </w:tcPr>
          <w:p w:rsidR="002A2E53" w:rsidRPr="007E5717" w:rsidRDefault="002A2E53" w:rsidP="002A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571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та програмні засоби комп’ютерної графіки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759" w:type="dxa"/>
          </w:tcPr>
          <w:p w:rsidR="002A2E53" w:rsidRPr="002A2E53" w:rsidRDefault="002A2E53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Мінімальна ділянка зображення, для якої можна задати колір, називається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759" w:type="dxa"/>
          </w:tcPr>
          <w:p w:rsidR="002A2E53" w:rsidRPr="002A2E53" w:rsidRDefault="002A2E53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рухомої картинки на моніторі називається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Зображення, що формуються з опису малюнків у вигляді набору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команд для побудови найпростіших графічних об'єктів (ліній, кіл, дуг і т.д.), називаються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персональному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759" w:type="dxa"/>
          </w:tcPr>
          <w:p w:rsidR="002A2E53" w:rsidRPr="002A2E53" w:rsidRDefault="002A2E53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59" w:type="dxa"/>
          </w:tcPr>
          <w:p w:rsidR="002A2E53" w:rsidRPr="002A2E53" w:rsidRDefault="002A2E53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256-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59" w:type="dxa"/>
          </w:tcPr>
          <w:p w:rsidR="002A2E53" w:rsidRPr="002A2E53" w:rsidRDefault="002A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7E5717" w:rsidTr="002A2E53">
        <w:trPr>
          <w:jc w:val="center"/>
        </w:trPr>
        <w:tc>
          <w:tcPr>
            <w:tcW w:w="9639" w:type="dxa"/>
            <w:gridSpan w:val="2"/>
          </w:tcPr>
          <w:p w:rsidR="002A2E53" w:rsidRPr="007E5717" w:rsidRDefault="002A2E53" w:rsidP="002A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71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Растровий та векторний формат, кольорові схеми зображень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 рівняннями, називається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візуалізації графічного зображення використовують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графічних форматів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векторних графічних форматів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графічних форматів не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векторних графічних форматів не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59" w:type="dxa"/>
          </w:tcPr>
          <w:p w:rsidR="002A2E53" w:rsidRPr="002A2E53" w:rsidRDefault="002A2E53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G:0 B:0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G:255 B:0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G:0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B:0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G:0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G:255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59" w:type="dxa"/>
          </w:tcPr>
          <w:p w:rsidR="002A2E53" w:rsidRPr="002A2E53" w:rsidRDefault="002A2E53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опису кольору при друці на папері використовується палітра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Y:100% K:0%.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59" w:type="dxa"/>
          </w:tcPr>
          <w:p w:rsidR="002A2E53" w:rsidRPr="002A2E53" w:rsidRDefault="002A2E53" w:rsidP="001569DE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Y:0% K:100%.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59" w:type="dxa"/>
          </w:tcPr>
          <w:p w:rsidR="002A2E53" w:rsidRPr="002A2E53" w:rsidRDefault="002A2E53" w:rsidP="001569DE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M:100% Y:0% K:0%.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59" w:type="dxa"/>
          </w:tcPr>
          <w:p w:rsidR="002A2E53" w:rsidRPr="002A2E53" w:rsidRDefault="002A2E53" w:rsidP="001569DE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C:100% M:0% Y:0% K:0%.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59" w:type="dxa"/>
          </w:tcPr>
          <w:p w:rsidR="002A2E53" w:rsidRPr="002A2E53" w:rsidRDefault="002A2E53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належать графічним файлам?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59" w:type="dxa"/>
          </w:tcPr>
          <w:p w:rsidR="002A2E53" w:rsidRPr="002A2E53" w:rsidRDefault="002A2E53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не належать графічним файлам?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59" w:type="dxa"/>
          </w:tcPr>
          <w:p w:rsidR="002A2E53" w:rsidRPr="002A2E53" w:rsidRDefault="002A2E53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59" w:type="dxa"/>
          </w:tcPr>
          <w:p w:rsidR="002A2E53" w:rsidRPr="002A2E53" w:rsidRDefault="002A2E53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59" w:type="dxa"/>
          </w:tcPr>
          <w:p w:rsidR="002A2E53" w:rsidRPr="002A2E53" w:rsidRDefault="002A2E53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введення графічної інформації відноситься: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59" w:type="dxa"/>
          </w:tcPr>
          <w:p w:rsidR="002A2E53" w:rsidRPr="002A2E53" w:rsidRDefault="002A2E53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формати відносяться до векторних?</w:t>
            </w:r>
          </w:p>
        </w:tc>
      </w:tr>
      <w:tr w:rsidR="007E5717" w:rsidRPr="002A2E53" w:rsidTr="00902AB7">
        <w:trPr>
          <w:jc w:val="center"/>
        </w:trPr>
        <w:tc>
          <w:tcPr>
            <w:tcW w:w="9639" w:type="dxa"/>
            <w:gridSpan w:val="2"/>
          </w:tcPr>
          <w:p w:rsidR="007E5717" w:rsidRPr="002A2E53" w:rsidRDefault="007E5717" w:rsidP="00902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Обробка та перетворення зображень в комп’ютерній графіці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122.</w:t>
            </w:r>
          </w:p>
        </w:tc>
        <w:tc>
          <w:tcPr>
            <w:tcW w:w="8759" w:type="dxa"/>
          </w:tcPr>
          <w:p w:rsidR="002A2E53" w:rsidRPr="002A2E53" w:rsidRDefault="002A2E53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759" w:type="dxa"/>
          </w:tcPr>
          <w:p w:rsidR="002A2E53" w:rsidRPr="002A2E53" w:rsidRDefault="002A2E53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759" w:type="dxa"/>
          </w:tcPr>
          <w:p w:rsidR="002A2E53" w:rsidRPr="002A2E53" w:rsidRDefault="002A2E53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759" w:type="dxa"/>
          </w:tcPr>
          <w:p w:rsidR="002A2E53" w:rsidRPr="002A2E53" w:rsidRDefault="002A2E53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759" w:type="dxa"/>
          </w:tcPr>
          <w:p w:rsidR="002A2E53" w:rsidRPr="002A2E53" w:rsidRDefault="002A2E53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759" w:type="dxa"/>
          </w:tcPr>
          <w:p w:rsidR="002A2E53" w:rsidRPr="002A2E53" w:rsidRDefault="002A2E53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759" w:type="dxa"/>
          </w:tcPr>
          <w:p w:rsidR="002A2E53" w:rsidRPr="002A2E53" w:rsidRDefault="002A2E53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759" w:type="dxa"/>
          </w:tcPr>
          <w:p w:rsidR="002A2E53" w:rsidRPr="002A2E53" w:rsidRDefault="002A2E53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759" w:type="dxa"/>
          </w:tcPr>
          <w:p w:rsidR="002A2E53" w:rsidRPr="002A2E53" w:rsidRDefault="002A2E53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двовимірної взаємної кореляції між двома матрицями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759" w:type="dxa"/>
          </w:tcPr>
          <w:p w:rsidR="002A2E53" w:rsidRPr="002A2E53" w:rsidRDefault="002A2E53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2A2E53" w:rsidRPr="002A2E53" w:rsidRDefault="002A2E53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759" w:type="dxa"/>
          </w:tcPr>
          <w:p w:rsidR="002A2E53" w:rsidRPr="002A2E53" w:rsidRDefault="002A2E53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759" w:type="dxa"/>
          </w:tcPr>
          <w:p w:rsidR="002A2E53" w:rsidRPr="002A2E53" w:rsidRDefault="002A2E53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759" w:type="dxa"/>
          </w:tcPr>
          <w:p w:rsidR="002A2E53" w:rsidRPr="002A2E53" w:rsidRDefault="002A2E5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759" w:type="dxa"/>
          </w:tcPr>
          <w:p w:rsidR="002A2E53" w:rsidRPr="002A2E53" w:rsidRDefault="002A2E53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759" w:type="dxa"/>
          </w:tcPr>
          <w:p w:rsidR="002A2E53" w:rsidRPr="002A2E53" w:rsidRDefault="002A2E53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759" w:type="dxa"/>
          </w:tcPr>
          <w:p w:rsidR="002A2E53" w:rsidRPr="002A2E53" w:rsidRDefault="002A2E53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759" w:type="dxa"/>
          </w:tcPr>
          <w:p w:rsidR="002A2E53" w:rsidRPr="002A2E53" w:rsidRDefault="002A2E53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759" w:type="dxa"/>
          </w:tcPr>
          <w:p w:rsidR="002A2E53" w:rsidRPr="002A2E53" w:rsidRDefault="002A2E53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pt;height:28.55pt" o:ole="" fillcolor="window">
                  <v:imagedata r:id="rId9" o:title=""/>
                </v:shape>
                <o:OLEObject Type="Embed" ProgID="Equation.3" ShapeID="_x0000_i1025" DrawAspect="Content" ObjectID="_1664459288" r:id="rId10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  <w:r w:rsidRPr="002A2E53">
              <w:rPr>
                <w:rFonts w:ascii="Times New Roman" w:hAnsi="Times New Roman" w:cs="Times New Roman"/>
                <w:position w:val="-28"/>
                <w:lang w:val="uk-UA"/>
              </w:rPr>
              <w:object w:dxaOrig="7180" w:dyaOrig="680">
                <v:shape id="_x0000_i1026" type="#_x0000_t75" style="width:248.3pt;height:27.3pt" o:ole="" fillcolor="window">
                  <v:imagedata r:id="rId11" o:title=""/>
                </v:shape>
                <o:OLEObject Type="Embed" ProgID="Equation.3" ShapeID="_x0000_i1026" DrawAspect="Content" ObjectID="_1664459289" r:id="rId12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59" w:type="dxa"/>
          </w:tcPr>
          <w:p w:rsidR="002A2E53" w:rsidRPr="002A2E53" w:rsidRDefault="002A2E53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2A2E53" w:rsidRPr="002A2E53" w:rsidRDefault="002A2E53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2799" w:dyaOrig="720">
                <v:shape id="_x0000_i1027" type="#_x0000_t75" style="width:140.3pt;height:36pt" o:ole="" fillcolor="window">
                  <v:imagedata r:id="rId13" o:title=""/>
                </v:shape>
                <o:OLEObject Type="Embed" ProgID="Equation.3" ShapeID="_x0000_i1027" DrawAspect="Content" ObjectID="_1664459290" r:id="rId14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59" w:type="dxa"/>
          </w:tcPr>
          <w:p w:rsidR="002A2E53" w:rsidRPr="002A2E53" w:rsidRDefault="002A2E53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2A2E53" w:rsidRPr="002A2E53" w:rsidRDefault="002A2E53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4"/>
                <w:lang w:val="uk-UA"/>
              </w:rPr>
              <w:object w:dxaOrig="2600" w:dyaOrig="380">
                <v:shape id="_x0000_i1028" type="#_x0000_t75" style="width:130.35pt;height:18.6pt" o:ole="" fillcolor="window">
                  <v:imagedata r:id="rId15" o:title=""/>
                </v:shape>
                <o:OLEObject Type="Embed" ProgID="Equation.3" ShapeID="_x0000_i1028" DrawAspect="Content" ObjectID="_1664459291" r:id="rId16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59" w:type="dxa"/>
          </w:tcPr>
          <w:p w:rsidR="002A2E53" w:rsidRPr="002A2E53" w:rsidRDefault="002A2E53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59" w:type="dxa"/>
          </w:tcPr>
          <w:p w:rsidR="002A2E53" w:rsidRPr="002A2E53" w:rsidRDefault="002A2E53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обчислює ДКП цифрового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59" w:type="dxa"/>
          </w:tcPr>
          <w:p w:rsidR="002A2E53" w:rsidRPr="002A2E53" w:rsidRDefault="002A2E53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формує матрицю коефіцієнтів, що використовуються при обчисленні ДКП цифрового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16"/>
                <w:szCs w:val="30"/>
                <w:lang w:val="uk-UA"/>
              </w:rPr>
            </w:pP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59" w:type="dxa"/>
          </w:tcPr>
          <w:p w:rsidR="002A2E53" w:rsidRPr="002A2E53" w:rsidRDefault="002A2E53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обчислює задану функцію для блоку точок цифрового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59" w:type="dxa"/>
          </w:tcPr>
          <w:p w:rsidR="002A2E53" w:rsidRPr="002A2E53" w:rsidRDefault="002A2E53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59" w:type="dxa"/>
          </w:tcPr>
          <w:p w:rsidR="002A2E53" w:rsidRPr="002A2E53" w:rsidRDefault="002A2E53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759" w:type="dxa"/>
          </w:tcPr>
          <w:p w:rsidR="002A2E53" w:rsidRPr="002A2E53" w:rsidRDefault="002A2E53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59" w:type="dxa"/>
          </w:tcPr>
          <w:p w:rsidR="002A2E53" w:rsidRPr="002A2E53" w:rsidRDefault="002A2E53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системи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10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2A2E53" w:rsidRPr="002A2E53" w:rsidRDefault="002A2E53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2"/>
                <w:lang w:val="uk-UA"/>
              </w:rPr>
              <w:object w:dxaOrig="1460" w:dyaOrig="360">
                <v:shape id="_x0000_i1029" type="#_x0000_t75" style="width:73.25pt;height:18.6pt" o:ole="" fillcolor="window">
                  <v:imagedata r:id="rId17" o:title=""/>
                </v:shape>
                <o:OLEObject Type="Embed" ProgID="Equation.3" ShapeID="_x0000_i1029" DrawAspect="Content" ObjectID="_1664459292" r:id="rId18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59" w:type="dxa"/>
          </w:tcPr>
          <w:p w:rsidR="002A2E53" w:rsidRPr="002A2E53" w:rsidRDefault="002A2E53" w:rsidP="006B1EAD">
            <w:pPr>
              <w:rPr>
                <w:rFonts w:ascii="Times New Roman" w:hAnsi="Times New Roman" w:cs="Times New Roman"/>
                <w:position w:val="-10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2A2E53" w:rsidRPr="002A2E53" w:rsidRDefault="002A2E53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4"/>
                <w:lang w:val="uk-UA"/>
              </w:rPr>
              <w:object w:dxaOrig="2820" w:dyaOrig="440">
                <v:shape id="_x0000_i1030" type="#_x0000_t75" style="width:140.3pt;height:21.1pt" o:ole="" fillcolor="window">
                  <v:imagedata r:id="rId19" o:title=""/>
                </v:shape>
                <o:OLEObject Type="Embed" ProgID="Equation.3" ShapeID="_x0000_i1030" DrawAspect="Content" ObjectID="_1664459293" r:id="rId20"/>
              </w:object>
            </w:r>
          </w:p>
          <w:p w:rsidR="002A2E53" w:rsidRPr="002A2E53" w:rsidRDefault="002A2E53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59" w:type="dxa"/>
          </w:tcPr>
          <w:p w:rsidR="002A2E53" w:rsidRPr="002A2E53" w:rsidRDefault="002A2E53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2A2E53" w:rsidRPr="002A2E53" w:rsidRDefault="002A2E53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1920" w:dyaOrig="700">
                <v:shape id="_x0000_i1031" type="#_x0000_t75" style="width:95.6pt;height:34.75pt" o:ole="" fillcolor="window">
                  <v:imagedata r:id="rId21" o:title=""/>
                </v:shape>
                <o:OLEObject Type="Embed" ProgID="Equation.3" ShapeID="_x0000_i1031" DrawAspect="Content" ObjectID="_1664459294" r:id="rId22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59" w:type="dxa"/>
          </w:tcPr>
          <w:p w:rsidR="002A2E53" w:rsidRPr="002A2E53" w:rsidRDefault="002A2E53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2A2E53" w:rsidRPr="002A2E53" w:rsidRDefault="002A2E53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24"/>
                <w:lang w:val="uk-UA"/>
              </w:rPr>
              <w:object w:dxaOrig="1340" w:dyaOrig="639">
                <v:shape id="_x0000_i1032" type="#_x0000_t75" style="width:67.05pt;height:32.3pt" o:ole="" fillcolor="window">
                  <v:imagedata r:id="rId23" o:title=""/>
                </v:shape>
                <o:OLEObject Type="Embed" ProgID="Equation.3" ShapeID="_x0000_i1032" DrawAspect="Content" ObjectID="_1664459295" r:id="rId24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759" w:type="dxa"/>
          </w:tcPr>
          <w:p w:rsidR="002A2E53" w:rsidRPr="002A2E53" w:rsidRDefault="002A2E53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32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2A2E53" w:rsidRPr="002A2E53" w:rsidRDefault="002A2E53" w:rsidP="00C45DCB">
            <w:pPr>
              <w:jc w:val="center"/>
              <w:rPr>
                <w:rFonts w:ascii="Times New Roman" w:hAnsi="Times New Roman" w:cs="Times New Roman"/>
                <w:position w:val="-32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1500" w:dyaOrig="700">
                <v:shape id="_x0000_i1033" type="#_x0000_t75" style="width:74.5pt;height:36pt" o:ole="" fillcolor="window">
                  <v:imagedata r:id="rId25" o:title=""/>
                </v:shape>
                <o:OLEObject Type="Embed" ProgID="Equation.3" ShapeID="_x0000_i1033" DrawAspect="Content" ObjectID="_1664459296" r:id="rId26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759" w:type="dxa"/>
          </w:tcPr>
          <w:p w:rsidR="002A2E53" w:rsidRPr="002A2E53" w:rsidRDefault="002A2E53" w:rsidP="00C45DCB">
            <w:pPr>
              <w:rPr>
                <w:rFonts w:ascii="Times New Roman" w:hAnsi="Times New Roman" w:cs="Times New Roman"/>
                <w:position w:val="-32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розраховується для усунення шуму  за допомогою даної  формули:</w:t>
            </w:r>
          </w:p>
          <w:p w:rsidR="002A2E53" w:rsidRPr="002A2E53" w:rsidRDefault="002A2E53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64"/>
                <w:lang w:val="uk-UA"/>
              </w:rPr>
              <w:object w:dxaOrig="3240" w:dyaOrig="1060">
                <v:shape id="_x0000_i1034" type="#_x0000_t75" style="width:162.6pt;height:53.4pt" o:ole="" fillcolor="window">
                  <v:imagedata r:id="rId27" o:title=""/>
                </v:shape>
                <o:OLEObject Type="Embed" ProgID="Equation.3" ShapeID="_x0000_i1034" DrawAspect="Content" ObjectID="_1664459297" r:id="rId28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759" w:type="dxa"/>
          </w:tcPr>
          <w:p w:rsidR="002A2E53" w:rsidRPr="002A2E53" w:rsidRDefault="002A2E53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759" w:type="dxa"/>
          </w:tcPr>
          <w:p w:rsidR="002A2E53" w:rsidRPr="002A2E53" w:rsidRDefault="002A2E53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759" w:type="dxa"/>
          </w:tcPr>
          <w:p w:rsidR="002A2E53" w:rsidRPr="002A2E53" w:rsidRDefault="002A2E53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759" w:type="dxa"/>
          </w:tcPr>
          <w:p w:rsidR="002A2E53" w:rsidRPr="002A2E53" w:rsidRDefault="002A2E53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759" w:type="dxa"/>
          </w:tcPr>
          <w:p w:rsidR="002A2E53" w:rsidRPr="002A2E53" w:rsidRDefault="002A2E53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759" w:type="dxa"/>
          </w:tcPr>
          <w:p w:rsidR="002A2E53" w:rsidRPr="002A2E53" w:rsidRDefault="002A2E53" w:rsidP="000E3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759" w:type="dxa"/>
          </w:tcPr>
          <w:p w:rsidR="002A2E53" w:rsidRPr="002A2E53" w:rsidRDefault="002A2E53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759" w:type="dxa"/>
          </w:tcPr>
          <w:p w:rsidR="002A2E53" w:rsidRPr="002A2E53" w:rsidRDefault="002A2E53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759" w:type="dxa"/>
          </w:tcPr>
          <w:p w:rsidR="002A2E53" w:rsidRPr="002A2E53" w:rsidRDefault="002A2E53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2A2E53" w:rsidRPr="002A2E53" w:rsidRDefault="002A2E53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5" type="#_x0000_t75" style="width:140.3pt;height:23.6pt" o:ole="" fillcolor="window">
                  <v:imagedata r:id="rId29" o:title=""/>
                </v:shape>
                <o:OLEObject Type="Embed" ProgID="Equation.3" ShapeID="_x0000_i1035" DrawAspect="Content" ObjectID="_1664459298" r:id="rId30"/>
              </w:object>
            </w:r>
          </w:p>
          <w:p w:rsidR="002A2E53" w:rsidRPr="002A2E53" w:rsidRDefault="002A2E53" w:rsidP="00AC668D">
            <w:pPr>
              <w:ind w:firstLine="3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759" w:type="dxa"/>
          </w:tcPr>
          <w:p w:rsidR="002A2E53" w:rsidRPr="002A2E53" w:rsidRDefault="002A2E53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2A2E53" w:rsidRPr="002A2E53" w:rsidRDefault="002A2E53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6" type="#_x0000_t75" style="width:140.3pt;height:23.6pt" o:ole="" fillcolor="window">
                  <v:imagedata r:id="rId29" o:title=""/>
                </v:shape>
                <o:OLEObject Type="Embed" ProgID="Equation.3" ShapeID="_x0000_i1036" DrawAspect="Content" ObjectID="_1664459299" r:id="rId31"/>
              </w:object>
            </w:r>
          </w:p>
          <w:p w:rsidR="002A2E53" w:rsidRPr="002A2E53" w:rsidRDefault="002A2E53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759" w:type="dxa"/>
          </w:tcPr>
          <w:p w:rsidR="002A2E53" w:rsidRPr="002A2E53" w:rsidRDefault="002A2E53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</w:tr>
      <w:tr w:rsidR="002A2E53" w:rsidRPr="000A7740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759" w:type="dxa"/>
          </w:tcPr>
          <w:p w:rsidR="002A2E53" w:rsidRPr="002A2E53" w:rsidRDefault="002A2E53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2A2E53" w:rsidRPr="002A2E53" w:rsidRDefault="002A2E53" w:rsidP="00547C95">
            <w:pPr>
              <w:pStyle w:val="3"/>
              <w:rPr>
                <w:lang w:val="uk-UA"/>
              </w:rPr>
            </w:pPr>
          </w:p>
          <w:p w:rsidR="002A2E53" w:rsidRPr="002A2E53" w:rsidRDefault="002A2E53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84"/>
                <w:lang w:val="uk-UA"/>
              </w:rPr>
              <w:object w:dxaOrig="4760" w:dyaOrig="1800">
                <v:shape id="_x0000_i1037" type="#_x0000_t75" style="width:238.35pt;height:90.6pt" o:ole="" fillcolor="window">
                  <v:imagedata r:id="rId32" o:title=""/>
                </v:shape>
                <o:OLEObject Type="Embed" ProgID="Equation.3" ShapeID="_x0000_i1037" DrawAspect="Content" ObjectID="_1664459300" r:id="rId33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759" w:type="dxa"/>
          </w:tcPr>
          <w:p w:rsidR="002A2E53" w:rsidRPr="002A2E53" w:rsidRDefault="002A2E53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64"/>
                <w:lang w:val="uk-UA"/>
              </w:rPr>
              <w:object w:dxaOrig="3900" w:dyaOrig="1100">
                <v:shape id="_x0000_i1038" type="#_x0000_t75" style="width:194.9pt;height:54.6pt" o:ole="" fillcolor="window">
                  <v:imagedata r:id="rId34" o:title=""/>
                </v:shape>
                <o:OLEObject Type="Embed" ProgID="Equation.3" ShapeID="_x0000_i1038" DrawAspect="Content" ObjectID="_1664459301" r:id="rId35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759" w:type="dxa"/>
          </w:tcPr>
          <w:p w:rsidR="002A2E53" w:rsidRPr="002A2E53" w:rsidRDefault="002A2E53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2A2E53" w:rsidRPr="002A2E53" w:rsidRDefault="002A2E53" w:rsidP="00547C95">
            <w:pPr>
              <w:pStyle w:val="3"/>
              <w:jc w:val="center"/>
              <w:rPr>
                <w:lang w:val="uk-UA"/>
              </w:rPr>
            </w:pPr>
            <w:r w:rsidRPr="002A2E53">
              <w:rPr>
                <w:position w:val="-46"/>
                <w:lang w:val="uk-UA"/>
              </w:rPr>
              <w:object w:dxaOrig="1920" w:dyaOrig="1040">
                <v:shape id="_x0000_i1039" type="#_x0000_t75" style="width:95.6pt;height:52.15pt" o:ole="" fillcolor="window">
                  <v:imagedata r:id="rId36" o:title=""/>
                </v:shape>
                <o:OLEObject Type="Embed" ProgID="Equation.3" ShapeID="_x0000_i1039" DrawAspect="Content" ObjectID="_1664459302" r:id="rId37"/>
              </w:object>
            </w:r>
          </w:p>
          <w:p w:rsidR="002A2E53" w:rsidRPr="002A2E53" w:rsidRDefault="002A2E53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759" w:type="dxa"/>
          </w:tcPr>
          <w:p w:rsidR="002A2E53" w:rsidRPr="002A2E53" w:rsidRDefault="002A2E53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2A2E53" w:rsidRPr="002A2E53" w:rsidRDefault="002A2E53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46"/>
                <w:lang w:val="uk-UA"/>
              </w:rPr>
              <w:object w:dxaOrig="1880" w:dyaOrig="1040">
                <v:shape id="_x0000_i1040" type="#_x0000_t75" style="width:93.1pt;height:52.15pt" o:ole="" fillcolor="window">
                  <v:imagedata r:id="rId38" o:title=""/>
                </v:shape>
                <o:OLEObject Type="Embed" ProgID="Equation.3" ShapeID="_x0000_i1040" DrawAspect="Content" ObjectID="_1664459303" r:id="rId39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759" w:type="dxa"/>
          </w:tcPr>
          <w:p w:rsidR="002A2E53" w:rsidRPr="002A2E53" w:rsidRDefault="002A2E53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759" w:type="dxa"/>
          </w:tcPr>
          <w:p w:rsidR="002A2E53" w:rsidRPr="002A2E53" w:rsidRDefault="002A2E53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759" w:type="dxa"/>
          </w:tcPr>
          <w:p w:rsidR="002A2E53" w:rsidRPr="002A2E53" w:rsidRDefault="002A2E53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відеозображенні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759" w:type="dxa"/>
          </w:tcPr>
          <w:p w:rsidR="002A2E53" w:rsidRPr="002A2E53" w:rsidRDefault="002A2E53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759" w:type="dxa"/>
          </w:tcPr>
          <w:p w:rsidR="002A2E53" w:rsidRPr="002A2E53" w:rsidRDefault="002A2E53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759" w:type="dxa"/>
          </w:tcPr>
          <w:p w:rsidR="002A2E53" w:rsidRPr="002A2E53" w:rsidRDefault="002A2E53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759" w:type="dxa"/>
          </w:tcPr>
          <w:p w:rsidR="002A2E53" w:rsidRPr="002A2E53" w:rsidRDefault="002A2E53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759" w:type="dxa"/>
          </w:tcPr>
          <w:p w:rsidR="002A2E53" w:rsidRPr="002A2E53" w:rsidRDefault="002A2E53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759" w:type="dxa"/>
          </w:tcPr>
          <w:p w:rsidR="002A2E53" w:rsidRPr="002A2E53" w:rsidRDefault="002A2E53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759" w:type="dxa"/>
          </w:tcPr>
          <w:p w:rsidR="002A2E53" w:rsidRPr="002A2E53" w:rsidRDefault="002A2E53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759" w:type="dxa"/>
          </w:tcPr>
          <w:p w:rsidR="002A2E53" w:rsidRPr="002A2E53" w:rsidRDefault="002A2E53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759" w:type="dxa"/>
          </w:tcPr>
          <w:p w:rsidR="002A2E53" w:rsidRPr="002A2E53" w:rsidRDefault="002A2E53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759" w:type="dxa"/>
          </w:tcPr>
          <w:p w:rsidR="002A2E53" w:rsidRPr="002A2E53" w:rsidRDefault="002A2E53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</w:tr>
      <w:tr w:rsidR="00577992" w:rsidRPr="002A2E53" w:rsidTr="00A2124F">
        <w:trPr>
          <w:jc w:val="center"/>
        </w:trPr>
        <w:tc>
          <w:tcPr>
            <w:tcW w:w="9639" w:type="dxa"/>
            <w:gridSpan w:val="2"/>
          </w:tcPr>
          <w:p w:rsidR="00577992" w:rsidRPr="002A2E53" w:rsidRDefault="00577992" w:rsidP="005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759" w:type="dxa"/>
          </w:tcPr>
          <w:p w:rsidR="002A2E53" w:rsidRPr="002A2E53" w:rsidRDefault="002A2E53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759" w:type="dxa"/>
          </w:tcPr>
          <w:p w:rsidR="002A2E53" w:rsidRPr="002A2E53" w:rsidRDefault="002A2E53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759" w:type="dxa"/>
          </w:tcPr>
          <w:p w:rsidR="002A2E53" w:rsidRPr="002A2E53" w:rsidRDefault="002A2E53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759" w:type="dxa"/>
          </w:tcPr>
          <w:p w:rsidR="002A2E53" w:rsidRPr="002A2E53" w:rsidRDefault="002A2E53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2A2E53" w:rsidRPr="002A2E53" w:rsidRDefault="002A2E53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759" w:type="dxa"/>
          </w:tcPr>
          <w:p w:rsidR="002A2E53" w:rsidRPr="002A2E53" w:rsidRDefault="002A2E53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2A2E53" w:rsidRPr="002A2E53" w:rsidRDefault="002A2E53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759" w:type="dxa"/>
          </w:tcPr>
          <w:p w:rsidR="002A2E53" w:rsidRPr="002A2E53" w:rsidRDefault="002A2E53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2A2E53" w:rsidRPr="002A2E53" w:rsidRDefault="002A2E53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759" w:type="dxa"/>
          </w:tcPr>
          <w:p w:rsidR="002A2E53" w:rsidRPr="002A2E53" w:rsidRDefault="002A2E53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2A2E53" w:rsidRPr="002A2E53" w:rsidRDefault="002A2E53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2A2E53" w:rsidRPr="002A2E53" w:rsidRDefault="002A2E53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759" w:type="dxa"/>
          </w:tcPr>
          <w:p w:rsidR="002A2E53" w:rsidRPr="002A2E53" w:rsidRDefault="002A2E53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759" w:type="dxa"/>
          </w:tcPr>
          <w:p w:rsidR="002A2E53" w:rsidRPr="002A2E53" w:rsidRDefault="002A2E53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759" w:type="dxa"/>
            <w:tcBorders>
              <w:bottom w:val="single" w:sz="4" w:space="0" w:color="auto"/>
            </w:tcBorders>
          </w:tcPr>
          <w:p w:rsidR="002A2E53" w:rsidRPr="002A2E53" w:rsidRDefault="002A2E53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759" w:type="dxa"/>
            <w:tcBorders>
              <w:bottom w:val="single" w:sz="4" w:space="0" w:color="auto"/>
            </w:tcBorders>
          </w:tcPr>
          <w:p w:rsidR="002A2E53" w:rsidRPr="002A2E53" w:rsidRDefault="002A2E53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759" w:type="dxa"/>
            <w:tcBorders>
              <w:top w:val="single" w:sz="4" w:space="0" w:color="auto"/>
            </w:tcBorders>
          </w:tcPr>
          <w:p w:rsidR="002A2E53" w:rsidRPr="002A2E53" w:rsidRDefault="002A2E53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759" w:type="dxa"/>
          </w:tcPr>
          <w:p w:rsidR="002A2E53" w:rsidRPr="002A2E53" w:rsidRDefault="002A2E53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759" w:type="dxa"/>
          </w:tcPr>
          <w:p w:rsidR="002A2E53" w:rsidRPr="002A2E53" w:rsidRDefault="002A2E53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759" w:type="dxa"/>
          </w:tcPr>
          <w:p w:rsidR="002A2E53" w:rsidRPr="002A2E53" w:rsidRDefault="002A2E53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759" w:type="dxa"/>
          </w:tcPr>
          <w:p w:rsidR="002A2E53" w:rsidRPr="002A2E53" w:rsidRDefault="002A2E53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759" w:type="dxa"/>
          </w:tcPr>
          <w:p w:rsidR="002A2E53" w:rsidRPr="002A2E53" w:rsidRDefault="002A2E53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759" w:type="dxa"/>
          </w:tcPr>
          <w:p w:rsidR="002A2E53" w:rsidRPr="002A2E53" w:rsidRDefault="002A2E53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759" w:type="dxa"/>
          </w:tcPr>
          <w:p w:rsidR="002A2E53" w:rsidRPr="002A2E53" w:rsidRDefault="002A2E53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759" w:type="dxa"/>
          </w:tcPr>
          <w:p w:rsidR="002A2E53" w:rsidRPr="002A2E53" w:rsidRDefault="002A2E53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759" w:type="dxa"/>
          </w:tcPr>
          <w:p w:rsidR="002A2E53" w:rsidRPr="002A2E53" w:rsidRDefault="002A2E53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759" w:type="dxa"/>
          </w:tcPr>
          <w:p w:rsidR="002A2E53" w:rsidRPr="002A2E53" w:rsidRDefault="002A2E53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759" w:type="dxa"/>
          </w:tcPr>
          <w:p w:rsidR="002A2E53" w:rsidRPr="002A2E53" w:rsidRDefault="002A2E53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400024">
      <w:head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40" w:rsidRDefault="000A7740" w:rsidP="000A7740">
      <w:pPr>
        <w:spacing w:after="0" w:line="240" w:lineRule="auto"/>
      </w:pPr>
      <w:r>
        <w:separator/>
      </w:r>
    </w:p>
  </w:endnote>
  <w:endnote w:type="continuationSeparator" w:id="0">
    <w:p w:rsidR="000A7740" w:rsidRDefault="000A7740" w:rsidP="000A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40" w:rsidRDefault="000A7740" w:rsidP="000A7740">
      <w:pPr>
        <w:spacing w:after="0" w:line="240" w:lineRule="auto"/>
      </w:pPr>
      <w:r>
        <w:separator/>
      </w:r>
    </w:p>
  </w:footnote>
  <w:footnote w:type="continuationSeparator" w:id="0">
    <w:p w:rsidR="000A7740" w:rsidRDefault="000A7740" w:rsidP="000A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2"/>
      <w:gridCol w:w="6308"/>
      <w:gridCol w:w="1874"/>
    </w:tblGrid>
    <w:tr w:rsidR="000A7740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7740" w:rsidRPr="00631E32" w:rsidRDefault="000A7740" w:rsidP="00B80FAB">
          <w:pPr>
            <w:pStyle w:val="a8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A7740" w:rsidRPr="00631E32" w:rsidRDefault="000A7740" w:rsidP="00B80FAB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0A7740" w:rsidRPr="00631E32" w:rsidRDefault="000A7740" w:rsidP="00B80FAB">
          <w:pPr>
            <w:pStyle w:val="a8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A7740" w:rsidRPr="00631E32" w:rsidRDefault="000A7740" w:rsidP="00B80FAB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0A7740" w:rsidRPr="00631E32" w:rsidRDefault="000A7740" w:rsidP="00B80FAB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151.00.1/Б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ОК9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0A7740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7740" w:rsidRPr="00631E32" w:rsidRDefault="000A7740" w:rsidP="00B80FAB">
          <w:pPr>
            <w:pStyle w:val="a8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A7740" w:rsidRPr="00631E32" w:rsidRDefault="000A7740" w:rsidP="00B80FAB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A7740" w:rsidRPr="00631E32" w:rsidRDefault="000A7740" w:rsidP="00B80FAB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14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14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A7740" w:rsidRDefault="000A7740" w:rsidP="000A77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A7740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82288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2E53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583A"/>
    <w:rsid w:val="0056621C"/>
    <w:rsid w:val="005766A6"/>
    <w:rsid w:val="00577992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5717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3A1B"/>
    <w:rsid w:val="00BD5FB4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81AA9"/>
    <w:rsid w:val="00C90221"/>
    <w:rsid w:val="00CA4270"/>
    <w:rsid w:val="00CB3AA7"/>
    <w:rsid w:val="00CC3DED"/>
    <w:rsid w:val="00CD40AE"/>
    <w:rsid w:val="00D03B98"/>
    <w:rsid w:val="00D06018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7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740"/>
  </w:style>
  <w:style w:type="paragraph" w:styleId="aa">
    <w:name w:val="footer"/>
    <w:basedOn w:val="a"/>
    <w:link w:val="ab"/>
    <w:uiPriority w:val="99"/>
    <w:unhideWhenUsed/>
    <w:rsid w:val="000A7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7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740"/>
  </w:style>
  <w:style w:type="paragraph" w:styleId="aa">
    <w:name w:val="footer"/>
    <w:basedOn w:val="a"/>
    <w:link w:val="ab"/>
    <w:uiPriority w:val="99"/>
    <w:unhideWhenUsed/>
    <w:rsid w:val="000A7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18DA-EF0F-4FC4-BA64-4ED85651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14519</Words>
  <Characters>8277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</dc:creator>
  <cp:lastModifiedBy>jup</cp:lastModifiedBy>
  <cp:revision>11</cp:revision>
  <dcterms:created xsi:type="dcterms:W3CDTF">2018-05-17T15:04:00Z</dcterms:created>
  <dcterms:modified xsi:type="dcterms:W3CDTF">2020-10-17T14:00:00Z</dcterms:modified>
</cp:coreProperties>
</file>