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70C60">
        <w:rPr>
          <w:rFonts w:ascii="Times New Roman" w:hAnsi="Times New Roman" w:cs="Times New Roman"/>
          <w:sz w:val="28"/>
          <w:szCs w:val="28"/>
          <w:lang w:val="ru-RU"/>
        </w:rPr>
        <w:t>131</w:t>
      </w:r>
      <w:r w:rsidR="00D70C60">
        <w:rPr>
          <w:rFonts w:ascii="Times New Roman" w:hAnsi="Times New Roman" w:cs="Times New Roman"/>
          <w:sz w:val="28"/>
          <w:szCs w:val="28"/>
        </w:rPr>
        <w:t xml:space="preserve"> «Прикладна механіка»</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0C60"/>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BD48-F888-4D3C-8913-E9BB7A5A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19810</Words>
  <Characters>11292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2017-10-23T12:51:00Z</dcterms:created>
  <dcterms:modified xsi:type="dcterms:W3CDTF">2020-10-02T06:23:00Z</dcterms:modified>
</cp:coreProperties>
</file>