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61" w:rsidRPr="004A032A" w:rsidRDefault="00950661" w:rsidP="00950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032A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A0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32A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950661" w:rsidRDefault="00950661" w:rsidP="0095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950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0661" w:rsidRPr="004122BB" w:rsidRDefault="00950661" w:rsidP="009506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B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122BB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41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0661" w:rsidRPr="004122BB" w:rsidRDefault="00950661" w:rsidP="009506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22B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1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122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4122BB">
        <w:rPr>
          <w:rFonts w:ascii="Times New Roman" w:hAnsi="Times New Roman" w:cs="Times New Roman"/>
          <w:sz w:val="28"/>
          <w:szCs w:val="28"/>
        </w:rPr>
        <w:t>»</w:t>
      </w:r>
    </w:p>
    <w:p w:rsidR="004D4E14" w:rsidRPr="00BD4295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818"/>
        <w:gridCol w:w="9038"/>
      </w:tblGrid>
      <w:tr w:rsidR="00950661" w:rsidRPr="00AD2FAD" w:rsidTr="00950661">
        <w:tc>
          <w:tcPr>
            <w:tcW w:w="415" w:type="pct"/>
            <w:vAlign w:val="center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585" w:type="pct"/>
            <w:vAlign w:val="center"/>
          </w:tcPr>
          <w:p w:rsidR="00950661" w:rsidRPr="00AD2FAD" w:rsidRDefault="00950661" w:rsidP="0095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Соціальне підприємництво — 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Соціальне підприємство може вести свою діяльність: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Соціальні підприємства іноді правильно називають: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Головним пріоритетом для соціального підприємства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Соціальні підприємства створюють соціальну цінність, яка має бути: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Соціальне підприємництво: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Будь-який бізнес може бути соціально-відповідальним, але не будь-який бізнес може бути: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Головною метою діяльності соціально-відповідального бізнесу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підприємницького процесу соціального бізнесу починається з: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Наступним кроком після розробки бізнес-концепції в моделі підприємницького процесу соціального бізнесу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 відсоток підприємств є дійсно інноваційними?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tabs>
                <w:tab w:val="left" w:pos="3031"/>
              </w:tabs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Інструмент, що може допомогти в аналізі можливостей вашого соціального підприємства: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Поєднання оцінки зовнішнього та внутрішнього середовища передбачає такий метод, як: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Бізнес-модель — це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Найпопулярнішим каркасом для створення бізнес-моделі, який став стандартом,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Яка організаційно-правова форма підходить для ведення соціального підприємництва краще за все: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які 2 великі групи можна розділити всі можливі організаційні форми для соціальних підприємств в Україні: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  <w:tab w:val="left" w:pos="334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які 2 великі групи можна розділити можливі доходи для соціальних підприємств: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 існує спеціальний закон, який би регулював діяльність соціальних підприємств в Україні: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разі ведення діяльності, яка включає в себе благодійну допомогу або допомогу людям з особливими потребами підприємство може розраховувати на: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Краудфандинг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— 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Пітч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— 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Яке додаткове </w:t>
            </w: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нефінансове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джерело ресурсу потенційно мають соціальні підприємства: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 розраховується показник повернення інвестицій: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основі соціального підприємництва лежать наступні два параметри: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соціального підприємництва, на відміну від соціальної відповідальності бізнесу, відносяться: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Покрокова модель підприємницького процесу передбачає написання місії: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85" w:type="pct"/>
            <w:shd w:val="clear" w:color="auto" w:fill="auto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Яка організаційна форма існує для соціальних підприємства у Литві та Словаччині: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85" w:type="pct"/>
            <w:shd w:val="clear" w:color="auto" w:fill="auto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якої категорії доходів соціального підприємства відносяться </w:t>
            </w: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транзакційні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доходи: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Показник, за допомогою якого можна виміряти ефективність соціального підприємства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Яке з тверджень не є міфом про соціальне підприємство, тобто є правдою: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Ashoka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проводить вимірювання ефективності своєї роботи шляхом: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BFBFB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Твердження про те, що соціальне підприємництво неможливо робити в українських умовах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Бізнес, спрямований на здійснення </w:t>
            </w:r>
            <w:r w:rsidRPr="00AD2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товарно-грошових, торговельно-обмінних операцій відноситься до: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Група чинників, що формують стратегічну прибутковість (збитковість) підприємства і на які воно може здійснювати обмежений вплив шляхом встановлення ефективно діючих комунікацій,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факторів макросередовища не належать: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Модель 5 сил М.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Портера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використовується для аналізу: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До моделі 5 сил М.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Портера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 не включається такий фактор, як: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-аналіз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 не включає наступну групу факторів: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Основними організаційно-правовими формами, у яких може здійснюватися підприємницька діяльність, є: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Підприємницька діяльність здійснюється від свого імені при такій організаційно-правовій формі: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факторів мікросередовища не належать: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90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bCs/>
                <w:sz w:val="28"/>
                <w:szCs w:val="28"/>
              </w:rPr>
              <w:t>До факторів зовнішнього середовища підприємства не відноситься: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5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AD2FAD">
              <w:rPr>
                <w:sz w:val="28"/>
                <w:szCs w:val="28"/>
              </w:rPr>
              <w:t>До факторів внутрішнього середовища підприємства не відноситься: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Облікова ставка НБУ відноситься до такої групи факторів: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Існуюче у країні законодавство відноситься до такої групи факторів: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Першим етапом механізму створення власної справи лежить: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Офіційне визнання шляхом засвідчення державою факту створення або припинення юридичної особи, набуття або позбавлення статусу підприємця фізичною особою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що має статутний капітал, поділений на частки, розмір яких визначається установчими документами, і несе відповідальність за своїми зобов’язаннями тільки своїм майном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Для реєстрації юридичної особи непотрібним є наступний документ: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Відповідно до чинного законодавства використання печатки є: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Розгляд документів, поданих для державної реєстрації та проведення інших реєстраційних дій, </w:t>
            </w:r>
            <w:bookmarkStart w:id="1" w:name="n699"/>
            <w:bookmarkEnd w:id="1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щодо юридичних осіб та фізичних осіб - </w:t>
            </w:r>
            <w:r w:rsidRPr="00AD2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підприємців здійснюється протягом: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Реєстрація платником податку на додану вартість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Не мають право використовувати найману працю суб’єкти бізнесу, які: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Ставка єдиного соціального внеску, яку мають сплачувати суб’єкти бізнесу, становить: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Функція менеджменту, що передбачає визначення цілей підприємства та розробку заходів щодо їх досягнення: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Зосередження управлінських функцій у одного керівника передбачає така організаційна структура управління: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Створення функціональних служб, які не мають безпосереднього впливу на виконавців, а формують управлінські рішення для лінійного керівника, надають методичну допомогу виконавцям, передбачає така організаційна структура управління: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Тип управління, що передбачає орієнтацію на довгострокові цілі розвитку,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декомпозицію від цілей вищого порядку до цілей (заходів) нижчого порядку: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Чітко виражена мета існування соціального підприємства на ринку: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Стратегія, згідно з якою подальший розвиток бізнесу забезпечується за рахунок удосконалення діяльності в межах освоєного ринку функціонування – це: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Стратегія, згідно з якою подальший розвиток бізнесу забезпечується за рахунок диверсифікації діяльності та освоєння нових ринків збуту – це: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Стратегія, згідно з якою подальший розвиток бізнесу забезпечується за рахунок утворення нових структурних підрозділів, розвитку нових видів діяльності, застосування різноманітних форм інтеграції із своїми контрагентами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Стратегія диверсифікації передбачає: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Змагання між товаровиробниками за споживача на певному ринку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Сильні сторони суб’єкта бізнесу, що визначають його успіх у конкурентній боротьбі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конкурентних стратегій за М. Портером не відноситься: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базується на досягненні переваг за рахунок зниження витрат на виробництво та ефективної цінової конкуренції,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базується на ефективному позиціонуванні та досягненні споживчої лояльності за рахунок вищої якості товару,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передбачає орієнтацію на конкретний ринковий сегмент,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На використанні показників темпу зростання ринку та відносної частки ринку базується такий метод стратегічного аналізу: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За способом віднесення на продукцію розрізняють витрати: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Облік витрат на підприємстві ведуть на основі: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Зі збільшенням обсягу виробництва постійні витрати на одиницю продукції: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матеріальних витрат не відносяться: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Вартість, що амортизується – це вартість: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Собівартість є основою для: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Собівартість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належать: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Зворотні відходи впливають на собівартість продукції наступним чином: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Витрати, пов’язані із здійсненням гарантійного ремонту, відносяться до: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Витрати, що спрямовані на оплату аудиторських послуг, відносяться до: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складу «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маркетинг-мікс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не включається: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Маркетингові цілі, які направлені на зростання прибутку, обсягів збуту продукції та розширення займаної частки ринку у довгостроковому періоді, відносяться до: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 поділу ринку, тобто поділ клієнтів організації на певні групи, які мають однакові потреби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основу розробки стратегії маркетингу покладено: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Реклама як інструмент маркетингу відноситься до такої складової «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маркетинг-мікс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критеріїв сегментації ринку не відноситься:</w:t>
            </w:r>
          </w:p>
          <w:p w:rsidR="00950661" w:rsidRPr="00AD2FAD" w:rsidRDefault="00950661" w:rsidP="0095066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економічних критеріїв сегментації споживачів відноситься: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Канали розподілу характеризують такий компонент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маркетинг-міксу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основних показників ефективності маркетингової діяльності не відноситься: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Прейскуранти та система знижок визначаються у рамках такого компоненту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маркетинг-міксу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Характеристики товарів та наявність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післяпродажного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обслуговування визначаються у такому компоненті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маркетинг-міксу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Плановий обсяг виробництва визначається на основі: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num" w:pos="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Вартісною оцінкою ефективності виробничої діяльності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показників оцінки поточного стану обладнання відносяться: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показників руху технічних ресурсів не відноситься: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Коефіцієнт зносу визначається як відношення: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призначенням виділяють такі види виробничих процесів: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Сегментація не може здійснюватися за таким критерієм: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Метод прогнозування обсягів продажу, що передбачає дослідження існуючих тенденцій на ринку та їх продовження у майбутніх періодах,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відновлення попиту, що знижується, застосовується стратегія: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Розрахуйте вартість основних засобів, яка амортизується, якщо первісна вартість становить 390 тис. грн., а ліквідаційна вартість 50 тис. грн.: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Основною метою фінансового менеджменту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bCs/>
                <w:sz w:val="28"/>
                <w:szCs w:val="28"/>
              </w:rPr>
              <w:t>Ключовим чинником, що обумовлює зміну вартості грошей в часі,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bCs/>
                <w:sz w:val="28"/>
                <w:szCs w:val="28"/>
              </w:rPr>
              <w:t>Метод дисконтування передбачає: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Бізнес-інкубатори </w:t>
            </w:r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фінансового менеджменту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t>Відношення суми доходу, виплаченого за фіксований інтервал часу, до величини позики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Сума майбутніх грошових надходжень, зведених з урахуванням певної процентної ставки до теперішнього періоду з поправкою на ризик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Сума інвестованих у даний час коштів, в яку вони перетворяться через певний період часу з урахуванням певної ставки процента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 w:rsidRPr="00AD2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PV </w:t>
            </w:r>
            <w:r w:rsidRPr="00AD2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 w:rsidRPr="00AD2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FV </w:t>
            </w:r>
            <w:r w:rsidRPr="00AD2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61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 та постійна частина оборотних формуються за рахунок довгострокових пасивів, а варіаційна частина оборотних активів – за рахунок короткострокових пасивів,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60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 формуються за рахунок довгострокових пасивів, а оборотні активи за рахунок короткострокових пасивів,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605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активи, постійна частина та половина варіаційної частини оборотних активів формуються за рахунок довгострокових пасивів,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605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та оборотні активи формуються за рахунок довгострокових пасивів, називається: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Прибуток, що надходить в розпорядження підприємства після сплати всіх податків, називають: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7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AD2FAD">
              <w:rPr>
                <w:sz w:val="28"/>
                <w:szCs w:val="28"/>
              </w:rPr>
              <w:t>Чистий грошовий потік визначається: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Показник, що відображає період часу, за який </w:t>
            </w:r>
            <w:proofErr w:type="spellStart"/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продисконтовані</w:t>
            </w:r>
            <w:proofErr w:type="spellEnd"/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доходи повністю покриють </w:t>
            </w:r>
            <w:proofErr w:type="spellStart"/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продисконтовані</w:t>
            </w:r>
            <w:proofErr w:type="spellEnd"/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витрати: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Короткий опис проекту відображається у наступному розділі бізнес-плану: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розділів бізнес-плану не відноситься: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Ретельно підготовлений плановий документ, який розкриває усі сторони будь-якого </w:t>
            </w:r>
            <w:proofErr w:type="spellStart"/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започатковуваного</w:t>
            </w:r>
            <w:proofErr w:type="spellEnd"/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соціального проекту, -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Останнім етапом бізнес-планування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джерел зовнішньої інформації при складанні бізнес-плану належать: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Резюме (анотація) складається: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Що не розглядається у «Плані маркетингу»?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розділі: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Потреба у обладнанні встановлюється на основі: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Основним користувачем бізнес-плану є: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Ризик – це:</w:t>
            </w:r>
          </w:p>
        </w:tc>
      </w:tr>
      <w:tr w:rsidR="00950661" w:rsidRPr="00950661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Ризик, </w:t>
            </w:r>
            <w:r w:rsidRPr="00AD2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пов'язаний з можливістю невиконання соціальним підприємством своїх фінансових зобов'язань, - це: 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Ендогенні ризики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Екзогенні ризики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Розширення сфери діяльності в будь-якому напрямку, щоб не бути залежним від одного ринку представляє собою такий інструмент антикризового управління як: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беззбитковості ґрунтується на дослідженні наступних показників діяльності підприємства (знайти неправильну відповідь):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 передбаченому Господарським Кодексом та іншими законами – це: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Документ, який містить відомості про юридичну особу та його відокремлені підрозділи, або фізичну особу-підприємця і використовується для їх ідентифікації під час здійснення господарської діяльності та відкриття рахунку в банку, називається;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Підприємства, метою діяльності яких є отримання прибутку, називаються: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Підприємства, які створюються одним засновником, який виділяє необхідне майно, формує статутний капітал, не поділений на частки (паї), затверджує статут, розподіляє доходи, здійснює керівництво та ін., називаються: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у яких середньооблікова чисельність працюючих за звітний рік </w:t>
            </w:r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перевищує п’ятдесяти осіб, </w:t>
            </w: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а обсяг валового доходу від реалізації продукції (робіт, послуг) за цей період не перевищує суми, еквівалентної </w:t>
            </w:r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t>10 мільйонам євро</w:t>
            </w:r>
            <w:r w:rsidRPr="00AD2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за середньорічним курсом Національного банку щодо гривні, називаються: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Підприємства, у яких середньооблікова чисельність працюючих за звітний рік</w:t>
            </w:r>
          </w:p>
          <w:p w:rsidR="00950661" w:rsidRPr="00AD2FAD" w:rsidRDefault="00950661" w:rsidP="0095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перевищує тисячу осіб, </w:t>
            </w: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а обсяг валового доходу від реалізації продукції (робіт, послуг) за рік перевищує суму, еквівалентну </w:t>
            </w:r>
            <w:proofErr w:type="spellStart"/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t>п’ятидесяти</w:t>
            </w:r>
            <w:proofErr w:type="spellEnd"/>
            <w:r w:rsidRPr="00AD2F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мільйонам євро </w:t>
            </w: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за середньорічним курсом Національного банку щодо </w:t>
            </w:r>
            <w:r w:rsidRPr="00AD2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гривні, називаються: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Власний капітал становить 500 тис. грн., залучений – 400 тис. грн., вартість необоротних активів – 350 тис. грн. Коефіцієнт забезпеченості власними засобами при цьому складе: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Співвідношенням між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та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визначається: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Різниця між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і </w:t>
            </w:r>
            <w:proofErr w:type="spellStart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AD2FAD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становить наступний показник: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Чиста приведена вартість визначається за формулою: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Дисконтований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період окупності визначається за формулою: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дисконтування визначається за формулою: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Знайти чисту приведену вартість проекту, якщо відомо, що сума </w:t>
            </w: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продисконтованих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грошових потоків становить 750 тис. грн., сума </w:t>
            </w: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продисконтованих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інвестиційних витрат 560 тис. грн.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Знайти індекс доходності проекту </w:t>
            </w: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проекту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якщо відомо, що сума </w:t>
            </w: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продисконтованих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грошових потоків становить 750 тис. грн., сума </w:t>
            </w:r>
            <w:proofErr w:type="spellStart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продисконтованих</w:t>
            </w:r>
            <w:proofErr w:type="spellEnd"/>
            <w:r w:rsidRPr="00AD2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інвестиційних витрат 560 тис. грн.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950661" w:rsidRPr="00AD2FAD" w:rsidTr="00950661">
        <w:tc>
          <w:tcPr>
            <w:tcW w:w="415" w:type="pct"/>
          </w:tcPr>
          <w:p w:rsidR="00950661" w:rsidRPr="000A7BBC" w:rsidRDefault="00950661" w:rsidP="00950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585" w:type="pct"/>
          </w:tcPr>
          <w:p w:rsidR="00950661" w:rsidRPr="00AD2FAD" w:rsidRDefault="00950661" w:rsidP="0095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AD">
              <w:rPr>
                <w:rFonts w:ascii="Times New Roman" w:hAnsi="Times New Roman" w:cs="Times New Roman"/>
                <w:sz w:val="28"/>
                <w:szCs w:val="28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</w:tbl>
    <w:p w:rsidR="000A3FDD" w:rsidRPr="009F78D9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3FDD" w:rsidRPr="009F78D9" w:rsidSect="00AD2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AD" w:rsidRDefault="00AD2FAD" w:rsidP="00187071">
      <w:pPr>
        <w:spacing w:after="0" w:line="240" w:lineRule="auto"/>
      </w:pPr>
      <w:r>
        <w:separator/>
      </w:r>
    </w:p>
  </w:endnote>
  <w:endnote w:type="continuationSeparator" w:id="0">
    <w:p w:rsidR="00AD2FAD" w:rsidRDefault="00AD2FAD" w:rsidP="001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AD" w:rsidRDefault="00AD2FAD" w:rsidP="00187071">
      <w:pPr>
        <w:spacing w:after="0" w:line="240" w:lineRule="auto"/>
      </w:pPr>
      <w:r>
        <w:separator/>
      </w:r>
    </w:p>
  </w:footnote>
  <w:footnote w:type="continuationSeparator" w:id="0">
    <w:p w:rsidR="00AD2FAD" w:rsidRDefault="00AD2FAD" w:rsidP="0018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7E08"/>
    <w:multiLevelType w:val="hybridMultilevel"/>
    <w:tmpl w:val="83D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F"/>
    <w:rsid w:val="00042B65"/>
    <w:rsid w:val="00046A75"/>
    <w:rsid w:val="0005021A"/>
    <w:rsid w:val="000504FE"/>
    <w:rsid w:val="0005466D"/>
    <w:rsid w:val="000650AD"/>
    <w:rsid w:val="00067BAA"/>
    <w:rsid w:val="000808F0"/>
    <w:rsid w:val="0008541D"/>
    <w:rsid w:val="00085956"/>
    <w:rsid w:val="00090734"/>
    <w:rsid w:val="000A3FDD"/>
    <w:rsid w:val="000B3BBC"/>
    <w:rsid w:val="000B4B80"/>
    <w:rsid w:val="000B56BB"/>
    <w:rsid w:val="000C3E82"/>
    <w:rsid w:val="000F710F"/>
    <w:rsid w:val="00100E79"/>
    <w:rsid w:val="00107DDA"/>
    <w:rsid w:val="00110470"/>
    <w:rsid w:val="00111B94"/>
    <w:rsid w:val="00111EB3"/>
    <w:rsid w:val="001139F2"/>
    <w:rsid w:val="00122295"/>
    <w:rsid w:val="00142AD5"/>
    <w:rsid w:val="0015134F"/>
    <w:rsid w:val="0016677C"/>
    <w:rsid w:val="00180D4F"/>
    <w:rsid w:val="001841F2"/>
    <w:rsid w:val="00187071"/>
    <w:rsid w:val="00193CF7"/>
    <w:rsid w:val="001A7C7D"/>
    <w:rsid w:val="001B75E8"/>
    <w:rsid w:val="001D2224"/>
    <w:rsid w:val="001F63CF"/>
    <w:rsid w:val="0023209F"/>
    <w:rsid w:val="002329A3"/>
    <w:rsid w:val="002529C4"/>
    <w:rsid w:val="002551A4"/>
    <w:rsid w:val="0026278F"/>
    <w:rsid w:val="00264E2E"/>
    <w:rsid w:val="00287A12"/>
    <w:rsid w:val="00292525"/>
    <w:rsid w:val="00293AC3"/>
    <w:rsid w:val="002A61E9"/>
    <w:rsid w:val="002B30ED"/>
    <w:rsid w:val="002C296A"/>
    <w:rsid w:val="002C3709"/>
    <w:rsid w:val="002D4922"/>
    <w:rsid w:val="002D6CBA"/>
    <w:rsid w:val="002E29CE"/>
    <w:rsid w:val="002E5FA4"/>
    <w:rsid w:val="002E6C83"/>
    <w:rsid w:val="00307A0F"/>
    <w:rsid w:val="0032000F"/>
    <w:rsid w:val="003275C3"/>
    <w:rsid w:val="00334564"/>
    <w:rsid w:val="00341C3F"/>
    <w:rsid w:val="00360000"/>
    <w:rsid w:val="00362B62"/>
    <w:rsid w:val="00372098"/>
    <w:rsid w:val="00381792"/>
    <w:rsid w:val="003A0C05"/>
    <w:rsid w:val="003A4190"/>
    <w:rsid w:val="003A44DC"/>
    <w:rsid w:val="003A4B11"/>
    <w:rsid w:val="003A6808"/>
    <w:rsid w:val="003A6F53"/>
    <w:rsid w:val="003E03AE"/>
    <w:rsid w:val="003F3E39"/>
    <w:rsid w:val="003F6FC5"/>
    <w:rsid w:val="00405268"/>
    <w:rsid w:val="00415DB1"/>
    <w:rsid w:val="00415F38"/>
    <w:rsid w:val="00437558"/>
    <w:rsid w:val="00447F86"/>
    <w:rsid w:val="00461873"/>
    <w:rsid w:val="00464A26"/>
    <w:rsid w:val="0046704D"/>
    <w:rsid w:val="00467C95"/>
    <w:rsid w:val="00471ED0"/>
    <w:rsid w:val="004757EC"/>
    <w:rsid w:val="00493871"/>
    <w:rsid w:val="004A5085"/>
    <w:rsid w:val="004B0209"/>
    <w:rsid w:val="004B6231"/>
    <w:rsid w:val="004B67F1"/>
    <w:rsid w:val="004D4E14"/>
    <w:rsid w:val="004E199D"/>
    <w:rsid w:val="004E248B"/>
    <w:rsid w:val="004F17A6"/>
    <w:rsid w:val="004F23A8"/>
    <w:rsid w:val="004F5695"/>
    <w:rsid w:val="005062DA"/>
    <w:rsid w:val="005133C5"/>
    <w:rsid w:val="00525798"/>
    <w:rsid w:val="00535A5C"/>
    <w:rsid w:val="00537D0D"/>
    <w:rsid w:val="00541BD5"/>
    <w:rsid w:val="00546D93"/>
    <w:rsid w:val="00550A95"/>
    <w:rsid w:val="00553B1A"/>
    <w:rsid w:val="00564991"/>
    <w:rsid w:val="0058492E"/>
    <w:rsid w:val="0059149C"/>
    <w:rsid w:val="005A5DA7"/>
    <w:rsid w:val="005A6397"/>
    <w:rsid w:val="005B6841"/>
    <w:rsid w:val="005C5990"/>
    <w:rsid w:val="005D0E3D"/>
    <w:rsid w:val="005D12F7"/>
    <w:rsid w:val="005F2B13"/>
    <w:rsid w:val="00600E6B"/>
    <w:rsid w:val="00603830"/>
    <w:rsid w:val="00607415"/>
    <w:rsid w:val="00610ACA"/>
    <w:rsid w:val="00617ADF"/>
    <w:rsid w:val="00620632"/>
    <w:rsid w:val="006355B4"/>
    <w:rsid w:val="00635D25"/>
    <w:rsid w:val="00641A33"/>
    <w:rsid w:val="00675459"/>
    <w:rsid w:val="006864B0"/>
    <w:rsid w:val="00692CE6"/>
    <w:rsid w:val="006947DC"/>
    <w:rsid w:val="006A02D9"/>
    <w:rsid w:val="006A30EA"/>
    <w:rsid w:val="006A3E2A"/>
    <w:rsid w:val="006A6D64"/>
    <w:rsid w:val="006B63B4"/>
    <w:rsid w:val="006C2CC5"/>
    <w:rsid w:val="006C536D"/>
    <w:rsid w:val="006D1E9E"/>
    <w:rsid w:val="006E35D3"/>
    <w:rsid w:val="006F19A8"/>
    <w:rsid w:val="006F481E"/>
    <w:rsid w:val="006F621B"/>
    <w:rsid w:val="006F72E2"/>
    <w:rsid w:val="00713B1F"/>
    <w:rsid w:val="0072322A"/>
    <w:rsid w:val="00726267"/>
    <w:rsid w:val="00733C51"/>
    <w:rsid w:val="00741DEA"/>
    <w:rsid w:val="00752229"/>
    <w:rsid w:val="00754AD3"/>
    <w:rsid w:val="007622BC"/>
    <w:rsid w:val="00763FA9"/>
    <w:rsid w:val="00771430"/>
    <w:rsid w:val="00771C7A"/>
    <w:rsid w:val="0077253A"/>
    <w:rsid w:val="0079212D"/>
    <w:rsid w:val="007C10BE"/>
    <w:rsid w:val="007C3E5B"/>
    <w:rsid w:val="007C7382"/>
    <w:rsid w:val="007E3EA3"/>
    <w:rsid w:val="007E6272"/>
    <w:rsid w:val="007E7C7A"/>
    <w:rsid w:val="007F13D6"/>
    <w:rsid w:val="007F21EF"/>
    <w:rsid w:val="0083039E"/>
    <w:rsid w:val="008332C2"/>
    <w:rsid w:val="00841588"/>
    <w:rsid w:val="00847207"/>
    <w:rsid w:val="008534A3"/>
    <w:rsid w:val="00862045"/>
    <w:rsid w:val="0087335D"/>
    <w:rsid w:val="00875E9E"/>
    <w:rsid w:val="00882189"/>
    <w:rsid w:val="00885441"/>
    <w:rsid w:val="00885802"/>
    <w:rsid w:val="0088625D"/>
    <w:rsid w:val="00887266"/>
    <w:rsid w:val="00891D3B"/>
    <w:rsid w:val="00894055"/>
    <w:rsid w:val="00897E5E"/>
    <w:rsid w:val="008A27B5"/>
    <w:rsid w:val="008B0922"/>
    <w:rsid w:val="008B7F51"/>
    <w:rsid w:val="008C4A52"/>
    <w:rsid w:val="008D2EDD"/>
    <w:rsid w:val="008D3E76"/>
    <w:rsid w:val="008E2293"/>
    <w:rsid w:val="008F45C6"/>
    <w:rsid w:val="008F5E87"/>
    <w:rsid w:val="00901DA2"/>
    <w:rsid w:val="00912E30"/>
    <w:rsid w:val="00920324"/>
    <w:rsid w:val="0094422C"/>
    <w:rsid w:val="00950453"/>
    <w:rsid w:val="00950661"/>
    <w:rsid w:val="009622A7"/>
    <w:rsid w:val="009631D7"/>
    <w:rsid w:val="00964B72"/>
    <w:rsid w:val="00980DB8"/>
    <w:rsid w:val="00993BF6"/>
    <w:rsid w:val="009968A1"/>
    <w:rsid w:val="009B30B0"/>
    <w:rsid w:val="009C2323"/>
    <w:rsid w:val="009F78D9"/>
    <w:rsid w:val="00A02B13"/>
    <w:rsid w:val="00A02DF1"/>
    <w:rsid w:val="00A050F9"/>
    <w:rsid w:val="00A060BA"/>
    <w:rsid w:val="00A131C5"/>
    <w:rsid w:val="00A135B0"/>
    <w:rsid w:val="00A14239"/>
    <w:rsid w:val="00A14346"/>
    <w:rsid w:val="00A26B63"/>
    <w:rsid w:val="00A40031"/>
    <w:rsid w:val="00A432F3"/>
    <w:rsid w:val="00A543D2"/>
    <w:rsid w:val="00AA7934"/>
    <w:rsid w:val="00AC11BF"/>
    <w:rsid w:val="00AD2FAD"/>
    <w:rsid w:val="00AE6A74"/>
    <w:rsid w:val="00AF3275"/>
    <w:rsid w:val="00AF38A6"/>
    <w:rsid w:val="00B02925"/>
    <w:rsid w:val="00B05634"/>
    <w:rsid w:val="00B1236B"/>
    <w:rsid w:val="00B2537A"/>
    <w:rsid w:val="00B26615"/>
    <w:rsid w:val="00B273C4"/>
    <w:rsid w:val="00B27A24"/>
    <w:rsid w:val="00B30620"/>
    <w:rsid w:val="00B7234D"/>
    <w:rsid w:val="00B80D3C"/>
    <w:rsid w:val="00B82C48"/>
    <w:rsid w:val="00B83509"/>
    <w:rsid w:val="00B8470A"/>
    <w:rsid w:val="00BA018F"/>
    <w:rsid w:val="00BA3676"/>
    <w:rsid w:val="00BA73E9"/>
    <w:rsid w:val="00BB3C18"/>
    <w:rsid w:val="00BB6D06"/>
    <w:rsid w:val="00BC2FA9"/>
    <w:rsid w:val="00BC55EF"/>
    <w:rsid w:val="00BC7FC0"/>
    <w:rsid w:val="00BD4295"/>
    <w:rsid w:val="00BE246B"/>
    <w:rsid w:val="00BE2493"/>
    <w:rsid w:val="00C2431A"/>
    <w:rsid w:val="00C30A1B"/>
    <w:rsid w:val="00C51268"/>
    <w:rsid w:val="00C51CFC"/>
    <w:rsid w:val="00C63205"/>
    <w:rsid w:val="00C766A2"/>
    <w:rsid w:val="00C7794F"/>
    <w:rsid w:val="00CA2CB3"/>
    <w:rsid w:val="00CB389F"/>
    <w:rsid w:val="00CB609D"/>
    <w:rsid w:val="00CC1217"/>
    <w:rsid w:val="00CD161E"/>
    <w:rsid w:val="00CD5E39"/>
    <w:rsid w:val="00CE7A31"/>
    <w:rsid w:val="00CF5387"/>
    <w:rsid w:val="00D0474D"/>
    <w:rsid w:val="00D101B3"/>
    <w:rsid w:val="00D35DBB"/>
    <w:rsid w:val="00D52520"/>
    <w:rsid w:val="00D541E2"/>
    <w:rsid w:val="00D6634F"/>
    <w:rsid w:val="00D71FC6"/>
    <w:rsid w:val="00D724B3"/>
    <w:rsid w:val="00D76C4C"/>
    <w:rsid w:val="00D84874"/>
    <w:rsid w:val="00DA1078"/>
    <w:rsid w:val="00DA7FC8"/>
    <w:rsid w:val="00DB495A"/>
    <w:rsid w:val="00DC0FEE"/>
    <w:rsid w:val="00DF2707"/>
    <w:rsid w:val="00DF70F0"/>
    <w:rsid w:val="00E11B64"/>
    <w:rsid w:val="00E210AB"/>
    <w:rsid w:val="00E32D03"/>
    <w:rsid w:val="00E463E0"/>
    <w:rsid w:val="00E5492B"/>
    <w:rsid w:val="00E62A64"/>
    <w:rsid w:val="00E7084E"/>
    <w:rsid w:val="00E74E30"/>
    <w:rsid w:val="00E77FD4"/>
    <w:rsid w:val="00E80966"/>
    <w:rsid w:val="00E93405"/>
    <w:rsid w:val="00EA6AF1"/>
    <w:rsid w:val="00EE23C8"/>
    <w:rsid w:val="00EE28E7"/>
    <w:rsid w:val="00EE733D"/>
    <w:rsid w:val="00F02FED"/>
    <w:rsid w:val="00F0346B"/>
    <w:rsid w:val="00F06668"/>
    <w:rsid w:val="00F11528"/>
    <w:rsid w:val="00F34737"/>
    <w:rsid w:val="00F371AF"/>
    <w:rsid w:val="00F4772B"/>
    <w:rsid w:val="00F556D6"/>
    <w:rsid w:val="00F67F31"/>
    <w:rsid w:val="00F77962"/>
    <w:rsid w:val="00FB49A4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6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6F62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7">
    <w:name w:val="Body Text Indent"/>
    <w:basedOn w:val="a"/>
    <w:link w:val="a8"/>
    <w:rsid w:val="006F48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48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071"/>
  </w:style>
  <w:style w:type="paragraph" w:styleId="ab">
    <w:name w:val="footer"/>
    <w:basedOn w:val="a"/>
    <w:link w:val="ac"/>
    <w:uiPriority w:val="99"/>
    <w:unhideWhenUsed/>
    <w:rsid w:val="00187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071"/>
  </w:style>
  <w:style w:type="character" w:styleId="ad">
    <w:name w:val="Emphasis"/>
    <w:qFormat/>
    <w:rsid w:val="00D0474D"/>
    <w:rPr>
      <w:i/>
      <w:iCs/>
    </w:rPr>
  </w:style>
  <w:style w:type="character" w:customStyle="1" w:styleId="apple-converted-space">
    <w:name w:val="apple-converted-space"/>
    <w:rsid w:val="00C30A1B"/>
  </w:style>
  <w:style w:type="paragraph" w:styleId="ae">
    <w:name w:val="Balloon Text"/>
    <w:basedOn w:val="a"/>
    <w:link w:val="af"/>
    <w:uiPriority w:val="99"/>
    <w:semiHidden/>
    <w:unhideWhenUsed/>
    <w:rsid w:val="00635D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5D25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6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6F62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7">
    <w:name w:val="Body Text Indent"/>
    <w:basedOn w:val="a"/>
    <w:link w:val="a8"/>
    <w:rsid w:val="006F48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48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071"/>
  </w:style>
  <w:style w:type="paragraph" w:styleId="ab">
    <w:name w:val="footer"/>
    <w:basedOn w:val="a"/>
    <w:link w:val="ac"/>
    <w:uiPriority w:val="99"/>
    <w:unhideWhenUsed/>
    <w:rsid w:val="00187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071"/>
  </w:style>
  <w:style w:type="character" w:styleId="ad">
    <w:name w:val="Emphasis"/>
    <w:qFormat/>
    <w:rsid w:val="00D0474D"/>
    <w:rPr>
      <w:i/>
      <w:iCs/>
    </w:rPr>
  </w:style>
  <w:style w:type="character" w:customStyle="1" w:styleId="apple-converted-space">
    <w:name w:val="apple-converted-space"/>
    <w:rsid w:val="00C30A1B"/>
  </w:style>
  <w:style w:type="paragraph" w:styleId="ae">
    <w:name w:val="Balloon Text"/>
    <w:basedOn w:val="a"/>
    <w:link w:val="af"/>
    <w:uiPriority w:val="99"/>
    <w:semiHidden/>
    <w:unhideWhenUsed/>
    <w:rsid w:val="00635D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5D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7C77-77A5-4B6B-896D-F2F1BAE9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cp:lastPrinted>2019-03-29T06:20:00Z</cp:lastPrinted>
  <dcterms:created xsi:type="dcterms:W3CDTF">2020-11-07T20:22:00Z</dcterms:created>
  <dcterms:modified xsi:type="dcterms:W3CDTF">2020-11-07T20:22:00Z</dcterms:modified>
</cp:coreProperties>
</file>