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17"/>
        <w:gridCol w:w="8887"/>
      </w:tblGrid>
      <w:tr w:rsidR="005C4CCC" w:rsidTr="00FA049E">
        <w:tc>
          <w:tcPr>
            <w:tcW w:w="9604" w:type="dxa"/>
            <w:gridSpan w:val="2"/>
          </w:tcPr>
          <w:p w:rsidR="00D25254" w:rsidRDefault="00F51E9F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ерелік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C4CCC" w:rsidRDefault="00FA2C14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дисципліни «</w:t>
            </w:r>
            <w:r w:rsidR="002C08A3">
              <w:rPr>
                <w:rFonts w:ascii="Times New Roman" w:hAnsi="Times New Roman" w:cs="Times New Roman"/>
                <w:sz w:val="28"/>
                <w:szCs w:val="28"/>
              </w:rPr>
              <w:t>Бухгалтерський облік</w:t>
            </w:r>
            <w:r w:rsidR="00D25254" w:rsidRPr="00D25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3003" w:rsidRDefault="002C08A3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спеціальністю </w:t>
            </w:r>
            <w:r w:rsidR="008E1AF7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  <w:r w:rsidR="00A330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1AF7">
              <w:rPr>
                <w:rFonts w:ascii="Times New Roman" w:hAnsi="Times New Roman" w:cs="Times New Roman"/>
                <w:sz w:val="28"/>
                <w:szCs w:val="28"/>
              </w:rPr>
              <w:t>Фінанси, банківська справа та фінансування</w:t>
            </w:r>
            <w:r w:rsidR="00A33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05A3" w:rsidRDefault="00FA2C1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ступеня «</w:t>
            </w:r>
            <w:r w:rsidR="009F4A0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254" w:rsidRPr="00056B84" w:rsidRDefault="00D2525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A51" w:rsidRPr="00CB2A51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  <w:vAlign w:val="center"/>
          </w:tcPr>
          <w:p w:rsidR="00CB2A51" w:rsidRPr="00CB2A51" w:rsidRDefault="00CB2A51" w:rsidP="00662EA7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№ </w:t>
            </w:r>
            <w:r w:rsidR="00662EA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/п</w:t>
            </w:r>
          </w:p>
        </w:tc>
        <w:tc>
          <w:tcPr>
            <w:tcW w:w="8887" w:type="dxa"/>
            <w:vAlign w:val="center"/>
          </w:tcPr>
          <w:p w:rsidR="00CB2A51" w:rsidRPr="00CB2A51" w:rsidRDefault="00CB2A51" w:rsidP="00CB2A51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</w:rPr>
              <w:t>Зміст питання</w:t>
            </w:r>
          </w:p>
        </w:tc>
      </w:tr>
      <w:tr w:rsidR="008E1AF7" w:rsidTr="007E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  <w:vAlign w:val="center"/>
          </w:tcPr>
          <w:p w:rsidR="008E1AF7" w:rsidRPr="00EE541E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Скільки існує принципів бухгалтерського обліку та фінансової звітності?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Валютою бухгалтерського обліку та фінансової звітності в Україні 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Підставою для відображення операцій в бухгалтерському обліку 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Бухгалтерський облік ведеться з метою: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Ресурси, які контролюються підприємством в результаті минулих подій, і використання яких, як очікується, призведе до отримання економічних вигод у майбутньому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Оцінка активів і зобов’язань підприємства здійснюється, виходячи з припущення, що його діяльність триватиме далі, відповідно до принципу: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Залишкова вартість основних засобів визначається як: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Запаси виробів на складі, обробка яких закінчена та які пройшли випробування, приймання, укомплектовані згідно з умовами договорів із замовниками і відповідають технічним умовам, відображаються у статті: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Грошові кошти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Методологічні засади формування в бухгалтерському обліку інформації про основні засоби та інші необоротні матеріальні активи визначає: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Амортизація – це:</w:t>
            </w:r>
          </w:p>
          <w:p w:rsidR="008E1AF7" w:rsidRPr="00C15CEC" w:rsidRDefault="008E1AF7" w:rsidP="0005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Первісна або переоцінена вартість необоротних активів за вирахуванням їх ліквідаційної вартості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Сукупність однотипних за технічними характеристиками, призначенням та умовами використання необоротних матеріальних активів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Сума амортизації об’єкта основних засобів з початку його корисного використання називається: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Фактична собівартість необоротних активів у сумі грошових коштів або справедливої вартості інших активів, сплачених, витрачених для придбання необоротних активів, називається: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Строком корисного використання вважається: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 первісної вартості основних засобів не включаються: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Підприємство може переоцінювати об’єкт основних засобів, якщо: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Індекс переоцінки основних засобів визначається шляхом ділення: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Амортизація об’єкта основних засобів нараховується, починаючи з: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Місячна сума амортизації визначається як добуток фактичного місячного обсягу продукції та виробничої ставки амортизації при: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875">
              <w:rPr>
                <w:rFonts w:ascii="Times New Roman" w:hAnsi="Times New Roman" w:cs="Times New Roman"/>
                <w:sz w:val="28"/>
                <w:szCs w:val="28"/>
              </w:rPr>
              <w:t xml:space="preserve">Діленням кількості років, що залишилися до кінця строку корисного </w:t>
            </w:r>
            <w:r w:rsidRPr="00194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об’єкта основних засобів, на суму чисел років його корисного використання визначається: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8887" w:type="dxa"/>
          </w:tcPr>
          <w:p w:rsidR="008E1AF7" w:rsidRPr="00194875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875">
              <w:rPr>
                <w:rFonts w:ascii="Times New Roman" w:hAnsi="Times New Roman" w:cs="Times New Roman"/>
                <w:sz w:val="28"/>
                <w:szCs w:val="28"/>
              </w:rPr>
              <w:t>Якщо індекс переоцінки основних засобів більше значення 1, то: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87" w:type="dxa"/>
          </w:tcPr>
          <w:p w:rsidR="008E1AF7" w:rsidRPr="00194875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875">
              <w:rPr>
                <w:rFonts w:ascii="Times New Roman" w:hAnsi="Times New Roman" w:cs="Times New Roman"/>
                <w:sz w:val="28"/>
                <w:szCs w:val="28"/>
              </w:rPr>
              <w:t>У валюту балансу основні засоби включаються за: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887" w:type="dxa"/>
          </w:tcPr>
          <w:p w:rsidR="008E1AF7" w:rsidRPr="00194875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875">
              <w:rPr>
                <w:rFonts w:ascii="Times New Roman" w:hAnsi="Times New Roman" w:cs="Times New Roman"/>
                <w:sz w:val="28"/>
                <w:szCs w:val="28"/>
              </w:rPr>
              <w:t>Якою кореспонденцією рахунків відображається безоплатне отримання транспортного засобу?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887" w:type="dxa"/>
          </w:tcPr>
          <w:p w:rsidR="008E1AF7" w:rsidRPr="00194875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E">
              <w:rPr>
                <w:rFonts w:ascii="Times New Roman" w:hAnsi="Times New Roman" w:cs="Times New Roman"/>
                <w:sz w:val="28"/>
                <w:szCs w:val="28"/>
              </w:rPr>
              <w:t>Якою кореспонденцією рахунків відображається ліквідація основного засобу?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887" w:type="dxa"/>
          </w:tcPr>
          <w:p w:rsidR="008E1AF7" w:rsidRPr="00026D2E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E">
              <w:rPr>
                <w:rFonts w:ascii="Times New Roman" w:hAnsi="Times New Roman" w:cs="Times New Roman"/>
                <w:sz w:val="28"/>
                <w:szCs w:val="28"/>
              </w:rPr>
              <w:t>Якою кореспонденцією рахунків відображається нарахування амортизації на об’єкт основних засобів адміністративного призначення?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887" w:type="dxa"/>
          </w:tcPr>
          <w:p w:rsidR="008E1AF7" w:rsidRPr="00026D2E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E">
              <w:rPr>
                <w:rFonts w:ascii="Times New Roman" w:hAnsi="Times New Roman" w:cs="Times New Roman"/>
                <w:sz w:val="28"/>
                <w:szCs w:val="28"/>
              </w:rPr>
              <w:t>Якою кореспонденцією рахунків відображається завершення операцій з капітального ремонту основних засобів виробничого призначення?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887" w:type="dxa"/>
          </w:tcPr>
          <w:p w:rsidR="008E1AF7" w:rsidRPr="00026D2E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Первісна вартість запасів, виготовлених власними силами, визначається відповідно до П(С)БО: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При оплаті товарів після їх оприбуткування податковий кредит з ПДВ відображається: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Документ, який передається касиром підприємства, і є відривним листом Касової книги з додатком прибуткових  і видаткових касових документів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Банк реєструє всі здійснені операції з надходження і списання коштів з поточного рахунку в документі: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При відпуску запасів у виробництво, продажі та іншому вибутті згідно до П(С)БО їх оцінка не здійснюється за методом: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 складу запасів не включається: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Оприбуткування лишків запасів, виявлених при інвентаризації відображається: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Величина податкового кредиту з ПДВ при придбанні запасів на суму 30000 грн. (в т.ч. ПДВ) становить: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Оприбуткування запасів, придбаних підзвітною особою за грошові кошти, відображається: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Витрати на виробництво, які не можуть бути віднесені  безпосередньо до конкретного об’єкту витрат економічно доцільним шляхом і тому потребують розподілу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Оплата з підзвітних сум витрат, пов’язаних з виправленням браку відображається: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Якщо справедлива вартість основного засобу дорівнює 4000 грн., первісна вартість дорівнює 8000 грн, знос – 5500 грн., то  індекс переоцінки становить: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Придбання основних  засобів, що потребують монтажу, в бухгалтерському обліку відобража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є</w:t>
            </w:r>
            <w:r w:rsidRPr="00C15C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Якою буде місячна сума амортизації автомобіля, якщо: застосовується прямолінійний метод, первісна вартість становить 200000 грн., ліквідаційна вартість – 1000 грн., термін корисної експлуатації 20 років.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43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Введення в експлуатацію  основних  засобів у бухгалтерському обліку відображаються: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Сума дооцінки вартості основних засобів відображається у складі: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Нарахування амортизації основних засобів у фінансовому обліку проводиться: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Немонетарні активи, які не мають матеріально-речової форми та можуть бути ідентифіковані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Правові засади регулювання, організації, ведення бухгалтерського обліку та складання фінансової звітності в Україні визначає: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Здійснення попередньої оплати відображається в бухгалтерському обліку: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трок використання нематеріального активу може бути: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87" w:type="dxa"/>
          </w:tcPr>
          <w:p w:rsidR="008E1AF7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Переміщення товарів з торговельної зали підприємства роздрібної торгівлі на склад відображається: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Право на податковий кредит за вітчизняними товарами у платника податку виникає за наявності: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Нарахування торгової націнки відображається в обліку наступною кореспонденцією рахунків: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Готівка в касі, яка перевищує встановлений ліміт на кінець робочого дня: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У випадку, якщо для підприємства ліміт залишку в касі не визначено, то встановлено він дорівнює: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Витрачання готівки в касі оформлюється: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Передача з каси грошових коштів інкасатору відображається кореспонденцією рахунків: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Ліміт залишку готівки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Яким П(С)БО регламентується бухгалтерський облік поточної дебіторської заборгованості: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Скільки існує методів визначення величини резерву сумнівних боргів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Методи обчислення резерву сумнівних боргів визначаються: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Видані під звіт суми повинні витрачатися: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Нарахування резерву сумнівних боргів відображається в обліку кореспонденцією рахунків: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Використання резерву сумнівних боргів при списання безнадійної дебіторської заборгованості відображається в обліку наступним чином: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3F0">
              <w:rPr>
                <w:rFonts w:ascii="Times New Roman" w:eastAsia="Calibri" w:hAnsi="Times New Roman" w:cs="Times New Roman"/>
                <w:sz w:val="28"/>
                <w:szCs w:val="28"/>
              </w:rPr>
              <w:t>Що не належить до нематеріальних активів?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887" w:type="dxa"/>
          </w:tcPr>
          <w:p w:rsidR="008E1AF7" w:rsidRPr="004D587F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87F">
              <w:rPr>
                <w:rFonts w:ascii="Times New Roman" w:eastAsia="Calibri" w:hAnsi="Times New Roman" w:cs="Times New Roman"/>
                <w:sz w:val="28"/>
                <w:szCs w:val="28"/>
              </w:rPr>
              <w:t>Вартісна ознака предметів, що входять до складу малоцінних необоротних матеріальних активів, становить?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При купівлі товарів укладається договір: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887" w:type="dxa"/>
          </w:tcPr>
          <w:p w:rsidR="008E1AF7" w:rsidRPr="004B7D84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DCC">
              <w:rPr>
                <w:rFonts w:ascii="Times New Roman" w:hAnsi="Times New Roman" w:cs="Times New Roman"/>
                <w:sz w:val="28"/>
                <w:szCs w:val="28"/>
              </w:rPr>
              <w:t>Запаси, що втратили свою первісну очікувану економічну вигоду, в обліку відображаються 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887" w:type="dxa"/>
          </w:tcPr>
          <w:p w:rsidR="008E1AF7" w:rsidRPr="004B7D84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B7D84">
              <w:rPr>
                <w:rFonts w:ascii="Times New Roman" w:eastAsia="Calibri" w:hAnsi="Times New Roman" w:cs="Times New Roman"/>
                <w:sz w:val="28"/>
                <w:szCs w:val="28"/>
              </w:rPr>
              <w:t>Матеріали, які використовуються для обслуговування процесу виробн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ицтва та управління називаються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8E1AF7" w:rsidRPr="004B7D84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69</w:t>
            </w:r>
          </w:p>
        </w:tc>
        <w:tc>
          <w:tcPr>
            <w:tcW w:w="8887" w:type="dxa"/>
          </w:tcPr>
          <w:p w:rsidR="008E1AF7" w:rsidRPr="005C223F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23F">
              <w:rPr>
                <w:rFonts w:ascii="Times New Roman" w:eastAsia="Calibri" w:hAnsi="Times New Roman" w:cs="Times New Roman"/>
                <w:sz w:val="28"/>
                <w:szCs w:val="28"/>
              </w:rPr>
              <w:t>Усі інвестиції, які не можуть бути вільно реалізовані в будь-який момент, визнаються як?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887" w:type="dxa"/>
          </w:tcPr>
          <w:p w:rsidR="008E1AF7" w:rsidRPr="00EF6082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082">
              <w:rPr>
                <w:rFonts w:ascii="Times New Roman" w:eastAsia="Calibri" w:hAnsi="Times New Roman" w:cs="Times New Roman"/>
                <w:sz w:val="28"/>
                <w:szCs w:val="28"/>
              </w:rPr>
              <w:t>Готова продукція, що має уречевлену форму – це класифікаці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йна ознака готової продукції 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8887" w:type="dxa"/>
          </w:tcPr>
          <w:p w:rsidR="008E1AF7" w:rsidRPr="00CB38A6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38A6">
              <w:rPr>
                <w:rFonts w:ascii="Times New Roman" w:eastAsia="Calibri" w:hAnsi="Times New Roman" w:cs="Times New Roman"/>
                <w:sz w:val="28"/>
                <w:szCs w:val="28"/>
              </w:rPr>
              <w:t>Продукція, яка іноді утворюється в комплексних виробництвах при виробництві основної і не потребує додаткових витрат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887" w:type="dxa"/>
          </w:tcPr>
          <w:p w:rsidR="008E1AF7" w:rsidRPr="0029557F" w:rsidRDefault="008E1AF7" w:rsidP="00055D28">
            <w:pPr>
              <w:pStyle w:val="1"/>
              <w:rPr>
                <w:sz w:val="28"/>
                <w:szCs w:val="28"/>
                <w:lang w:val="uk-UA"/>
              </w:rPr>
            </w:pPr>
            <w:r w:rsidRPr="0029557F">
              <w:rPr>
                <w:sz w:val="28"/>
                <w:szCs w:val="28"/>
                <w:lang w:val="uk-UA"/>
              </w:rPr>
              <w:t>Що не належить до оборотних активів?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8887" w:type="dxa"/>
          </w:tcPr>
          <w:p w:rsidR="008E1AF7" w:rsidRPr="00AE1231" w:rsidRDefault="008E1AF7" w:rsidP="00055D28">
            <w:pPr>
              <w:pStyle w:val="1"/>
              <w:rPr>
                <w:sz w:val="28"/>
                <w:szCs w:val="28"/>
                <w:lang w:val="uk-UA"/>
              </w:rPr>
            </w:pPr>
            <w:r w:rsidRPr="0029557F">
              <w:rPr>
                <w:sz w:val="28"/>
                <w:szCs w:val="28"/>
                <w:lang w:val="uk-UA"/>
              </w:rPr>
              <w:t>Що не належить до основних засобів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 виробничої собівартості продукції (робіт, послуг) включаються: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 xml:space="preserve">До складу прямих матеріальних витрат включається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87" w:type="dxa"/>
          </w:tcPr>
          <w:p w:rsidR="008E1AF7" w:rsidRPr="0032025E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25E">
              <w:rPr>
                <w:rFonts w:ascii="Times New Roman" w:eastAsia="Calibri" w:hAnsi="Times New Roman" w:cs="Times New Roman"/>
                <w:sz w:val="28"/>
                <w:szCs w:val="28"/>
              </w:rPr>
              <w:t>При відпуску запасів у виробництво, продажі та іншому вибутті згідно до П(С)БО їх оцінка здійснюється за методом?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8887" w:type="dxa"/>
          </w:tcPr>
          <w:p w:rsidR="008E1AF7" w:rsidRPr="0032025E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5E">
              <w:rPr>
                <w:rFonts w:ascii="Times New Roman" w:eastAsia="Calibri" w:hAnsi="Times New Roman" w:cs="Times New Roman"/>
                <w:sz w:val="28"/>
                <w:szCs w:val="28"/>
              </w:rPr>
              <w:t>До оборотних активів відносять</w:t>
            </w:r>
            <w:r w:rsidRPr="003202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5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 w:rsidRPr="0032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із наведених </w:t>
            </w:r>
            <w:r w:rsidRPr="0032025E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r w:rsidRPr="0032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є активом?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 активі балансу відображається: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Актив балансу підприємства: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887" w:type="dxa"/>
          </w:tcPr>
          <w:p w:rsidR="008E1AF7" w:rsidRPr="002500B4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B4">
              <w:rPr>
                <w:rFonts w:ascii="Times New Roman" w:eastAsia="Calibri" w:hAnsi="Times New Roman" w:cs="Times New Roman"/>
                <w:sz w:val="28"/>
                <w:szCs w:val="28"/>
              </w:rPr>
              <w:t>До виробничих запасів відносять</w:t>
            </w:r>
            <w:r w:rsidRPr="002500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 складу загальновиробничих витрат не включаються: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Яка проводка відображає нарахування податку на прибуток: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Фінансова звітність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Метою складання фінансової звітності є надання користувачам для прийняття рішень інформації: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Звітним періодом складання фінансової звітності 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8887" w:type="dxa"/>
          </w:tcPr>
          <w:p w:rsidR="008E1AF7" w:rsidRPr="00C15CEC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послідовності передбачає: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887" w:type="dxa"/>
          </w:tcPr>
          <w:p w:rsidR="008E1AF7" w:rsidRPr="00EE541E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безперервності передбачає: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8887" w:type="dxa"/>
          </w:tcPr>
          <w:p w:rsidR="008E1AF7" w:rsidRPr="00EE541E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повного висвітлення передбачає: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887" w:type="dxa"/>
          </w:tcPr>
          <w:p w:rsidR="008E1AF7" w:rsidRPr="00EE541E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єдиного грошового вимірника передбачає: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8887" w:type="dxa"/>
          </w:tcPr>
          <w:p w:rsidR="008E1AF7" w:rsidRPr="00EE541E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нарахування передбачає: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8887" w:type="dxa"/>
          </w:tcPr>
          <w:p w:rsidR="008E1AF7" w:rsidRPr="00EE541E" w:rsidRDefault="008E1AF7" w:rsidP="00055D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превалювання сутності над формою  передбачає: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887" w:type="dxa"/>
          </w:tcPr>
          <w:p w:rsidR="008E1AF7" w:rsidRPr="004008A2" w:rsidRDefault="008E1AF7" w:rsidP="00055D28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008A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Поточна дебіторська заборгованість відносить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ся</w:t>
            </w:r>
            <w:r w:rsidRPr="004008A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до: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8887" w:type="dxa"/>
          </w:tcPr>
          <w:p w:rsidR="008E1AF7" w:rsidRPr="00EE541E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підприємствах роздрібної торгівлі доцільно застосовувати: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8887" w:type="dxa"/>
          </w:tcPr>
          <w:p w:rsidR="008E1AF7" w:rsidRPr="00466956" w:rsidRDefault="008E1AF7" w:rsidP="00055D28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Сукупність прийомів розподілу витрат підприємства за калькуляційними статтями та віднесення їх до об’єкту калькулювання називається: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8887" w:type="dxa"/>
          </w:tcPr>
          <w:p w:rsidR="008E1AF7" w:rsidRPr="00466956" w:rsidRDefault="008E1AF7" w:rsidP="00055D28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Брак у виробництві за характером дефектів у виробах поділяється на: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8887" w:type="dxa"/>
          </w:tcPr>
          <w:p w:rsidR="008E1AF7" w:rsidRPr="00466956" w:rsidRDefault="008E1AF7" w:rsidP="00055D28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Продукція, яка іноді утворюється в комплексних виробництвах при виробництві основної і не потребує додаткових витрат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87" w:type="dxa"/>
          </w:tcPr>
          <w:p w:rsidR="008E1AF7" w:rsidRPr="00466956" w:rsidRDefault="008E1AF7" w:rsidP="00055D28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Юридичні та фізичні особи, які внаслідок минулих подій заборгували підприємству певні суми грошових коштів, їх еквівалентів або інших активів, –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7" w:type="dxa"/>
          </w:tcPr>
          <w:p w:rsidR="008E1AF7" w:rsidRPr="00495A51" w:rsidRDefault="008E1AF7" w:rsidP="00055D28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Бланки суворо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ї звітності обліковуються на рахунку: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7" w:type="dxa"/>
          </w:tcPr>
          <w:p w:rsidR="008E1AF7" w:rsidRPr="00466956" w:rsidRDefault="008E1AF7" w:rsidP="00055D28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Дебіторська заборгованість щодо якої існує невпевненість у погашенні її боржником, називається: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101</w:t>
            </w:r>
          </w:p>
        </w:tc>
        <w:tc>
          <w:tcPr>
            <w:tcW w:w="8887" w:type="dxa"/>
          </w:tcPr>
          <w:p w:rsidR="008E1AF7" w:rsidRPr="00466956" w:rsidRDefault="008E1AF7" w:rsidP="00055D28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Резерв сумнівних боргів нараховується на: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8887" w:type="dxa"/>
          </w:tcPr>
          <w:p w:rsidR="008E1AF7" w:rsidRPr="00466956" w:rsidRDefault="008E1AF7" w:rsidP="00055D28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Талони на бензин обліковуються на рахунку: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готівкової виручки відображається в обліку записом: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договору, на підставі замовлення яких виготовляється конкретна продукція,  надаються послуги, виконуються роботи іншим учасникам договору, називаються: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Малоцінні необоротні матеріальні активи обліковуються на рахунку: 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Напівфабрикати власного виробництва оприбутковуються наступним чином: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Перерахування коштів в рахунок попередньої оплати відображається в обліку: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 в обліку Д 286 К 10 означає: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Акцепт розрахункових документів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Оприбуткування придбаного у постачальника нематеріального активу відображається в обліку: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амортизації на нематеріальний актив адміністративного призначення відображається в обліку: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амортизації на інвентарну тару виробничого призначення відображається в обліку: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Дооцінка вартості права на торгову марку відображається в обліку: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Списання суми нарахованого зносу комп’ютерної програми відображається в обліку: 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8887" w:type="dxa"/>
          </w:tcPr>
          <w:p w:rsidR="008E1AF7" w:rsidRPr="009872B8" w:rsidRDefault="008E1AF7" w:rsidP="0005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Списання загальновиробничих витрат відображається в обліку: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8887" w:type="dxa"/>
          </w:tcPr>
          <w:p w:rsidR="008E1AF7" w:rsidRPr="00694427" w:rsidRDefault="008E1AF7" w:rsidP="00055D28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заробітної плати виробничим працівникам готівкою відображається в обліку: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8887" w:type="dxa"/>
          </w:tcPr>
          <w:p w:rsidR="008E1AF7" w:rsidRPr="00694427" w:rsidRDefault="008E1AF7" w:rsidP="00055D28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Виставлення претензії постачальнику відображається в обліку: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8887" w:type="dxa"/>
          </w:tcPr>
          <w:p w:rsidR="008E1AF7" w:rsidRPr="00694427" w:rsidRDefault="008E1AF7" w:rsidP="00055D28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 складу виробничої собівартості не входить: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8887" w:type="dxa"/>
          </w:tcPr>
          <w:p w:rsidR="008E1AF7" w:rsidRPr="00694427" w:rsidRDefault="008E1AF7" w:rsidP="00055D28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Групування витрат за економічними елементами здійснюється на підприємствах: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8887" w:type="dxa"/>
          </w:tcPr>
          <w:p w:rsidR="008E1AF7" w:rsidRPr="00694427" w:rsidRDefault="008E1AF7" w:rsidP="00055D28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Перевищення суми витрат над сумою доходів, для отримання яких здійснені ці витрати,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8887" w:type="dxa"/>
          </w:tcPr>
          <w:p w:rsidR="008E1AF7" w:rsidRPr="00694427" w:rsidRDefault="008E1AF7" w:rsidP="00055D28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Запис Д 372 К 641 означає: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8887" w:type="dxa"/>
          </w:tcPr>
          <w:p w:rsidR="008E1AF7" w:rsidRPr="00F005D6" w:rsidRDefault="008E1AF7" w:rsidP="00055D28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Затвердження Звіту про відрядження директора підприємства відображається в обліку: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8887" w:type="dxa"/>
          </w:tcPr>
          <w:p w:rsidR="008E1AF7" w:rsidRPr="00EC5398" w:rsidRDefault="008E1AF7" w:rsidP="00055D28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 w:rsidRPr="00EC5398">
              <w:rPr>
                <w:rFonts w:eastAsia="Calibri"/>
                <w:sz w:val="28"/>
                <w:szCs w:val="28"/>
                <w:lang w:val="uk-UA"/>
              </w:rPr>
              <w:t>Не включаються до первісної вартості запасів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887" w:type="dxa"/>
          </w:tcPr>
          <w:p w:rsidR="008E1AF7" w:rsidRPr="000916A8" w:rsidRDefault="008E1AF7" w:rsidP="00055D28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 w:rsidRPr="000916A8">
              <w:rPr>
                <w:rFonts w:eastAsia="Calibri"/>
                <w:sz w:val="28"/>
                <w:szCs w:val="28"/>
                <w:lang w:val="uk-UA"/>
              </w:rPr>
              <w:t>Запаси, які відпускаються, та послуги, що виконуються для спеціальних замовлень і проектів, а також запаси, які не замінюють одне одного, оцінюються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за методом: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8887" w:type="dxa"/>
          </w:tcPr>
          <w:p w:rsidR="008E1AF7" w:rsidRPr="00261BC4" w:rsidRDefault="008E1AF7" w:rsidP="00055D28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 w:rsidRPr="00261BC4">
              <w:rPr>
                <w:rFonts w:eastAsia="Calibri"/>
                <w:sz w:val="28"/>
                <w:szCs w:val="28"/>
                <w:lang w:val="uk-UA"/>
              </w:rPr>
              <w:t xml:space="preserve">Оцінка проводиться щодо кожної  одиниці  запасів  діленням сумарної вартості залишку таких запасів на початок звітного місяця і вартості одержаних у звітному місяці  запасів  на  сумарну кількість запасів на початок звітного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місяця і одержаних у </w:t>
            </w:r>
            <w:r w:rsidRPr="00261BC4">
              <w:rPr>
                <w:rFonts w:eastAsia="Calibri"/>
                <w:sz w:val="28"/>
                <w:szCs w:val="28"/>
                <w:lang w:val="uk-UA"/>
              </w:rPr>
              <w:t>звітному  мі</w:t>
            </w:r>
            <w:r>
              <w:rPr>
                <w:rFonts w:eastAsia="Calibri"/>
                <w:sz w:val="28"/>
                <w:szCs w:val="28"/>
                <w:lang w:val="uk-UA"/>
              </w:rPr>
              <w:t>сяці запасів за методом: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8887" w:type="dxa"/>
          </w:tcPr>
          <w:p w:rsidR="008E1AF7" w:rsidRPr="0010347A" w:rsidRDefault="008E1AF7" w:rsidP="00055D28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 w:rsidRPr="0010347A">
              <w:rPr>
                <w:rFonts w:eastAsia="Calibri"/>
                <w:sz w:val="28"/>
                <w:szCs w:val="28"/>
                <w:lang w:val="uk-UA"/>
              </w:rPr>
              <w:t xml:space="preserve">Оцінка запасів за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даним </w:t>
            </w:r>
            <w:r w:rsidRPr="0010347A">
              <w:rPr>
                <w:rFonts w:eastAsia="Calibri"/>
                <w:sz w:val="28"/>
                <w:szCs w:val="28"/>
                <w:lang w:val="uk-UA"/>
              </w:rPr>
              <w:t xml:space="preserve">методом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базується на </w:t>
            </w:r>
            <w:r w:rsidRPr="0010347A">
              <w:rPr>
                <w:rFonts w:eastAsia="Calibri"/>
                <w:sz w:val="28"/>
                <w:szCs w:val="28"/>
                <w:lang w:val="uk-UA"/>
              </w:rPr>
              <w:t xml:space="preserve">припущенні,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що запаси </w:t>
            </w:r>
            <w:r w:rsidRPr="0010347A">
              <w:rPr>
                <w:rFonts w:eastAsia="Calibri"/>
                <w:sz w:val="28"/>
                <w:szCs w:val="28"/>
                <w:lang w:val="uk-UA"/>
              </w:rPr>
              <w:lastRenderedPageBreak/>
              <w:t>використов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уються у тій  послідовності, у </w:t>
            </w:r>
            <w:r w:rsidRPr="0010347A">
              <w:rPr>
                <w:rFonts w:eastAsia="Calibri"/>
                <w:sz w:val="28"/>
                <w:szCs w:val="28"/>
                <w:lang w:val="uk-UA"/>
              </w:rPr>
              <w:t xml:space="preserve">якій вони </w:t>
            </w:r>
            <w:r>
              <w:rPr>
                <w:rFonts w:eastAsia="Calibri"/>
                <w:sz w:val="28"/>
                <w:szCs w:val="28"/>
                <w:lang w:val="uk-UA"/>
              </w:rPr>
              <w:t>надходили до підприємства: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127</w:t>
            </w:r>
          </w:p>
        </w:tc>
        <w:tc>
          <w:tcPr>
            <w:tcW w:w="8887" w:type="dxa"/>
          </w:tcPr>
          <w:p w:rsidR="008E1AF7" w:rsidRPr="00D76EFF" w:rsidRDefault="008E1AF7" w:rsidP="00055D28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 w:rsidRPr="00D76EFF">
              <w:rPr>
                <w:rFonts w:eastAsia="Calibri"/>
                <w:sz w:val="28"/>
                <w:szCs w:val="28"/>
                <w:lang w:val="uk-UA"/>
              </w:rPr>
              <w:t>Оцінка полягає у застосуванні норм витра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т на одиницю продукції (робіт, </w:t>
            </w:r>
            <w:r w:rsidRPr="00D76EFF">
              <w:rPr>
                <w:rFonts w:eastAsia="Calibri"/>
                <w:sz w:val="28"/>
                <w:szCs w:val="28"/>
                <w:lang w:val="uk-UA"/>
              </w:rPr>
              <w:t>послуг), які встановлені підприємст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вом з урахуванням нормальних  рівнів </w:t>
            </w:r>
            <w:r w:rsidRPr="00D76EFF">
              <w:rPr>
                <w:rFonts w:eastAsia="Calibri"/>
                <w:sz w:val="28"/>
                <w:szCs w:val="28"/>
                <w:lang w:val="uk-UA"/>
              </w:rPr>
              <w:t xml:space="preserve">використання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запасів, </w:t>
            </w:r>
            <w:r w:rsidRPr="00D76EFF">
              <w:rPr>
                <w:rFonts w:eastAsia="Calibri"/>
                <w:sz w:val="28"/>
                <w:szCs w:val="28"/>
                <w:lang w:val="uk-UA"/>
              </w:rPr>
              <w:t>праці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, виробничих потужностей і </w:t>
            </w:r>
            <w:r w:rsidRPr="00D76EFF">
              <w:rPr>
                <w:rFonts w:eastAsia="Calibri"/>
                <w:sz w:val="28"/>
                <w:szCs w:val="28"/>
                <w:lang w:val="uk-UA"/>
              </w:rPr>
              <w:t>діючих  цін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8887" w:type="dxa"/>
          </w:tcPr>
          <w:p w:rsidR="008E1AF7" w:rsidRPr="00AC6287" w:rsidRDefault="008E1AF7" w:rsidP="00055D28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Оцінка заснована на </w:t>
            </w:r>
            <w:r w:rsidRPr="00AC6287">
              <w:rPr>
                <w:rFonts w:eastAsia="Calibri"/>
                <w:sz w:val="28"/>
                <w:szCs w:val="28"/>
                <w:lang w:val="uk-UA"/>
              </w:rPr>
              <w:t xml:space="preserve">застосуванні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підприємствами роздрібної торгівлі середнього </w:t>
            </w:r>
            <w:r w:rsidRPr="00AC6287">
              <w:rPr>
                <w:rFonts w:eastAsia="Calibri"/>
                <w:sz w:val="28"/>
                <w:szCs w:val="28"/>
                <w:lang w:val="uk-UA"/>
              </w:rPr>
              <w:t>проценту торговель</w:t>
            </w:r>
            <w:r>
              <w:rPr>
                <w:rFonts w:eastAsia="Calibri"/>
                <w:sz w:val="28"/>
                <w:szCs w:val="28"/>
                <w:lang w:val="uk-UA"/>
              </w:rPr>
              <w:t>ної націнки товарів: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8887" w:type="dxa"/>
          </w:tcPr>
          <w:p w:rsidR="008E1AF7" w:rsidRPr="009D0945" w:rsidRDefault="008E1AF7" w:rsidP="00055D28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Річна сума </w:t>
            </w:r>
            <w:r w:rsidRPr="009D0945">
              <w:rPr>
                <w:rFonts w:eastAsia="Calibri"/>
                <w:sz w:val="28"/>
                <w:szCs w:val="28"/>
                <w:lang w:val="uk-UA"/>
              </w:rPr>
              <w:t xml:space="preserve">амортизації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визначається діленням  вартості, яка амортизується, на </w:t>
            </w:r>
            <w:r w:rsidRPr="009D0945">
              <w:rPr>
                <w:rFonts w:eastAsia="Calibri"/>
                <w:sz w:val="28"/>
                <w:szCs w:val="28"/>
                <w:lang w:val="uk-UA"/>
              </w:rPr>
              <w:t xml:space="preserve">строк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корисного використання об'єкта </w:t>
            </w:r>
            <w:r w:rsidRPr="009D0945">
              <w:rPr>
                <w:rFonts w:eastAsia="Calibri"/>
                <w:sz w:val="28"/>
                <w:szCs w:val="28"/>
                <w:lang w:val="uk-UA"/>
              </w:rPr>
              <w:t>основних  засобів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за методом: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8887" w:type="dxa"/>
          </w:tcPr>
          <w:p w:rsidR="008E1AF7" w:rsidRPr="009D0945" w:rsidRDefault="008E1AF7" w:rsidP="00055D28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</w:t>
            </w:r>
            <w:r w:rsidRPr="009D0945">
              <w:rPr>
                <w:rFonts w:eastAsia="Calibri"/>
                <w:sz w:val="28"/>
                <w:szCs w:val="28"/>
                <w:lang w:val="uk-UA"/>
              </w:rPr>
              <w:t xml:space="preserve">ічна сума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амортизації визначається  як добуток залишкової </w:t>
            </w:r>
            <w:r w:rsidRPr="009D0945">
              <w:rPr>
                <w:rFonts w:eastAsia="Calibri"/>
                <w:sz w:val="28"/>
                <w:szCs w:val="28"/>
                <w:lang w:val="uk-UA"/>
              </w:rPr>
              <w:t xml:space="preserve">вартості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об'єкта на початок </w:t>
            </w:r>
            <w:r w:rsidRPr="009D0945">
              <w:rPr>
                <w:rFonts w:eastAsia="Calibri"/>
                <w:sz w:val="28"/>
                <w:szCs w:val="28"/>
                <w:lang w:val="uk-UA"/>
              </w:rPr>
              <w:t>звітного року або первісної вартості на дату початку нарахування амортизації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та річної норми  амортизації, </w:t>
            </w:r>
            <w:r w:rsidRPr="009D0945">
              <w:rPr>
                <w:rFonts w:eastAsia="Calibri"/>
                <w:sz w:val="28"/>
                <w:szCs w:val="28"/>
                <w:lang w:val="uk-UA"/>
              </w:rPr>
              <w:t xml:space="preserve">яка обчислюється, виходячи із строку корисного використання об'єкта, і </w:t>
            </w:r>
            <w:r>
              <w:rPr>
                <w:rFonts w:eastAsia="Calibri"/>
                <w:sz w:val="28"/>
                <w:szCs w:val="28"/>
                <w:lang w:val="uk-UA"/>
              </w:rPr>
              <w:t>подвоюється за методом: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</w:t>
            </w:r>
          </w:p>
        </w:tc>
        <w:tc>
          <w:tcPr>
            <w:tcW w:w="8887" w:type="dxa"/>
          </w:tcPr>
          <w:p w:rsidR="008E1AF7" w:rsidRPr="004D2A72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79FF">
              <w:rPr>
                <w:rFonts w:ascii="Times New Roman" w:eastAsia="TimesNewRoman" w:hAnsi="Times New Roman" w:cs="Times New Roman"/>
                <w:sz w:val="28"/>
                <w:szCs w:val="28"/>
              </w:rPr>
              <w:t>Ліміт залишку готівки встановлюється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8887" w:type="dxa"/>
          </w:tcPr>
          <w:p w:rsidR="008E1AF7" w:rsidRPr="00A079FF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79FF">
              <w:rPr>
                <w:rFonts w:ascii="Times New Roman" w:eastAsia="TimesNewRoman" w:hAnsi="Times New Roman" w:cs="Times New Roman"/>
                <w:sz w:val="28"/>
                <w:szCs w:val="28"/>
              </w:rPr>
              <w:t>Ліміт залишку готівки затверджується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8887" w:type="dxa"/>
          </w:tcPr>
          <w:p w:rsidR="008E1AF7" w:rsidRPr="00A079FF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eastAsia="TimesNewRoman" w:hAnsi="Times New Roman" w:cs="Times New Roman"/>
                <w:sz w:val="28"/>
                <w:szCs w:val="28"/>
              </w:rPr>
              <w:t>Ліміт залишку готівки визначається з урахуванням: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8887" w:type="dxa"/>
          </w:tcPr>
          <w:p w:rsidR="008E1AF7" w:rsidRPr="00986984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A3F1C">
              <w:rPr>
                <w:rFonts w:ascii="Times New Roman" w:eastAsia="TimesNewRoman" w:hAnsi="Times New Roman" w:cs="Times New Roman"/>
                <w:sz w:val="28"/>
                <w:szCs w:val="28"/>
              </w:rPr>
              <w:t>Понад установлений ліміт каси підприємства мають право зберігати у своїй касі готівку, одержану на: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8887" w:type="dxa"/>
          </w:tcPr>
          <w:p w:rsidR="008E1AF7" w:rsidRPr="008A3F1C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700A3">
              <w:rPr>
                <w:rFonts w:ascii="Times New Roman" w:eastAsia="TimesNewRoman" w:hAnsi="Times New Roman" w:cs="Times New Roman"/>
                <w:sz w:val="28"/>
                <w:szCs w:val="28"/>
              </w:rPr>
              <w:t>Оприбуткування грошових коштів в касу підприємства оформлюється: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8887" w:type="dxa"/>
          </w:tcPr>
          <w:p w:rsidR="008E1AF7" w:rsidRPr="004700A3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700A3">
              <w:rPr>
                <w:rFonts w:ascii="Times New Roman" w:eastAsia="TimesNewRoman" w:hAnsi="Times New Roman" w:cs="Times New Roman"/>
                <w:sz w:val="28"/>
                <w:szCs w:val="28"/>
              </w:rPr>
              <w:t>Звіт касира – це складова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8887" w:type="dxa"/>
          </w:tcPr>
          <w:p w:rsidR="008E1AF7" w:rsidRPr="00F24ECE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24ECE">
              <w:rPr>
                <w:rFonts w:ascii="Times New Roman" w:eastAsia="TimesNewRoman" w:hAnsi="Times New Roman" w:cs="Times New Roman"/>
                <w:sz w:val="28"/>
                <w:szCs w:val="28"/>
              </w:rPr>
              <w:t>Здавання готівкової виручки до банку самостійно оформлюється: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8887" w:type="dxa"/>
          </w:tcPr>
          <w:p w:rsidR="008E1AF7" w:rsidRPr="00F24ECE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24ECE">
              <w:rPr>
                <w:rFonts w:ascii="Times New Roman" w:eastAsia="TimesNewRoman" w:hAnsi="Times New Roman" w:cs="Times New Roman"/>
                <w:sz w:val="28"/>
                <w:szCs w:val="28"/>
              </w:rPr>
              <w:t>Здавання готівкової виручки до банку шляхом інкасації оформлюється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8887" w:type="dxa"/>
          </w:tcPr>
          <w:p w:rsidR="008E1AF7" w:rsidRPr="00F24ECE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64AC9">
              <w:rPr>
                <w:rFonts w:ascii="Times New Roman" w:eastAsia="TimesNewRoman" w:hAnsi="Times New Roman" w:cs="Times New Roman"/>
                <w:sz w:val="28"/>
                <w:szCs w:val="28"/>
              </w:rPr>
              <w:t>Касова книга ведеться: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8887" w:type="dxa"/>
          </w:tcPr>
          <w:p w:rsidR="008E1AF7" w:rsidRPr="00F64AC9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005D7">
              <w:rPr>
                <w:rFonts w:ascii="Times New Roman" w:eastAsia="TimesNewRoman" w:hAnsi="Times New Roman" w:cs="Times New Roman"/>
                <w:sz w:val="28"/>
                <w:szCs w:val="28"/>
              </w:rPr>
              <w:t>Одержання готівки з банки в касу для виплати заробітної плати відображається проводкою: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8887" w:type="dxa"/>
          </w:tcPr>
          <w:p w:rsidR="008E1AF7" w:rsidRPr="009005D7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005D7">
              <w:rPr>
                <w:rFonts w:ascii="Times New Roman" w:eastAsia="TimesNewRoman" w:hAnsi="Times New Roman" w:cs="Times New Roman"/>
                <w:sz w:val="28"/>
                <w:szCs w:val="28"/>
              </w:rPr>
              <w:t>Повернення з каси до банку коштів, не виданих як заробітна плата, відображається проводкою: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8887" w:type="dxa"/>
          </w:tcPr>
          <w:p w:rsidR="008E1AF7" w:rsidRPr="009005D7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43AD7">
              <w:rPr>
                <w:rFonts w:ascii="Times New Roman" w:eastAsia="TimesNewRoman" w:hAnsi="Times New Roman" w:cs="Times New Roman"/>
                <w:sz w:val="28"/>
                <w:szCs w:val="28"/>
              </w:rPr>
              <w:t>Для одержання готівки з банку касир повинен оформити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8887" w:type="dxa"/>
          </w:tcPr>
          <w:p w:rsidR="008E1AF7" w:rsidRPr="00A43AD7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43AD7">
              <w:rPr>
                <w:rFonts w:ascii="Times New Roman" w:eastAsia="TimesNewRoman" w:hAnsi="Times New Roman" w:cs="Times New Roman"/>
                <w:sz w:val="28"/>
                <w:szCs w:val="28"/>
              </w:rPr>
              <w:t>Платіжне доручення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8887" w:type="dxa"/>
          </w:tcPr>
          <w:p w:rsidR="008E1AF7" w:rsidRPr="00A43AD7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43AD7">
              <w:rPr>
                <w:rFonts w:ascii="Times New Roman" w:eastAsia="TimesNewRoman" w:hAnsi="Times New Roman" w:cs="Times New Roman"/>
                <w:sz w:val="28"/>
                <w:szCs w:val="28"/>
              </w:rPr>
              <w:t>Розрізняють такі види чеків: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8887" w:type="dxa"/>
          </w:tcPr>
          <w:p w:rsidR="008E1AF7" w:rsidRPr="00A43AD7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D1DA9">
              <w:rPr>
                <w:rFonts w:ascii="Times New Roman" w:eastAsia="TimesNewRoman" w:hAnsi="Times New Roman" w:cs="Times New Roman"/>
                <w:sz w:val="28"/>
                <w:szCs w:val="28"/>
              </w:rPr>
              <w:t>Форма розрахунків, за якою кредитна установа дає розпорядження іншій кредитній установі за рахунок спеціально заброньованих коштів оплатити товарно-транспортні документи на відвантажений товар чи виплатити пред’явникові зазначену суму коштів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8887" w:type="dxa"/>
          </w:tcPr>
          <w:p w:rsidR="008E1AF7" w:rsidRPr="008D1DA9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D1DA9">
              <w:rPr>
                <w:rFonts w:ascii="Times New Roman" w:eastAsia="TimesNewRoman" w:hAnsi="Times New Roman" w:cs="Times New Roman"/>
                <w:sz w:val="28"/>
                <w:szCs w:val="28"/>
              </w:rPr>
              <w:t>Надання позичальникові коштів шляхом кредитування банком його розрахункового рахунка – це: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8887" w:type="dxa"/>
          </w:tcPr>
          <w:p w:rsidR="008E1AF7" w:rsidRPr="008D1DA9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Перерахування коштів з поточного рахунку постачальникові за матеріали відображається проводкою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</w:t>
            </w:r>
          </w:p>
        </w:tc>
        <w:tc>
          <w:tcPr>
            <w:tcW w:w="8887" w:type="dxa"/>
          </w:tcPr>
          <w:p w:rsidR="008E1AF7" w:rsidRPr="00582C7F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Надходження коштів на поточний рахунок від покупця за товари відображається проводкою: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8887" w:type="dxa"/>
          </w:tcPr>
          <w:p w:rsidR="008E1AF7" w:rsidRPr="00582C7F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Оприбуткування марок, що були придбані підзвітною особою </w:t>
            </w: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відображається проводкою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150</w:t>
            </w:r>
          </w:p>
        </w:tc>
        <w:tc>
          <w:tcPr>
            <w:tcW w:w="8887" w:type="dxa"/>
          </w:tcPr>
          <w:p w:rsidR="008E1AF7" w:rsidRPr="00582C7F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Одержання короткострокової позики банку на поточний рахунок відображається проводкою: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8887" w:type="dxa"/>
          </w:tcPr>
          <w:p w:rsidR="008E1AF7" w:rsidRPr="00582C7F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До грошових документів належить: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8887" w:type="dxa"/>
          </w:tcPr>
          <w:p w:rsidR="008E1AF7" w:rsidRPr="00582C7F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З метою перерахування коштів з поточного рахунку постачальнику підприємство повинно подати до банку: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8887" w:type="dxa"/>
          </w:tcPr>
          <w:p w:rsidR="008E1AF7" w:rsidRPr="00582C7F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Списання поштових марок, використаних на ділову переписку підприємства, відображається проводкою: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8887" w:type="dxa"/>
          </w:tcPr>
          <w:p w:rsidR="008E1AF7" w:rsidRPr="00582C7F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F0480">
              <w:rPr>
                <w:rFonts w:ascii="Times New Roman" w:eastAsia="TimesNewRoman" w:hAnsi="Times New Roman" w:cs="Times New Roman"/>
                <w:sz w:val="28"/>
                <w:szCs w:val="28"/>
              </w:rPr>
              <w:t>Операція, на яку складена проводка Д 631 К 311, оформлюється документами: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8887" w:type="dxa"/>
          </w:tcPr>
          <w:p w:rsidR="008E1AF7" w:rsidRPr="002F0480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F0480">
              <w:rPr>
                <w:rFonts w:ascii="Times New Roman" w:eastAsia="TimesNewRoman" w:hAnsi="Times New Roman" w:cs="Times New Roman"/>
                <w:sz w:val="28"/>
                <w:szCs w:val="28"/>
              </w:rPr>
              <w:t>На рахунку 33 обліковуються: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8887" w:type="dxa"/>
          </w:tcPr>
          <w:p w:rsidR="008E1AF7" w:rsidRPr="002F0480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66BA1">
              <w:rPr>
                <w:rFonts w:ascii="Times New Roman" w:eastAsia="TimesNewRoman" w:hAnsi="Times New Roman" w:cs="Times New Roman"/>
                <w:sz w:val="28"/>
                <w:szCs w:val="28"/>
              </w:rPr>
              <w:t>Підприємство може відкривати в установах банків поточних рахунків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8887" w:type="dxa"/>
          </w:tcPr>
          <w:p w:rsidR="008E1AF7" w:rsidRPr="00B66BA1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>Актив, щодо якого існує ймовірність отримання підприємством майбутніх економічних вигод і може бути достовірно визначена сума одночасно з визнанням доходу від реалізації продукції, товарів, робіт і послуг: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8887" w:type="dxa"/>
          </w:tcPr>
          <w:p w:rsidR="008E1AF7" w:rsidRPr="00264B0D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Списана дебіторська заборгованість не менше п’яти років </w:t>
            </w:r>
          </w:p>
          <w:p w:rsidR="008E1AF7" w:rsidRPr="00264B0D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>повинна обліковуватися на рахунку: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</w:t>
            </w:r>
          </w:p>
        </w:tc>
        <w:tc>
          <w:tcPr>
            <w:tcW w:w="8887" w:type="dxa"/>
          </w:tcPr>
          <w:p w:rsidR="008E1AF7" w:rsidRPr="00264B0D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>Підприємством нараховано резерв сумнівних боргів на суму 5400 грн. Безнадійну заборгованість покупців за поточний місяць визнано у сумі 5000 грн. Списання безнадійної дебіторської заборгованості покупців відображається в обліку наступним чином:</w:t>
            </w:r>
          </w:p>
        </w:tc>
      </w:tr>
      <w:tr w:rsidR="008E1AF7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E1AF7" w:rsidRDefault="008E1AF7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8887" w:type="dxa"/>
          </w:tcPr>
          <w:p w:rsidR="008E1AF7" w:rsidRPr="00264B0D" w:rsidRDefault="008E1AF7" w:rsidP="00055D28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>Підприємство сплатило передоплату за товар у сумі 18 000,00 грн. (у т.ч. ПДВ). Яким чином відображити ПДВ при сплаті передоплати?</w:t>
            </w:r>
          </w:p>
        </w:tc>
      </w:tr>
    </w:tbl>
    <w:p w:rsidR="006A771C" w:rsidRPr="00FA049E" w:rsidRDefault="006A771C" w:rsidP="00FB37B3">
      <w:pPr>
        <w:pStyle w:val="HTML"/>
        <w:spacing w:line="312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sectPr w:rsidR="006A771C" w:rsidRPr="00FA049E" w:rsidSect="007C0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46CE"/>
    <w:multiLevelType w:val="hybridMultilevel"/>
    <w:tmpl w:val="6E44AD7C"/>
    <w:lvl w:ilvl="0" w:tplc="121C08C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66762B"/>
    <w:multiLevelType w:val="hybridMultilevel"/>
    <w:tmpl w:val="5CFEE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564E94"/>
    <w:multiLevelType w:val="hybridMultilevel"/>
    <w:tmpl w:val="82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46CC"/>
    <w:multiLevelType w:val="hybridMultilevel"/>
    <w:tmpl w:val="A5508060"/>
    <w:lvl w:ilvl="0" w:tplc="9D125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3C0333"/>
    <w:multiLevelType w:val="hybridMultilevel"/>
    <w:tmpl w:val="6F64ED7A"/>
    <w:lvl w:ilvl="0" w:tplc="50204BB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0B46"/>
    <w:rsid w:val="000041EE"/>
    <w:rsid w:val="00007E41"/>
    <w:rsid w:val="00010F80"/>
    <w:rsid w:val="00013A2D"/>
    <w:rsid w:val="00014687"/>
    <w:rsid w:val="00020797"/>
    <w:rsid w:val="00020F79"/>
    <w:rsid w:val="000259C9"/>
    <w:rsid w:val="0002794C"/>
    <w:rsid w:val="00032DF3"/>
    <w:rsid w:val="000366F2"/>
    <w:rsid w:val="0003725A"/>
    <w:rsid w:val="00040F09"/>
    <w:rsid w:val="00042010"/>
    <w:rsid w:val="0004316F"/>
    <w:rsid w:val="00045A57"/>
    <w:rsid w:val="00050D32"/>
    <w:rsid w:val="000517F3"/>
    <w:rsid w:val="00056B84"/>
    <w:rsid w:val="00065C89"/>
    <w:rsid w:val="00074228"/>
    <w:rsid w:val="000801A2"/>
    <w:rsid w:val="00082EEE"/>
    <w:rsid w:val="00085EEB"/>
    <w:rsid w:val="00086ADA"/>
    <w:rsid w:val="00093AEC"/>
    <w:rsid w:val="00096D3E"/>
    <w:rsid w:val="000A4ADB"/>
    <w:rsid w:val="000A57FD"/>
    <w:rsid w:val="000A717D"/>
    <w:rsid w:val="000A7459"/>
    <w:rsid w:val="000B5022"/>
    <w:rsid w:val="000C24CA"/>
    <w:rsid w:val="000D05A3"/>
    <w:rsid w:val="000D0FA9"/>
    <w:rsid w:val="000D41B0"/>
    <w:rsid w:val="000D64C6"/>
    <w:rsid w:val="000E3CB6"/>
    <w:rsid w:val="000E4F3E"/>
    <w:rsid w:val="000E58E5"/>
    <w:rsid w:val="000F0B46"/>
    <w:rsid w:val="00110983"/>
    <w:rsid w:val="001218E7"/>
    <w:rsid w:val="001325DB"/>
    <w:rsid w:val="00134636"/>
    <w:rsid w:val="00147FC3"/>
    <w:rsid w:val="001500DC"/>
    <w:rsid w:val="00150B2F"/>
    <w:rsid w:val="00156BBF"/>
    <w:rsid w:val="00156EE6"/>
    <w:rsid w:val="00157179"/>
    <w:rsid w:val="00163FA8"/>
    <w:rsid w:val="00167197"/>
    <w:rsid w:val="00174C53"/>
    <w:rsid w:val="00174E7D"/>
    <w:rsid w:val="00180EE0"/>
    <w:rsid w:val="001819E2"/>
    <w:rsid w:val="00181B75"/>
    <w:rsid w:val="00182185"/>
    <w:rsid w:val="00184F84"/>
    <w:rsid w:val="001939B8"/>
    <w:rsid w:val="00195097"/>
    <w:rsid w:val="00196473"/>
    <w:rsid w:val="001A241B"/>
    <w:rsid w:val="001A38B6"/>
    <w:rsid w:val="001B2F0F"/>
    <w:rsid w:val="001B3FB3"/>
    <w:rsid w:val="001B5BAA"/>
    <w:rsid w:val="001B7091"/>
    <w:rsid w:val="001B7B68"/>
    <w:rsid w:val="001C5C8E"/>
    <w:rsid w:val="001D4330"/>
    <w:rsid w:val="001D597B"/>
    <w:rsid w:val="001E05AF"/>
    <w:rsid w:val="001E3889"/>
    <w:rsid w:val="001F731C"/>
    <w:rsid w:val="001F77FF"/>
    <w:rsid w:val="001F7E57"/>
    <w:rsid w:val="002065DE"/>
    <w:rsid w:val="002209E0"/>
    <w:rsid w:val="00222687"/>
    <w:rsid w:val="00227AED"/>
    <w:rsid w:val="002573C5"/>
    <w:rsid w:val="002630C4"/>
    <w:rsid w:val="0026779F"/>
    <w:rsid w:val="002734FB"/>
    <w:rsid w:val="00285701"/>
    <w:rsid w:val="002A13F0"/>
    <w:rsid w:val="002B0736"/>
    <w:rsid w:val="002B2044"/>
    <w:rsid w:val="002C08A3"/>
    <w:rsid w:val="002C677A"/>
    <w:rsid w:val="002D28FD"/>
    <w:rsid w:val="002D3099"/>
    <w:rsid w:val="002D7BE9"/>
    <w:rsid w:val="002D7F05"/>
    <w:rsid w:val="002E0FA7"/>
    <w:rsid w:val="002E110A"/>
    <w:rsid w:val="002E24CA"/>
    <w:rsid w:val="002E3CDC"/>
    <w:rsid w:val="002E5057"/>
    <w:rsid w:val="002F1669"/>
    <w:rsid w:val="002F7189"/>
    <w:rsid w:val="00300EFA"/>
    <w:rsid w:val="003047FD"/>
    <w:rsid w:val="00305172"/>
    <w:rsid w:val="00305282"/>
    <w:rsid w:val="00305F4D"/>
    <w:rsid w:val="003061A0"/>
    <w:rsid w:val="003158BE"/>
    <w:rsid w:val="00317B27"/>
    <w:rsid w:val="0032015E"/>
    <w:rsid w:val="00322196"/>
    <w:rsid w:val="00326A65"/>
    <w:rsid w:val="00326F36"/>
    <w:rsid w:val="00334C71"/>
    <w:rsid w:val="00337752"/>
    <w:rsid w:val="0034225B"/>
    <w:rsid w:val="00342994"/>
    <w:rsid w:val="003432B4"/>
    <w:rsid w:val="003456A9"/>
    <w:rsid w:val="00346C3D"/>
    <w:rsid w:val="003566AB"/>
    <w:rsid w:val="003625F1"/>
    <w:rsid w:val="00372A0C"/>
    <w:rsid w:val="00394422"/>
    <w:rsid w:val="00395D2E"/>
    <w:rsid w:val="003B07A0"/>
    <w:rsid w:val="003B15E2"/>
    <w:rsid w:val="003C0963"/>
    <w:rsid w:val="003C1BD8"/>
    <w:rsid w:val="003C321D"/>
    <w:rsid w:val="003C7260"/>
    <w:rsid w:val="003D284C"/>
    <w:rsid w:val="003D2938"/>
    <w:rsid w:val="003D2976"/>
    <w:rsid w:val="003D5A22"/>
    <w:rsid w:val="003D6E98"/>
    <w:rsid w:val="003E790F"/>
    <w:rsid w:val="003F0820"/>
    <w:rsid w:val="003F19F0"/>
    <w:rsid w:val="003F7783"/>
    <w:rsid w:val="00402120"/>
    <w:rsid w:val="00403535"/>
    <w:rsid w:val="00406859"/>
    <w:rsid w:val="00410346"/>
    <w:rsid w:val="00412F41"/>
    <w:rsid w:val="004144B4"/>
    <w:rsid w:val="00416980"/>
    <w:rsid w:val="00425657"/>
    <w:rsid w:val="004256C6"/>
    <w:rsid w:val="00426D0E"/>
    <w:rsid w:val="0043294B"/>
    <w:rsid w:val="0044105C"/>
    <w:rsid w:val="004454F7"/>
    <w:rsid w:val="00447775"/>
    <w:rsid w:val="004647FD"/>
    <w:rsid w:val="00465A6D"/>
    <w:rsid w:val="004710F7"/>
    <w:rsid w:val="0047116A"/>
    <w:rsid w:val="00472ED7"/>
    <w:rsid w:val="00492D1E"/>
    <w:rsid w:val="0049406F"/>
    <w:rsid w:val="00494F81"/>
    <w:rsid w:val="004979FA"/>
    <w:rsid w:val="004A10F4"/>
    <w:rsid w:val="004A2029"/>
    <w:rsid w:val="004A3C77"/>
    <w:rsid w:val="004A3F4D"/>
    <w:rsid w:val="004C14A3"/>
    <w:rsid w:val="004C4C1D"/>
    <w:rsid w:val="004C63A9"/>
    <w:rsid w:val="004D19C5"/>
    <w:rsid w:val="004D2CAF"/>
    <w:rsid w:val="004D7D1D"/>
    <w:rsid w:val="004E077E"/>
    <w:rsid w:val="004E5132"/>
    <w:rsid w:val="004E7B3B"/>
    <w:rsid w:val="004F01E0"/>
    <w:rsid w:val="004F178A"/>
    <w:rsid w:val="004F6E6A"/>
    <w:rsid w:val="00510891"/>
    <w:rsid w:val="00526CA9"/>
    <w:rsid w:val="00533FC4"/>
    <w:rsid w:val="00540668"/>
    <w:rsid w:val="00541A4F"/>
    <w:rsid w:val="0054532A"/>
    <w:rsid w:val="0055281A"/>
    <w:rsid w:val="005574DE"/>
    <w:rsid w:val="00557DEF"/>
    <w:rsid w:val="00562759"/>
    <w:rsid w:val="005665DE"/>
    <w:rsid w:val="00570A0C"/>
    <w:rsid w:val="005716A5"/>
    <w:rsid w:val="0057746F"/>
    <w:rsid w:val="00577A35"/>
    <w:rsid w:val="0058468B"/>
    <w:rsid w:val="00590CED"/>
    <w:rsid w:val="0059249C"/>
    <w:rsid w:val="00597007"/>
    <w:rsid w:val="00597798"/>
    <w:rsid w:val="005B0915"/>
    <w:rsid w:val="005B7D32"/>
    <w:rsid w:val="005C4CCC"/>
    <w:rsid w:val="005C6E60"/>
    <w:rsid w:val="005D1301"/>
    <w:rsid w:val="005D3EF7"/>
    <w:rsid w:val="005D69F7"/>
    <w:rsid w:val="005E2CC4"/>
    <w:rsid w:val="005E55A5"/>
    <w:rsid w:val="005F15CD"/>
    <w:rsid w:val="005F1A94"/>
    <w:rsid w:val="005F5FD1"/>
    <w:rsid w:val="006000D3"/>
    <w:rsid w:val="00614A99"/>
    <w:rsid w:val="00621431"/>
    <w:rsid w:val="006214D6"/>
    <w:rsid w:val="006225E7"/>
    <w:rsid w:val="00623D94"/>
    <w:rsid w:val="00624190"/>
    <w:rsid w:val="00631B89"/>
    <w:rsid w:val="00632351"/>
    <w:rsid w:val="00633BC3"/>
    <w:rsid w:val="0063642C"/>
    <w:rsid w:val="00640444"/>
    <w:rsid w:val="0064267F"/>
    <w:rsid w:val="0064798B"/>
    <w:rsid w:val="00647A1F"/>
    <w:rsid w:val="00650CA0"/>
    <w:rsid w:val="00657AB4"/>
    <w:rsid w:val="0066002C"/>
    <w:rsid w:val="006604A8"/>
    <w:rsid w:val="00662EA7"/>
    <w:rsid w:val="0067604C"/>
    <w:rsid w:val="00682026"/>
    <w:rsid w:val="00683A1C"/>
    <w:rsid w:val="00697CB5"/>
    <w:rsid w:val="006A4A56"/>
    <w:rsid w:val="006A771C"/>
    <w:rsid w:val="006B34D1"/>
    <w:rsid w:val="006B383F"/>
    <w:rsid w:val="006B7799"/>
    <w:rsid w:val="006C2437"/>
    <w:rsid w:val="006D4F86"/>
    <w:rsid w:val="006F1875"/>
    <w:rsid w:val="006F5A2D"/>
    <w:rsid w:val="007135FB"/>
    <w:rsid w:val="00717A13"/>
    <w:rsid w:val="00723DEA"/>
    <w:rsid w:val="007327C4"/>
    <w:rsid w:val="00741226"/>
    <w:rsid w:val="007578EC"/>
    <w:rsid w:val="007615EF"/>
    <w:rsid w:val="007773AF"/>
    <w:rsid w:val="00790C11"/>
    <w:rsid w:val="007A1066"/>
    <w:rsid w:val="007B4A7F"/>
    <w:rsid w:val="007C0ECB"/>
    <w:rsid w:val="007C2A50"/>
    <w:rsid w:val="007C7DF0"/>
    <w:rsid w:val="007D340D"/>
    <w:rsid w:val="007D687C"/>
    <w:rsid w:val="007F19B5"/>
    <w:rsid w:val="00803D8E"/>
    <w:rsid w:val="00805DD5"/>
    <w:rsid w:val="00807691"/>
    <w:rsid w:val="00815F9F"/>
    <w:rsid w:val="00820CD6"/>
    <w:rsid w:val="00823562"/>
    <w:rsid w:val="00824CF3"/>
    <w:rsid w:val="0082709B"/>
    <w:rsid w:val="00850A44"/>
    <w:rsid w:val="00851B76"/>
    <w:rsid w:val="00857195"/>
    <w:rsid w:val="00863A0D"/>
    <w:rsid w:val="00871889"/>
    <w:rsid w:val="008735F0"/>
    <w:rsid w:val="008764CA"/>
    <w:rsid w:val="00887FBF"/>
    <w:rsid w:val="00895600"/>
    <w:rsid w:val="008A38F9"/>
    <w:rsid w:val="008A585E"/>
    <w:rsid w:val="008B3B0E"/>
    <w:rsid w:val="008B5BA2"/>
    <w:rsid w:val="008C1756"/>
    <w:rsid w:val="008C1BE4"/>
    <w:rsid w:val="008C24C1"/>
    <w:rsid w:val="008C4204"/>
    <w:rsid w:val="008C50A3"/>
    <w:rsid w:val="008D1963"/>
    <w:rsid w:val="008D2B20"/>
    <w:rsid w:val="008D56E5"/>
    <w:rsid w:val="008D5C66"/>
    <w:rsid w:val="008D61E1"/>
    <w:rsid w:val="008E1AF7"/>
    <w:rsid w:val="008E2236"/>
    <w:rsid w:val="008E48F1"/>
    <w:rsid w:val="008E70AF"/>
    <w:rsid w:val="009042F8"/>
    <w:rsid w:val="0090674C"/>
    <w:rsid w:val="009118C7"/>
    <w:rsid w:val="0091433C"/>
    <w:rsid w:val="00923B36"/>
    <w:rsid w:val="009269EB"/>
    <w:rsid w:val="009302E5"/>
    <w:rsid w:val="00935136"/>
    <w:rsid w:val="00943F2E"/>
    <w:rsid w:val="009523BF"/>
    <w:rsid w:val="009606E1"/>
    <w:rsid w:val="00960EC2"/>
    <w:rsid w:val="00965BCB"/>
    <w:rsid w:val="00973AF6"/>
    <w:rsid w:val="00982221"/>
    <w:rsid w:val="009860BA"/>
    <w:rsid w:val="00987B30"/>
    <w:rsid w:val="0099131D"/>
    <w:rsid w:val="00992929"/>
    <w:rsid w:val="0099775E"/>
    <w:rsid w:val="00997AED"/>
    <w:rsid w:val="009A1B6B"/>
    <w:rsid w:val="009A21A8"/>
    <w:rsid w:val="009A799A"/>
    <w:rsid w:val="009B1348"/>
    <w:rsid w:val="009C1126"/>
    <w:rsid w:val="009C3FCC"/>
    <w:rsid w:val="009D0D90"/>
    <w:rsid w:val="009D1BD3"/>
    <w:rsid w:val="009D2805"/>
    <w:rsid w:val="009E7C3B"/>
    <w:rsid w:val="009F4A0E"/>
    <w:rsid w:val="00A016AA"/>
    <w:rsid w:val="00A04013"/>
    <w:rsid w:val="00A144ED"/>
    <w:rsid w:val="00A33003"/>
    <w:rsid w:val="00A35737"/>
    <w:rsid w:val="00A414A2"/>
    <w:rsid w:val="00A44A42"/>
    <w:rsid w:val="00A5695C"/>
    <w:rsid w:val="00A57399"/>
    <w:rsid w:val="00A61588"/>
    <w:rsid w:val="00A62B8F"/>
    <w:rsid w:val="00A65EB5"/>
    <w:rsid w:val="00A66D5B"/>
    <w:rsid w:val="00A67477"/>
    <w:rsid w:val="00A747DE"/>
    <w:rsid w:val="00A76769"/>
    <w:rsid w:val="00A818CD"/>
    <w:rsid w:val="00A830A6"/>
    <w:rsid w:val="00AA05C2"/>
    <w:rsid w:val="00AA2DFB"/>
    <w:rsid w:val="00AA43BC"/>
    <w:rsid w:val="00AC3D22"/>
    <w:rsid w:val="00AC7364"/>
    <w:rsid w:val="00AD007C"/>
    <w:rsid w:val="00AD040C"/>
    <w:rsid w:val="00AF5BD1"/>
    <w:rsid w:val="00B014A7"/>
    <w:rsid w:val="00B055A6"/>
    <w:rsid w:val="00B07E78"/>
    <w:rsid w:val="00B12F22"/>
    <w:rsid w:val="00B137F4"/>
    <w:rsid w:val="00B145F2"/>
    <w:rsid w:val="00B20269"/>
    <w:rsid w:val="00B2040A"/>
    <w:rsid w:val="00B233C6"/>
    <w:rsid w:val="00B24511"/>
    <w:rsid w:val="00B335FD"/>
    <w:rsid w:val="00B37D19"/>
    <w:rsid w:val="00B53ED8"/>
    <w:rsid w:val="00B5529A"/>
    <w:rsid w:val="00B606F0"/>
    <w:rsid w:val="00B61764"/>
    <w:rsid w:val="00B6444D"/>
    <w:rsid w:val="00B664B4"/>
    <w:rsid w:val="00B86AD9"/>
    <w:rsid w:val="00B9321F"/>
    <w:rsid w:val="00BA1008"/>
    <w:rsid w:val="00BA39BD"/>
    <w:rsid w:val="00BA47AC"/>
    <w:rsid w:val="00BA6960"/>
    <w:rsid w:val="00BB5EF1"/>
    <w:rsid w:val="00BC0D76"/>
    <w:rsid w:val="00BC17C1"/>
    <w:rsid w:val="00BD06F7"/>
    <w:rsid w:val="00BD3795"/>
    <w:rsid w:val="00BD6F72"/>
    <w:rsid w:val="00BE138C"/>
    <w:rsid w:val="00BF79F9"/>
    <w:rsid w:val="00C02FDC"/>
    <w:rsid w:val="00C15118"/>
    <w:rsid w:val="00C27610"/>
    <w:rsid w:val="00C32A53"/>
    <w:rsid w:val="00C359CE"/>
    <w:rsid w:val="00C5013F"/>
    <w:rsid w:val="00C57AE0"/>
    <w:rsid w:val="00C61CA7"/>
    <w:rsid w:val="00C6414E"/>
    <w:rsid w:val="00C655F8"/>
    <w:rsid w:val="00C659FE"/>
    <w:rsid w:val="00C67578"/>
    <w:rsid w:val="00C8025B"/>
    <w:rsid w:val="00C869CB"/>
    <w:rsid w:val="00CA06F8"/>
    <w:rsid w:val="00CA2B20"/>
    <w:rsid w:val="00CA2BDF"/>
    <w:rsid w:val="00CA4C27"/>
    <w:rsid w:val="00CB2A51"/>
    <w:rsid w:val="00CB47C5"/>
    <w:rsid w:val="00CB58D9"/>
    <w:rsid w:val="00CC013E"/>
    <w:rsid w:val="00CC7CCD"/>
    <w:rsid w:val="00CD27D9"/>
    <w:rsid w:val="00CE63A5"/>
    <w:rsid w:val="00CF2F0E"/>
    <w:rsid w:val="00CF41F6"/>
    <w:rsid w:val="00D01B1B"/>
    <w:rsid w:val="00D02FDF"/>
    <w:rsid w:val="00D13512"/>
    <w:rsid w:val="00D13859"/>
    <w:rsid w:val="00D14269"/>
    <w:rsid w:val="00D14353"/>
    <w:rsid w:val="00D200DC"/>
    <w:rsid w:val="00D22D2F"/>
    <w:rsid w:val="00D25254"/>
    <w:rsid w:val="00D34642"/>
    <w:rsid w:val="00D454B0"/>
    <w:rsid w:val="00D45557"/>
    <w:rsid w:val="00D46DAA"/>
    <w:rsid w:val="00D47954"/>
    <w:rsid w:val="00D51D8D"/>
    <w:rsid w:val="00D52283"/>
    <w:rsid w:val="00D55BBE"/>
    <w:rsid w:val="00D57861"/>
    <w:rsid w:val="00D65F53"/>
    <w:rsid w:val="00D679F3"/>
    <w:rsid w:val="00D70980"/>
    <w:rsid w:val="00D7465F"/>
    <w:rsid w:val="00D760D1"/>
    <w:rsid w:val="00D83E18"/>
    <w:rsid w:val="00D8591B"/>
    <w:rsid w:val="00D922D8"/>
    <w:rsid w:val="00DA0EA6"/>
    <w:rsid w:val="00DB428B"/>
    <w:rsid w:val="00DB6FEF"/>
    <w:rsid w:val="00DB7291"/>
    <w:rsid w:val="00DD2B71"/>
    <w:rsid w:val="00DD3D68"/>
    <w:rsid w:val="00DD42B3"/>
    <w:rsid w:val="00DE0A0E"/>
    <w:rsid w:val="00DE77E9"/>
    <w:rsid w:val="00DF1C6E"/>
    <w:rsid w:val="00DF300B"/>
    <w:rsid w:val="00E000DF"/>
    <w:rsid w:val="00E029E8"/>
    <w:rsid w:val="00E06793"/>
    <w:rsid w:val="00E07DE1"/>
    <w:rsid w:val="00E13114"/>
    <w:rsid w:val="00E24217"/>
    <w:rsid w:val="00E303CF"/>
    <w:rsid w:val="00E320A1"/>
    <w:rsid w:val="00E328BA"/>
    <w:rsid w:val="00E37E47"/>
    <w:rsid w:val="00E4048C"/>
    <w:rsid w:val="00E41606"/>
    <w:rsid w:val="00E422DB"/>
    <w:rsid w:val="00E43610"/>
    <w:rsid w:val="00E44516"/>
    <w:rsid w:val="00E46148"/>
    <w:rsid w:val="00E562D7"/>
    <w:rsid w:val="00E57D25"/>
    <w:rsid w:val="00E72B9C"/>
    <w:rsid w:val="00E771E3"/>
    <w:rsid w:val="00E80490"/>
    <w:rsid w:val="00E821D1"/>
    <w:rsid w:val="00E86A08"/>
    <w:rsid w:val="00EA60ED"/>
    <w:rsid w:val="00EB1DAF"/>
    <w:rsid w:val="00EB3574"/>
    <w:rsid w:val="00EB4DC0"/>
    <w:rsid w:val="00EC1AA9"/>
    <w:rsid w:val="00EC4D64"/>
    <w:rsid w:val="00EC652C"/>
    <w:rsid w:val="00ED16E7"/>
    <w:rsid w:val="00ED4C9E"/>
    <w:rsid w:val="00ED7A8E"/>
    <w:rsid w:val="00EE18B4"/>
    <w:rsid w:val="00EF1AE7"/>
    <w:rsid w:val="00EF7096"/>
    <w:rsid w:val="00F01E90"/>
    <w:rsid w:val="00F12664"/>
    <w:rsid w:val="00F161A4"/>
    <w:rsid w:val="00F21306"/>
    <w:rsid w:val="00F229DB"/>
    <w:rsid w:val="00F338B2"/>
    <w:rsid w:val="00F33D5F"/>
    <w:rsid w:val="00F3625A"/>
    <w:rsid w:val="00F51E9F"/>
    <w:rsid w:val="00F638AB"/>
    <w:rsid w:val="00F64ED4"/>
    <w:rsid w:val="00F75BA8"/>
    <w:rsid w:val="00F82DA5"/>
    <w:rsid w:val="00F85DE8"/>
    <w:rsid w:val="00F86EED"/>
    <w:rsid w:val="00F934CD"/>
    <w:rsid w:val="00FA049E"/>
    <w:rsid w:val="00FA08C5"/>
    <w:rsid w:val="00FA2C14"/>
    <w:rsid w:val="00FB0A0C"/>
    <w:rsid w:val="00FB37B3"/>
    <w:rsid w:val="00FB66D1"/>
    <w:rsid w:val="00FC33D2"/>
    <w:rsid w:val="00FD0031"/>
    <w:rsid w:val="00FD0F81"/>
    <w:rsid w:val="00FD24EC"/>
    <w:rsid w:val="00FD77C4"/>
    <w:rsid w:val="00FE4032"/>
    <w:rsid w:val="00FE46F9"/>
    <w:rsid w:val="00FE5755"/>
    <w:rsid w:val="00FE67CE"/>
    <w:rsid w:val="00FF49F6"/>
    <w:rsid w:val="00FF5F82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B"/>
  </w:style>
  <w:style w:type="paragraph" w:styleId="3">
    <w:name w:val="heading 3"/>
    <w:basedOn w:val="a"/>
    <w:link w:val="30"/>
    <w:uiPriority w:val="9"/>
    <w:qFormat/>
    <w:rsid w:val="008C5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customStyle="1" w:styleId="1">
    <w:name w:val="Стиль1"/>
    <w:basedOn w:val="a5"/>
    <w:rsid w:val="00CB5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CB58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58D9"/>
  </w:style>
  <w:style w:type="paragraph" w:styleId="2">
    <w:name w:val="Body Text Indent 2"/>
    <w:basedOn w:val="a"/>
    <w:link w:val="20"/>
    <w:uiPriority w:val="99"/>
    <w:rsid w:val="00FD24EC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4EC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F126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664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2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18E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18E7"/>
    <w:rPr>
      <w:color w:val="0000FF"/>
      <w:u w:val="single"/>
    </w:rPr>
  </w:style>
  <w:style w:type="character" w:customStyle="1" w:styleId="highlightselected">
    <w:name w:val="highlight selected"/>
    <w:basedOn w:val="a0"/>
    <w:rsid w:val="002C677A"/>
  </w:style>
  <w:style w:type="character" w:styleId="a8">
    <w:name w:val="Emphasis"/>
    <w:basedOn w:val="a0"/>
    <w:uiPriority w:val="20"/>
    <w:qFormat/>
    <w:rsid w:val="002C677A"/>
    <w:rPr>
      <w:i/>
      <w:iCs/>
    </w:rPr>
  </w:style>
  <w:style w:type="paragraph" w:styleId="a9">
    <w:name w:val="Normal (Web)"/>
    <w:basedOn w:val="a"/>
    <w:uiPriority w:val="99"/>
    <w:unhideWhenUsed/>
    <w:rsid w:val="007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2709B"/>
  </w:style>
  <w:style w:type="character" w:styleId="aa">
    <w:name w:val="Strong"/>
    <w:basedOn w:val="a0"/>
    <w:uiPriority w:val="22"/>
    <w:qFormat/>
    <w:rsid w:val="0082709B"/>
    <w:rPr>
      <w:b/>
      <w:bCs/>
    </w:rPr>
  </w:style>
  <w:style w:type="paragraph" w:customStyle="1" w:styleId="fix">
    <w:name w:val="fix"/>
    <w:basedOn w:val="a"/>
    <w:rsid w:val="0082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50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2DA9-3EE0-4ECC-8DBF-3784272C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Юра</cp:lastModifiedBy>
  <cp:revision>3</cp:revision>
  <cp:lastPrinted>2019-09-04T12:38:00Z</cp:lastPrinted>
  <dcterms:created xsi:type="dcterms:W3CDTF">2020-11-03T09:16:00Z</dcterms:created>
  <dcterms:modified xsi:type="dcterms:W3CDTF">2020-11-03T09:17:00Z</dcterms:modified>
</cp:coreProperties>
</file>