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FA049E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«О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рганізація обліку»</w:t>
            </w:r>
          </w:p>
          <w:p w:rsidR="00A33003" w:rsidRDefault="00A3300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спеціальністю 071 «Облік і оподаткування»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51" w:rsidRPr="00CB2A51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CB2A51" w:rsidRPr="00CB2A51" w:rsidRDefault="00CB2A5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r w:rsidR="00662EA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887" w:type="dxa"/>
            <w:vAlign w:val="center"/>
          </w:tcPr>
          <w:p w:rsidR="00CB2A51" w:rsidRPr="00CB2A51" w:rsidRDefault="00CB2A51" w:rsidP="00CB2A51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</w:rPr>
              <w:t>Зміст питання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Принципи бухгалтерського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Відповідальність за організацію бухгалтерського обліку несе: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Об’єктом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складається з таких взаємопов'язаних напрямів: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Технічний напрям організації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 організацію бухгалтерського обліку не впливає: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Вибір форми ведення бухгалтерського обліку належить до такого напряму організації обліку, як: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залежить від: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знаходиться в компетенції: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Раціональна організація бухгалтерського обліку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Першим етапом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Найпоширенішою формою організації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НП(С)БО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фінансової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 w:rsidRPr="00EE541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автономності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послідовності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безперервності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єдиного грошового вимірника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превалювання сутності над формою  передбачає: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Мікропідприємствами найчастіше використовується форма організації бухгалтерського обліку – ведення обліку: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Недоліком форми організації бухгалтерського обліку спеціалістом, зареєстрованим як підприємець,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Перевагою ведення бухгалтерського обліку аудиторською фірмою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ведення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Суб’єктами нормативного регулювання бухгалтерського обліку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В бюджетних установах бухгалтерський облік ведеться: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Загальні принципи формування, склад і структура бухгалтерської звітності визначено документом: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формування та розробку облікової політики покладається на: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– це: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Необхідність визначення облікової політики підприємства пов’язане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Оформлення внутрішнього нормативного документа підприємства щодо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підприємства оформляється: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Документ з облікової політики підприємства може мати наступні розділи: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Положення про облікову політику підприємства набирає юридичної сили з: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документі з облікової політики підприємства має бути передбачено: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«Методика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«Техніка ведення бухгалтерського обліку»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У розділі «Організація роботи облікового персоналу» Положення про облікову політику зазначається: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Облікова політика підпр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иємства може змінюватись, якщо: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Зміни облікової політики підприємства повинні бути обґрунтовані та розкриті в: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В ознайомленні з обліковою політикою підприємства можуть бути зацікавлені наступні категорії користувачів інформації: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Порядок захисту відомостей, які складають конфіденційну інформацію і комерційну таємницю підприємства,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Оцінка запасів і готової продукції, списання витрат майбутніх періодів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Форма організації бухгалтерського обліку; організація роботи бухгалтерської служби розкривається у наступному розділі документа з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9F4A0E" w:rsidRPr="00EE541E" w:rsidRDefault="009F4A0E" w:rsidP="009F4A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Елементом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Об’єктом облікової політики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Суб’єктами розробки облікової політики підприємства можуть бути: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До найвпливовіших зовнішніх факторів, які впливають на формування облікової політики належать: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Принципом бухгалтерського обліку, відповідно до якого передбачено постійне (з року в рік) застосування обраної облікової політики підприємством є: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реалізація облікової політики можлива на таких </w:t>
            </w:r>
            <w:r w:rsidRPr="00EE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основних рівнях: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1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 державному рівні встановлюються такі положення облікової політики: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Які із зазначених нормативних актів не мають впливу на формування облікової політики підприємства: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Підприємство повинно висвітлювати обрану облікову політику шляхом: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Обов'язковою для розкриття у обліковій політиці підприємства є така інформація про основні засоби: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На рівні облікової політики підприємства розробляється: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Облікова політика підприємства повинна залишатися незмінною протягом: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 xml:space="preserve">Для розкриття особливостей обліку запасів, у обліковій політиці підприємства зазначається інформація про: </w:t>
            </w:r>
          </w:p>
        </w:tc>
      </w:tr>
      <w:tr w:rsidR="009F4A0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9F4A0E" w:rsidRDefault="009F4A0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9F4A0E" w:rsidRPr="00EE541E" w:rsidRDefault="009F4A0E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hAnsi="Times New Roman" w:cs="Times New Roman"/>
                <w:sz w:val="28"/>
                <w:szCs w:val="28"/>
              </w:rPr>
              <w:t>Методологічне керівництво бухгалтерським обліком та звітністю в Україні здійснює: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7327C4" w:rsidRPr="00EE541E" w:rsidRDefault="007327C4" w:rsidP="00C741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Розробка форм облікових регістрів відноситься до: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Вибір форми ведення бухгалтерського обліку зазначається 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Господарські операції повинні відображатися в регістрах бухгалтерського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Принцип поділу синтетичного обліку на хронологічний та систематичний застосовується в наступній формі ведення обліку: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Спрощена форма обліку може використовуватись: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Ведення бухгалтерського обліку за допомогою комп’ютера дає можливість: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Основні відмінності між журнальною формою обліку і комп’ютерною полягають 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Робочий план рахунків підприємства: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7327C4" w:rsidRPr="007B694F" w:rsidRDefault="007327C4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4F">
              <w:rPr>
                <w:rFonts w:ascii="Times New Roman" w:hAnsi="Times New Roman" w:cs="Times New Roman"/>
                <w:sz w:val="28"/>
                <w:szCs w:val="28"/>
              </w:rPr>
              <w:t>На робочий план рахунків не впливає: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паперових форм ведення бухгалтерського обліку належать: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форми ведення бухгалтерського обліку відносять: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облікового процесу за технологічною послідовністю оброблення облікової інформації передбачає поділ обліку на: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На етапі систематизації облікових даних використовують наступні види носіїв: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облікових регістрів відносяться: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ґрунтується на застосуванні журналів-ордерів, де збираються і систематизуються дані первинних документів: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обліку, що передбачає використання Журналу обліку господарських операцій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Один з елементів облікової політики підприємства, в якому передбачаються синтетичні та аналітичні рахунки бухгалтерського обліку підприємства,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облікових регістрів, які використовуються у певній послідовності та взаємодії для ведення обліку, має назву: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Процес обробки отриманих інформаційних даних про факти господарського життя підприємства і узагальнення отриманих результатів у вигляді звітної інформації називається: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Обліковий процес як технологічна сукупність складається з наступних етапів: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етапі підсумкового обліку використовують наступні види носіїв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7327C4" w:rsidRPr="00CD4D97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ведення бухгалтерського обліку має відповідати наступним вимогам: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7327C4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685">
              <w:rPr>
                <w:rFonts w:ascii="Times New Roman" w:eastAsia="Calibri" w:hAnsi="Times New Roman" w:cs="Times New Roman"/>
                <w:sz w:val="28"/>
                <w:szCs w:val="28"/>
              </w:rPr>
              <w:t>Регістри бухгалтерського обліку повинні мати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327C4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327C4" w:rsidRDefault="007327C4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7327C4" w:rsidRPr="0061131C" w:rsidRDefault="007327C4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Відповідальність за   несвоєчасне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>регістрів бухгалтерського обліку та  недостовірність відображених у них даних несуть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11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0E4F3E" w:rsidRPr="00F9536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36B">
              <w:rPr>
                <w:rFonts w:ascii="Times New Roman" w:hAnsi="Times New Roman" w:cs="Times New Roman"/>
                <w:sz w:val="28"/>
                <w:szCs w:val="28"/>
              </w:rPr>
              <w:t>Друкована форма документу з реквізитами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повинні бути складені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призначені для оформлення ряду господар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ьких операцій на всіх підприємствах, відносяться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передбачають наявність типових бланків, затверджених у встановленому порядку,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розробляються на підприємстві та складаються без використання типових бланків,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на підставі первинних шляхом групування і узагальнення їх показників,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Документи, що складаються у момент здійснення господарської операції або одразу після її закінчення, називаються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Форми типових первинних бухгалтерських документів затверджуються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Обов’язковими реквізитами первинних документів 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Не є обов'язковими реквізитами документа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Перелік осіб, що мають право підпису первинних облікових документів, затверджує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Виправлення допущених помилок чи неправильних записів не допускаються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Первинні документи можуть бути прийняті до обліку в тому випадку, якщо вони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B4D">
              <w:rPr>
                <w:rFonts w:ascii="Times New Roman" w:hAnsi="Times New Roman" w:cs="Times New Roman"/>
                <w:sz w:val="28"/>
                <w:szCs w:val="28"/>
              </w:rPr>
              <w:t>Переведення натуральних і трудових вимірників, зазначених у документі, в грошовий вимірник та зазначення у відповідних графах документу суми – грошової оцінки оформлених натуральних показників господарської операції,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в документі кореспондуючих рахунків, на яких має відображатися документально підтверджена операція, 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Об’єднання однорідних за змістом і за визначений період первинних документів у групи з подальшою реєстрацією їх у групувальних відомостях для визначення загального підсумку за кожною групою, </w:t>
            </w:r>
            <w:r w:rsidRPr="006B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відноситься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105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Зазначення ціни в первинному документі, якщо вона відсутня, належить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0E4F3E" w:rsidRPr="001E3B4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обробка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</w:t>
            </w:r>
            <w:proofErr w:type="gramStart"/>
            <w:r w:rsidRPr="006B0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Організована система створення, перевірки та обробки первинних документів в бухгалтерському обліку від моменту їх створення до передачі в архів,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Графік документообігу містить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Розробка механізму управління документообігом є необхідною складовою організації бухгалтерського обліку, що 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0E4F3E" w:rsidRPr="006B03EB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Документообіг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включає наступні основні стадії: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EB">
              <w:rPr>
                <w:rFonts w:ascii="Times New Roman" w:hAnsi="Times New Roman" w:cs="Times New Roman"/>
                <w:sz w:val="28"/>
                <w:szCs w:val="28"/>
              </w:rPr>
              <w:t>Документообіг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Формування документообігу залежить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господарськими операціями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Спосіб зберігання первинних документів за фізичними та юридичними особами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Термін зберігання касових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ентів на підприємстві становить: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Архів, який створюється в бухгалтерії для зберігання документів на поточний рік, називається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Перед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 до архіву первинні документи: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0E4F3E" w:rsidRPr="005D042D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головна інформація зазначається у довідці для архіву про первинний документ?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2D">
              <w:rPr>
                <w:rFonts w:ascii="Times New Roman" w:hAnsi="Times New Roman" w:cs="Times New Roman"/>
                <w:sz w:val="28"/>
                <w:szCs w:val="28"/>
              </w:rPr>
              <w:t>Вилучення справ з архіву оформлюється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Постійний архів підприємства повинен розміщуватись: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2E">
              <w:rPr>
                <w:rFonts w:ascii="Times New Roman" w:hAnsi="Times New Roman" w:cs="Times New Roman"/>
                <w:sz w:val="28"/>
                <w:szCs w:val="28"/>
              </w:rPr>
              <w:t>Обов’язок забезпечити всі необхідні умови для фіксування фактів здійснення всіх господарських операцій у первинних документах покладається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неправильне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 несвоєчасне </w:t>
            </w:r>
            <w:r w:rsidRPr="00ED3EA1">
              <w:rPr>
                <w:rFonts w:ascii="Times New Roman" w:hAnsi="Times New Roman" w:cs="Times New Roman"/>
                <w:sz w:val="28"/>
                <w:szCs w:val="28"/>
              </w:rPr>
              <w:t>складання первинних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покладена на: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0E4F3E" w:rsidRPr="00A02183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схоронність оброблених документів, облікових регістрів і звітності протягом </w:t>
            </w:r>
            <w:proofErr w:type="spellStart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законодавством строку несе:</w:t>
            </w:r>
            <w:r w:rsidRPr="00A0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якими оформляють виконані господарські операції і підтверджують факт здійснення цих операцій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F9A">
              <w:rPr>
                <w:rFonts w:ascii="Times New Roman" w:hAnsi="Times New Roman" w:cs="Times New Roman"/>
                <w:sz w:val="28"/>
                <w:szCs w:val="28"/>
              </w:rPr>
              <w:t>окументи, що надходять у дане господарство від інших підприємств, організацій та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8887" w:type="dxa"/>
          </w:tcPr>
          <w:p w:rsidR="000E4F3E" w:rsidRDefault="000E4F3E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97">
              <w:rPr>
                <w:rFonts w:ascii="Times New Roman" w:eastAsia="Calibri" w:hAnsi="Times New Roman" w:cs="Times New Roman"/>
                <w:sz w:val="28"/>
                <w:szCs w:val="28"/>
              </w:rPr>
              <w:t>До бухгалтерських документів пред'являють наступні вимоги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необоротних активів є: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Об’єкт основних засобів визнається активом, якщо: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Строком корисного використання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основного </w:t>
            </w:r>
            <w:proofErr w:type="spellStart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вважається: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Фактична собівартість необоротних активів у сумі грошових коштів або справедливої вартості інших активів, сплачених, витрачених для придбання необоротних активів,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Первісна або переоцінена вартість необоротних активів за вирахуванням їх ліквідаційної вартості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До первісної вартості основних засобів не включаються: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Сукупність однотипних за технічними характеристиками, призначенням та умовами використання необоротних матеріальних активів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 скільки груп поділяються основні засоби та інші необоротні активи згідно податкового законодавства: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Знос основних засобів поділяється на види: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2344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– це: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Сума амортизації об’єкта основних засобів з початку його корисного використання називається: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амортизації основних засобів проводиться: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Амортизація об’єкта основних засобів нараховується, починаючи з: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>Місячна сума амортизації визначається як добуток фактичного місячного обсягу продукції та виробничої ставки амортизації при:</w:t>
            </w:r>
          </w:p>
        </w:tc>
      </w:tr>
      <w:tr w:rsidR="000E4F3E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0E4F3E" w:rsidRDefault="000E4F3E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0E4F3E" w:rsidRPr="00466956" w:rsidRDefault="000E4F3E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Діленням кількості років, що залишилися до кінця строку корисного використання об’єкта  основних засобів,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суму чисел років його корисного використання визначається: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tabs>
                <w:tab w:val="left" w:pos="0"/>
              </w:tabs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Залишкова вартість основних засобів визначається як: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 Підприємство може переоцінювати об’єкт основних засобів,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Індекс переоцінки основних засо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бів визначається шляхом ділення: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індекс переоцінки основних засобів більший значення «1»,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156BBF" w:rsidRPr="00156BBF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залишкова вартість основного засобу, що пер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еоцінюється, дорівнює нулю, то: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Вартісна ознака предметів, що входять до складу малоцінних необоротних матеріальних активів, становить: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156BBF" w:rsidRPr="00F3742D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Немонетарні активи, які не мають матеріально-речової форми та можуть бути ідентифіковані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Строк використання нематеріального активу може бути: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скільки груп поділяються нематеріальні активи згідно податкового законодавства: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Якої групи нематеріальних активів не існує: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Однією з передумов правильної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Одним з основних завдань організації обліку запасів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виробів на складі, обробка яких закінчена та які пройшли випробування, приймання, укомплектовані згідно з умовами договорів із замовниками і відповідають технічним умовам, відображаються у статті: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 складу запасів не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 відображаються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відпуску запасів у виробництво, продажі та іншому вибутті згідно до П(С)БО їх оцінка не здійснюється за методом: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 підприємствах роздрібної торгівлі доцільно застосовувати: 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Об’єктами облікової політики оборотних активів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Запаси, що втратили свою первісну очікувану економічну вигоду, в обліку відображаються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Сукупність прийомів розподілу витрат підприємства за калькуляційними статтями та віднесення їх до об’єкту калькулювання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Брак у виробництві за характером дефектів у виробах поділяється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Продукція, яка іноді утворюється в комплексних виробництвах при виробництві основної і не потребує додаткових витрат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Грошові кошти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Ліміт залишку готівки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Готівка в касі, яка перевищує встановлений ліміт на кінець робочого дня: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Якщо штатним розкладом не передбачено посаду касира, його обов’язки може виконувати: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перевірки виконання касиром касової дисципліни застосовують: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Юридичні та фізичні особи, які внаслідок минулих подій заборгували підприємству певні суми грошових коштів, їх еквівалентів або інших активів, –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8887" w:type="dxa"/>
          </w:tcPr>
          <w:p w:rsidR="00156BBF" w:rsidRPr="00466956" w:rsidRDefault="00156BBF" w:rsidP="00156BBF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Дебіторська заборгованість щодо якої існує невпевненість у погашенні її боржником,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Резерв сумнівних боргів нараховується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8887" w:type="dxa"/>
          </w:tcPr>
          <w:p w:rsidR="00156BBF" w:rsidRPr="00466956" w:rsidRDefault="00156BBF" w:rsidP="00C7416C">
            <w:pPr>
              <w:ind w:left="-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9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Скільки існує методів визначення величини резерву сумнівних боргів: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Організація бухгалтерського обліку пасивів повинна: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Завданнями організації бухгалтерського обліку пасивів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Власним капіталом визнають: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Залежно від способу утворення та формування статутного фонду в Україні діють підприємства: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Установчим документом акціонерного товариства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 є документом, який: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організації обліку власного капіталу необхідно враховувати: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Статутний капітал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формування статутного капіталу господарського товариства забороняється використовувати: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Зміни розміру статутного капіталу слід обов’язково підтверджувати зміною документів в органах </w:t>
            </w:r>
            <w:proofErr w:type="spellStart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9872B8">
              <w:rPr>
                <w:rFonts w:ascii="Times New Roman" w:hAnsi="Times New Roman" w:cs="Times New Roman"/>
                <w:sz w:val="28"/>
                <w:szCs w:val="28"/>
              </w:rPr>
              <w:t xml:space="preserve"> при: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Сума заборгованості власників (учасників) за внесками до статутного капіталу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статутного капіталу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нерозподіленого прибутку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об’єктів облікової політики забезпечення зобов’язань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Зобов’язання визнається у випадку, якщо: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Якщо на дату балансу раніше визнане зобов’язання не підлягає погашенню, то його сума включається: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Для цілей бухгалтерського обліку зобов’язання поділяються на: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віднесенні заборгованості до поточної або довгострокової до уваги береться: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поточних зобов’язань не включають: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Поточні зобов’язання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довгострокових зобов’язань не належать: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довгострокових позик ведеться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Довгострокові зобов’язання, на які нараховуються відсотки, відображаються в балансі: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за податками та платежами ведеться: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 постачальниками не може вестись в розрізі: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Облік зобов’язань з оренди ведеться на підставі: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категорії бланків суворої звітності належить: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основних форм оплати праці відносяться: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Система оплати праці, за якою заробіток залежить від кількості відпрацьованого часу та тарифної ставки називається: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документів з особового складу, які підтверджують трудові відносини працівника з роботодавцем, відносять: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Основними даними для нарахування заробітної плати за відрядною системою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Заробітну плату неможливо виплатити за: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Суми створених забезпечень визнаються в обліку: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Підставою для призначення допомоги з тимчасової непрацездатності є: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В якому розмірі надається допомога з тимчасової непрацездатності особам, страховий стаж яких понад 8 років:</w:t>
            </w:r>
          </w:p>
        </w:tc>
      </w:tr>
      <w:tr w:rsidR="00156BBF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156BBF" w:rsidRDefault="00156BBF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8887" w:type="dxa"/>
          </w:tcPr>
          <w:p w:rsidR="00156BBF" w:rsidRPr="009872B8" w:rsidRDefault="00156BBF" w:rsidP="00C7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відпускних (за рахунок витрат або через створення забезпечень майбутніх витрат) затверджується: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Доходом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Основними завданнями організації обліку витрат і доходів, а також фінансових результатів підприємства є забезпечення: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об’єктів облікової політики щодо витрат відносять: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Витрати, пов’язані з обслуговуванням виробництва і управлінням ним в масштабі всього підприємства, це 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адміністративних витрат відносяться: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виробничої собівартості не входить: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загальновиробничих витрат не входять: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До методів оцінки ступеня завершеності операції за поданням послуг відноситься: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Групування витрат за економічними елементами здійснюється на </w:t>
            </w:r>
            <w:r w:rsidRPr="00694427">
              <w:rPr>
                <w:sz w:val="28"/>
                <w:szCs w:val="28"/>
                <w:lang w:val="uk-UA"/>
              </w:rPr>
              <w:lastRenderedPageBreak/>
              <w:t>підприємствах: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221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Аналітичний облік доходів від реалізації необхідно організовувати за видами (групами):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Аналітичний облік фінансових результатів ведеться за: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Чи може підприємство самостійно розробляти додаткові субрахунки та аналітичні рахунки для обліку витрат, доходів і результатів діяльності: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визнається під час: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Не визнаються доходами наступні надходження: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Визнані доходи класифікуються в бухгалтерському обліку за наступними групами: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від реалізації продукції визнається у разі наявності наступних умов: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виробничої собівартості продукції (робіт, послуг)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Дохід, який виникає в результаті використання активів підприємства іншими сторонами, визнається у вигляді: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8887" w:type="dxa"/>
          </w:tcPr>
          <w:p w:rsidR="007135FB" w:rsidRPr="00694427" w:rsidRDefault="007135FB" w:rsidP="007135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Загальновиробничі витрати поділяються на: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 змінних загальновиробничих витрат належать витрати на обслуговування і управління виробництвом, 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</w:p>
        </w:tc>
        <w:tc>
          <w:tcPr>
            <w:tcW w:w="8887" w:type="dxa"/>
          </w:tcPr>
          <w:p w:rsidR="007135FB" w:rsidRPr="00694427" w:rsidRDefault="007135FB" w:rsidP="00C741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TimesNewRoman" w:hAnsi="Times New Roman" w:cs="Times New Roman"/>
                <w:sz w:val="28"/>
                <w:szCs w:val="28"/>
              </w:rPr>
              <w:t>Первинними документами для відображення доходів від реалізації, інших операційних доходів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6057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Фінансова звітність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236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</w:rPr>
            </w:pPr>
            <w:r w:rsidRPr="00F401D5">
              <w:rPr>
                <w:sz w:val="28"/>
                <w:szCs w:val="28"/>
                <w:lang w:val="uk-UA"/>
              </w:rPr>
              <w:t xml:space="preserve">Фінансова звітність складається з: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F401D5">
              <w:rPr>
                <w:sz w:val="28"/>
                <w:szCs w:val="28"/>
                <w:lang w:val="uk-UA"/>
              </w:rPr>
              <w:t>Бухгалтерський баланс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</w:t>
            </w:r>
          </w:p>
        </w:tc>
        <w:tc>
          <w:tcPr>
            <w:tcW w:w="8887" w:type="dxa"/>
          </w:tcPr>
          <w:p w:rsidR="007135FB" w:rsidRPr="00860571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НП(С)БО або МСФЗ, – це: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239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401D5">
              <w:rPr>
                <w:rFonts w:ascii="Times New Roman" w:eastAsia="TimesNew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8887" w:type="dxa"/>
          </w:tcPr>
          <w:p w:rsidR="007135FB" w:rsidRPr="00F401D5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1BEE">
              <w:rPr>
                <w:rFonts w:ascii="Times New Roman" w:eastAsia="TimesNewRoman" w:hAnsi="Times New Roman" w:cs="Times New Roman"/>
                <w:sz w:val="28"/>
                <w:szCs w:val="28"/>
              </w:rPr>
              <w:t>Стаття наводиться у фінансовій звітності, якщо: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</w:t>
            </w:r>
          </w:p>
        </w:tc>
        <w:tc>
          <w:tcPr>
            <w:tcW w:w="8887" w:type="dxa"/>
          </w:tcPr>
          <w:p w:rsidR="007135FB" w:rsidRPr="00B41BEE" w:rsidRDefault="007135FB" w:rsidP="00C7416C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6975">
              <w:rPr>
                <w:rFonts w:ascii="Times New Roman" w:eastAsia="TimesNewRoman" w:hAnsi="Times New Roman" w:cs="Times New Roman"/>
                <w:sz w:val="28"/>
                <w:szCs w:val="28"/>
              </w:rPr>
              <w:t>Інформація, відсутність якої може вплинути на рішення користувачів фінансової звітності, називається: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</w:t>
            </w:r>
          </w:p>
        </w:tc>
        <w:tc>
          <w:tcPr>
            <w:tcW w:w="8887" w:type="dxa"/>
          </w:tcPr>
          <w:p w:rsidR="007135FB" w:rsidRPr="00BD4883" w:rsidRDefault="007135FB" w:rsidP="00C7416C">
            <w:pPr>
              <w:pStyle w:val="HTML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Фінансова звітність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підписується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</w:t>
            </w:r>
          </w:p>
        </w:tc>
        <w:tc>
          <w:tcPr>
            <w:tcW w:w="8887" w:type="dxa"/>
          </w:tcPr>
          <w:p w:rsidR="007135FB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У разі якщо бухгалтерський облік підприємства ведеться підприємством, що провадить діяльність у  сфері  бухгалтерського  обліку та/або аудиторської діяльності, фінансову звітність підписують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  <w:r w:rsidRPr="00D305C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Зві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тним періодом для  складання </w:t>
            </w: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фінансової звітності є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</w:t>
            </w:r>
          </w:p>
        </w:tc>
        <w:tc>
          <w:tcPr>
            <w:tcW w:w="8887" w:type="dxa"/>
          </w:tcPr>
          <w:p w:rsidR="007135FB" w:rsidRPr="00672716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672716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Складання Пояснювальної записки до квартального звіту: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B712FC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Об’єктами організації бухгалтерського обліку для забезпечення якісного складання звітності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</w:t>
            </w:r>
          </w:p>
        </w:tc>
        <w:tc>
          <w:tcPr>
            <w:tcW w:w="8887" w:type="dxa"/>
          </w:tcPr>
          <w:p w:rsidR="007135FB" w:rsidRPr="00B712FC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Об’єктом балансової політики є: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Консолідована фінансова звітність складається: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249</w:t>
            </w:r>
          </w:p>
        </w:tc>
        <w:tc>
          <w:tcPr>
            <w:tcW w:w="8887" w:type="dxa"/>
          </w:tcPr>
          <w:p w:rsidR="007135FB" w:rsidRPr="0084137E" w:rsidRDefault="007135FB" w:rsidP="00C7416C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Порядок складання фінансової звітності регламентується:</w:t>
            </w:r>
          </w:p>
        </w:tc>
      </w:tr>
      <w:tr w:rsidR="007135FB" w:rsidTr="00F6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7135FB" w:rsidRDefault="007135FB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8887" w:type="dxa"/>
          </w:tcPr>
          <w:p w:rsidR="007135FB" w:rsidRPr="00E75F38" w:rsidRDefault="007135FB" w:rsidP="00C7416C">
            <w:pPr>
              <w:pStyle w:val="1"/>
              <w:spacing w:after="0"/>
              <w:jc w:val="both"/>
              <w:rPr>
                <w:rFonts w:eastAsia="TimesNewRoman"/>
                <w:sz w:val="28"/>
                <w:szCs w:val="28"/>
                <w:lang w:val="uk-UA" w:eastAsia="en-US"/>
              </w:rPr>
            </w:pPr>
            <w:r>
              <w:rPr>
                <w:rFonts w:eastAsia="TimesNewRoman"/>
                <w:sz w:val="28"/>
                <w:szCs w:val="28"/>
                <w:lang w:val="uk-UA" w:eastAsia="en-US"/>
              </w:rPr>
              <w:t xml:space="preserve">Підприємства зобов’язані подавати фінансову 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>звітність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>:</w:t>
            </w:r>
            <w:r w:rsidRPr="00E75F38">
              <w:rPr>
                <w:rFonts w:eastAsia="TimesNew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66F2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2DA5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5F2B-E3CF-446C-A4F3-9DE41CB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2</cp:revision>
  <cp:lastPrinted>2019-09-04T12:38:00Z</cp:lastPrinted>
  <dcterms:created xsi:type="dcterms:W3CDTF">2020-11-02T11:07:00Z</dcterms:created>
  <dcterms:modified xsi:type="dcterms:W3CDTF">2020-11-02T11:07:00Z</dcterms:modified>
</cp:coreProperties>
</file>