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B1" w:rsidRPr="005A3D8B" w:rsidRDefault="00BE46B1" w:rsidP="00BE46B1">
      <w:pPr>
        <w:jc w:val="center"/>
        <w:rPr>
          <w:b/>
          <w:sz w:val="28"/>
          <w:szCs w:val="28"/>
          <w:lang w:val="uk-UA"/>
        </w:rPr>
      </w:pPr>
      <w:r w:rsidRPr="005A3D8B">
        <w:rPr>
          <w:b/>
          <w:sz w:val="28"/>
          <w:szCs w:val="28"/>
          <w:lang w:val="uk-UA"/>
        </w:rPr>
        <w:t>Перелік питань</w:t>
      </w:r>
    </w:p>
    <w:p w:rsidR="00BE46B1" w:rsidRDefault="00BE46B1" w:rsidP="00BE46B1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5A3D8B">
        <w:rPr>
          <w:sz w:val="28"/>
          <w:szCs w:val="28"/>
          <w:lang w:val="uk-UA"/>
        </w:rPr>
        <w:t xml:space="preserve">з навчальної дисципліни </w:t>
      </w:r>
    </w:p>
    <w:p w:rsidR="00BE46B1" w:rsidRPr="00BE46B1" w:rsidRDefault="00BE46B1" w:rsidP="00BE46B1">
      <w:pPr>
        <w:tabs>
          <w:tab w:val="left" w:pos="851"/>
        </w:tabs>
        <w:jc w:val="center"/>
        <w:rPr>
          <w:sz w:val="28"/>
          <w:szCs w:val="28"/>
          <w:u w:val="single"/>
          <w:lang w:val="uk-UA"/>
        </w:rPr>
      </w:pPr>
      <w:r w:rsidRPr="00BE46B1">
        <w:rPr>
          <w:sz w:val="28"/>
          <w:szCs w:val="28"/>
          <w:u w:val="single"/>
          <w:lang w:val="uk-UA"/>
        </w:rPr>
        <w:t>«Обґрунтування господарських рішень і оцінювання ризиків»</w:t>
      </w:r>
    </w:p>
    <w:p w:rsidR="00BE46B1" w:rsidRPr="00BE46B1" w:rsidRDefault="00BE46B1" w:rsidP="00BE46B1">
      <w:pPr>
        <w:jc w:val="center"/>
        <w:rPr>
          <w:bCs/>
          <w:kern w:val="36"/>
          <w:sz w:val="28"/>
          <w:szCs w:val="28"/>
          <w:lang w:val="uk-UA"/>
        </w:rPr>
      </w:pPr>
      <w:r w:rsidRPr="00BE46B1">
        <w:rPr>
          <w:bCs/>
          <w:kern w:val="36"/>
          <w:sz w:val="28"/>
          <w:szCs w:val="28"/>
          <w:lang w:val="uk-UA"/>
        </w:rPr>
        <w:t>за спеціальністю</w:t>
      </w:r>
      <w:r w:rsidRPr="00BE46B1">
        <w:rPr>
          <w:sz w:val="28"/>
          <w:szCs w:val="28"/>
          <w:lang w:val="uk-UA"/>
        </w:rPr>
        <w:t xml:space="preserve">: </w:t>
      </w:r>
      <w:r w:rsidRPr="00BE46B1">
        <w:rPr>
          <w:bCs/>
          <w:kern w:val="36"/>
          <w:sz w:val="28"/>
          <w:szCs w:val="28"/>
          <w:lang w:val="uk-UA"/>
        </w:rPr>
        <w:t>051 «Економіка»</w:t>
      </w:r>
    </w:p>
    <w:p w:rsidR="005902BE" w:rsidRDefault="00BE46B1" w:rsidP="00BE46B1">
      <w:pPr>
        <w:jc w:val="center"/>
        <w:rPr>
          <w:bCs/>
          <w:kern w:val="36"/>
          <w:sz w:val="28"/>
          <w:szCs w:val="28"/>
          <w:lang w:val="uk-UA"/>
        </w:rPr>
      </w:pPr>
      <w:r w:rsidRPr="00BE46B1">
        <w:rPr>
          <w:bCs/>
          <w:kern w:val="36"/>
          <w:sz w:val="28"/>
          <w:szCs w:val="28"/>
          <w:lang w:val="uk-UA"/>
        </w:rPr>
        <w:t>освітнього ступеня «бакалавр</w:t>
      </w:r>
    </w:p>
    <w:p w:rsidR="00BE46B1" w:rsidRPr="00BE46B1" w:rsidRDefault="00BE46B1" w:rsidP="00BE46B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7"/>
        <w:gridCol w:w="8921"/>
      </w:tblGrid>
      <w:tr w:rsidR="005A3D8B" w:rsidRPr="00BE46B1" w:rsidTr="00BE46B1">
        <w:tc>
          <w:tcPr>
            <w:tcW w:w="367" w:type="pct"/>
          </w:tcPr>
          <w:p w:rsidR="00CE4E29" w:rsidRPr="00BE46B1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№</w:t>
            </w:r>
          </w:p>
          <w:p w:rsidR="00CE4E29" w:rsidRPr="00BE46B1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3" w:type="pct"/>
            <w:vAlign w:val="center"/>
          </w:tcPr>
          <w:p w:rsidR="00CE4E29" w:rsidRPr="00BE46B1" w:rsidRDefault="00553502" w:rsidP="00553502">
            <w:pPr>
              <w:jc w:val="center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Зміст п</w:t>
            </w:r>
            <w:r w:rsidR="00CE4E29" w:rsidRPr="00BE46B1">
              <w:rPr>
                <w:sz w:val="28"/>
                <w:szCs w:val="28"/>
                <w:lang w:val="uk-UA"/>
              </w:rPr>
              <w:t>итання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Господарське рішення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Господарське рішення характеризують такі ознаки: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Сутність господарських рішень, яка проявляється як можливість забезпечення необхідними технічними, інформаційними ресурсами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сферою дії ГР класифікують так: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ступенем невизначеності ГР класифікують так: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прогнозованою ефективністю ГР класифікують так: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способом прийняття ГР класифікують так: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ступенем обов’язковості виконання ГР класифікують так: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організацією розробки ГР класифікують так: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Економічна сутність господарського рішення полягає в тому, що: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Ефективне рішення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«Акт»?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«Акцепт»?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господарського рішення «Прес-реліз»?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«Бюлетень»?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Основним параметром якості ГР 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Соціальна ефективність господарського рішення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Вид ефективності ГР, що реалізує потреби людини в коханні, сім’ї, вільному часі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Вид ефективності господарського рішення пов’язаний із реалізацією потреб людини в організації життя, безпеці, управлінні, стабільності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До прийнятого рішення пред’являються такі основні вимоги: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Етап «Постановка задачі розв’язання проблеми» передбачає виконання такої процедури: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E46B1">
              <w:rPr>
                <w:color w:val="000000"/>
                <w:spacing w:val="2"/>
                <w:sz w:val="28"/>
                <w:szCs w:val="28"/>
                <w:lang w:val="uk-UA"/>
              </w:rPr>
              <w:t>Етап «Вибір рішення» передбачає виконання такої процедури: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План реалізації обраного рішення – це процедура, що відбувається на етапі: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 прийняття рішень, що характеризується незначною терпимістю до двозначності та раціональним способом мислення, репрезентує: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 прийняття рішень, для якого характерна висока терпимість до двозначності, доповнена раціональним способом мислення, репрезентує: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 прийняття рішень, що характеризується дуже широким світоглядом і здатністю досліджувати численні альтернативи, репрезентує: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 прийняття рішень, що характеризує індивіда, який мислить інтуїтивно, проте відзначається низькою терпимістю, репрезентує: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Особи з аналітичним способом мислення: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Особи з концептуальним способом мислення:</w:t>
            </w:r>
          </w:p>
        </w:tc>
      </w:tr>
      <w:tr w:rsidR="000C325B" w:rsidRPr="00BE46B1" w:rsidTr="000C325B">
        <w:trPr>
          <w:trHeight w:val="64"/>
        </w:trPr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Модель, яка ґрунтується на передбаченні, що рішення приймаються ще до того, як досліджуються альтернативи,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E46B1">
              <w:rPr>
                <w:sz w:val="28"/>
                <w:szCs w:val="28"/>
                <w:shd w:val="clear" w:color="auto" w:fill="FFFFFF"/>
                <w:lang w:val="uk-UA"/>
              </w:rPr>
              <w:t>Репрезентувати багато різних компонентів складної проблеми, інструментів для передавання складних ідей іншим доцільно за допомогою: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Графічна репрезентація поточної інформації, ідей чи компонентів системи – це спосіб прийняття рішення: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Спосіб, при якому можна точно відобразити перебіг процесу – це спосіб прийняття рішення: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Спосіб, при якому використовують кольорові крапки для позначення пріоритетності рішень – це спосіб прийняття рішення: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при якому людина виходить із власного відчуття того, що її вибір правильний,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в основі якого лежить об’єктивний аналіз умов, в яких організація діє на даний момент і які будуть діяти у майбутньому,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в основі якого лежать знання й осмислений досвід минулого,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 може прийматись за таких умов: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Методи розробки рішень, що дають можливість визначити кращий варіант за критеріями оптимальності програми дій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Метод, при якому узагальнена думка експертів приймається як вирішення проблеми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Метод, при якому спираються на досвід прийняття рішень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Імітаційне моделювання реальних ситуацій, для виконання якого кожен учасник дістає певну роль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Метод, який передбачає багаторівневу процедуру анкетування з обробкою та повідомленням результатів кожного туру експертам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Метод, який призначений для генерування альтернатив через асоціативне мислення, пошук аналогій щодо поставленої задачі – це:</w:t>
            </w:r>
          </w:p>
        </w:tc>
      </w:tr>
      <w:tr w:rsidR="000C325B" w:rsidRPr="00BE46B1" w:rsidTr="000C325B">
        <w:trPr>
          <w:trHeight w:val="64"/>
        </w:trPr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 «мозкової атаки» відноситься до: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Різновидом евристичних методів індивідуальної роботи 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Цілеспрямована організація прийомів, способів і дій людини, що дає змогу розкласти складний об’єкт на складові, дослідити їх, а здобуті результати об’єднати за допомогою іншого логічного прийому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Спеціальний спосіб обґрунтування прийняття ГР, що є універсальною ефективною формою організації, розвитку та дослідження колективної розумової діяльності, методологічного мислення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Для узагальненої характеристики масових, якісно однорідних економічних явищ, показників, процесів використовуються: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 номінальної групи відноситься до: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Підкріплення переконливими доказами відповідності передбачуваного рішення заданим критеріям та реальним обмеженням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Розбиття певної проблеми на окремі складові елементи з наступним розглядом їх у цілому (у взаємозв’язку) – це принцип аналізу: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Принцип аналізу, що передбачає постановку цілей та визначення способів їх досягнення,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Методи прогнозування, що базуються на інформації, яку можна отримати, знаючи тенденції зміни параметрів, виділяють у групу: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Методи прогнозування, в основу яких покладено експертні оцінки фахівців у сфері прийнятих рішень, виділяють у групу: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ступенем ймовірності настання подій розрізняють: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Залежно від способів визначення ймовірності розрізняють невизначеність: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Залежно від об’єкта невизначеності розрізняють невизначеність: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Для прийняття рішення в умовах невизначеності вихідна інформація подається у вигляді:</w:t>
            </w:r>
          </w:p>
        </w:tc>
      </w:tr>
      <w:tr w:rsidR="000C325B" w:rsidRPr="00BE46B1" w:rsidTr="000C325B">
        <w:trPr>
          <w:trHeight w:val="64"/>
        </w:trPr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Матриця прибутків придатна для ситуації, коли кількість розглянутих альтернатив 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визначеність?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часткову невизначеність?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невизначеність?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значення, як в меншу, так і в більшу сторону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 тільки в меншу сторону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Критерій песиміста, що орієнтується на кращий з гірших результатів, вважається фундаментальним критерієм Йдеться про: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Це правило називають ще правилом оптимізму-песимізму Йдеться про: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Це правило відповідає оптимістичній наступальній стратегії Йдеться про: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Матриця ризику визначається у випадку використання критерію: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Використання тільки одного варіанта розвитку ситуації для кожної альтернативи в обґрунтуванні рішень – це недолік критеріїв: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 xml:space="preserve">Невизначеність, пов’язана з неможливістю точного передбачення поведінки людини в процесі роботи через відмінності у рівні освіти,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емоційно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>-психологічному настрої, світогляді кожної особи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Невизначеність, пов’язана з надійністю обладнання, непередбаченістю виробничих процесів, складністю технології, рівнем автоматизації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Невизначеність, зумовлена прагненням людей створювати соціальні зв’язки та поводитися відповідно до загальноприйнятих норм, традицій, взятих на себе зобов’язань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Критерій, орієнтований на мінімізацію жалю з приводу втрат і допускає розумний ризик заради отримання додаткового прибутку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Ризик як суб’єктивний компонент …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Ризик як об’єктивний компонент …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масштабом об’єкта розрізняють такі види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Складові елементи факторів, які зумовлюють можливість втрат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Причини або рушійні сили, які породжують ризиковані процеси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тривалістю дії розрізняють такі види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ознакою реалізації розрізняють такі види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відповідністю допустимим межам розрізняють такі види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Залежно від можливого результату розрізняють такі види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природою виникнення розрізняють таки види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типом розрізняють такі види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Нижня ціна гри…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Верхня ціна гри…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 xml:space="preserve">Якщо платіжна матриця не має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сідлової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точки, то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Результат прийняття рішень в умовах невизначеності, пов'язаний з виробництвом продукції, їх реалізацією, підприємництвом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 xml:space="preserve">Згідно з правилом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Байєса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для прийняття рішення в умовах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Згідно з правилом Гурвіца для прийняття рішення в умовах ризику: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Згідно з теорією ігор операція відбракування явно невигідних стратегій називається: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До фінансових ризиків належать: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До виробничих ризиків належать: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До ризиків зовнішньоекономічної діяльності належать: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Демографічний ризик – це окремий випадок: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Ризик нанесення збитку зовнішньому середовищу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Система показників кількісної оцінки ризику включає:</w:t>
            </w:r>
          </w:p>
        </w:tc>
      </w:tr>
      <w:tr w:rsidR="000C325B" w:rsidRPr="00BE46B1" w:rsidTr="000C325B">
        <w:trPr>
          <w:trHeight w:val="64"/>
        </w:trPr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Показник, що вимірює результат, який в середньому очікується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Ймовірність появи втрат у разі реалізації цінних паперів або інших товарів через зміну оцінки їхньої якості та споживної вартості зумовлює: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Розсіювання значення випадкового параметра навколо його середнього значення, що прогнозується, характеризується: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Показник, що порівнює ризикованість напрямів діяльності і конкретних ситуацій за ознаками, вираженими у різних одиницях виміру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Поріг рентабельності розраховується за формулою: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Точка беззбитковості розраховується за формулою: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Запас фінансової стійкості розраховується за формулою: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107.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До переваг методу експертних оцінок кількісної оцінки підприємницьких ризиків відносять: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Ступінь задоволення особи від споживання товару чи виконання будь-якої дії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Умова, за якою корисність очікуваного доходу менша за очікувану корисність – це умова: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Взаємозв’язок ризику з функціями корисності визначається поняттям: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Інвестиційні рішення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Граничну величину ставки дисконту, вище якої проект стає збитковим, віддзеркалює такий показник, як: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Фінансові рішення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Показник, на основі якого перевага віддається проекту з більш високим NPV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Показник, який відображає граничну величину ставки дисконту, вище якої проект стає збитковим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Показник, що показує період, за який буде відшкодовано суму інвестицій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Найризикованішим портфелем 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Батьком сучасної «портфельної теорії», яка стосується методів збалансування ризиків та економічної вигоди під час вибору ризикованих інвестицій, є: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Статистична міра взаємодії двох випадкових змінних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Вартість портфеля – це: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Оскільки приплив коштів за інвестиційним проектом розподілений у часі, його аналіз здійснюється за допомогою: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Який повинен бути NPV, щоб було можна розглядати питання про прийняття проекту?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проект слід відкинути, якщо: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Проект не збитковий, але й не принесе прибутку, якщо: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Максимально можливий прибуток досягається при структурі портфеля, ідентичного структурі ринкового обороту Така характеристика властива: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Показник, що показує, за якою ставкою відсотка інвестор повинен вкласти свій капітал, щоб ефективність фінансового вкладення дорівнювала ефективності даного інвестиційного проекту: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Середньозважена ціна капіталу підприємства (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Weighted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Average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Cost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Capital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– WACС) характеризується як: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Відмова від ненадійних партнерів та відмова від прийняття ризикованих проектів є методом: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Створення спеціальних резервних фондів у натуральній або грошовій формі (фондів самострахування або фондів ризику) є методом: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Компенсація ризику можлива за допомогою таких методів, як: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Основний спосіб передбачення ризику полягає в: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Вид стратегії ризик-менеджменту, який реалізує формування суб’єктивних уявлень про майбутні події – це … вид стратегії</w:t>
            </w:r>
          </w:p>
        </w:tc>
      </w:tr>
      <w:tr w:rsidR="000C325B" w:rsidRPr="00BE46B1" w:rsidTr="000C325B">
        <w:tc>
          <w:tcPr>
            <w:tcW w:w="367" w:type="pct"/>
          </w:tcPr>
          <w:p w:rsidR="000C325B" w:rsidRPr="00BE46B1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4633" w:type="pct"/>
          </w:tcPr>
          <w:p w:rsidR="000C325B" w:rsidRPr="00BE46B1" w:rsidRDefault="000C325B" w:rsidP="000C325B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Використання критерію є доцільним тільки за умови достатньої фінансової стабільності підприємства Йдеться про: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3" w:type="pct"/>
          </w:tcPr>
          <w:p w:rsidR="005913A0" w:rsidRPr="00BE46B1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За умов катастрофічних збитків і низької ймовірності виникнення втрат доцільним є такий напрям зниження ризиків, як: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3" w:type="pct"/>
          </w:tcPr>
          <w:p w:rsidR="005913A0" w:rsidRPr="00BE46B1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Збір, систематизація, узагальнення фактів – це ... вид стратегії ризик-менеджменту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3" w:type="pct"/>
          </w:tcPr>
          <w:p w:rsidR="005913A0" w:rsidRPr="00BE46B1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 xml:space="preserve">Визначення практичних </w:t>
            </w:r>
            <w:proofErr w:type="spellStart"/>
            <w:r w:rsidRPr="00BE46B1">
              <w:rPr>
                <w:sz w:val="28"/>
                <w:szCs w:val="28"/>
                <w:lang w:val="uk-UA"/>
              </w:rPr>
              <w:t>вигод</w:t>
            </w:r>
            <w:proofErr w:type="spellEnd"/>
            <w:r w:rsidRPr="00BE46B1">
              <w:rPr>
                <w:sz w:val="28"/>
                <w:szCs w:val="28"/>
                <w:lang w:val="uk-UA"/>
              </w:rPr>
              <w:t xml:space="preserve"> та ймовірних негативних наслідків, які можуть мати місце при реалізації ризикового рішення – це складова:</w:t>
            </w:r>
          </w:p>
        </w:tc>
      </w:tr>
      <w:tr w:rsidR="00335BA4" w:rsidRPr="00BE46B1" w:rsidTr="000C325B">
        <w:tc>
          <w:tcPr>
            <w:tcW w:w="367" w:type="pct"/>
          </w:tcPr>
          <w:p w:rsidR="00335BA4" w:rsidRPr="00BE46B1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3" w:type="pct"/>
          </w:tcPr>
          <w:p w:rsidR="00335BA4" w:rsidRPr="00BE46B1" w:rsidRDefault="00335BA4" w:rsidP="00335BA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Встановлення допустимого для конкретної ситуації рівня ризику – це складова:</w:t>
            </w:r>
          </w:p>
        </w:tc>
      </w:tr>
      <w:tr w:rsidR="00335BA4" w:rsidRPr="00BE46B1" w:rsidTr="000C325B">
        <w:tc>
          <w:tcPr>
            <w:tcW w:w="367" w:type="pct"/>
          </w:tcPr>
          <w:p w:rsidR="00335BA4" w:rsidRPr="00BE46B1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3" w:type="pct"/>
          </w:tcPr>
          <w:p w:rsidR="00335BA4" w:rsidRPr="00BE46B1" w:rsidRDefault="00335BA4" w:rsidP="00335BA4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Відмова від ненадійних партнерів є складовою методу: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3" w:type="pct"/>
          </w:tcPr>
          <w:p w:rsidR="005913A0" w:rsidRPr="00BE46B1" w:rsidRDefault="00335BA4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Диверсифікація є методом: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3" w:type="pct"/>
          </w:tcPr>
          <w:p w:rsidR="005913A0" w:rsidRPr="00BE46B1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Вивчення поточної ситуації – це … вид стратегії ризик-менеджменту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3" w:type="pct"/>
          </w:tcPr>
          <w:p w:rsidR="005913A0" w:rsidRPr="00BE46B1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Висування гіпотез та співставлення їх з фактичними даними – це … вид стратегії ризик-менеджменту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3" w:type="pct"/>
          </w:tcPr>
          <w:p w:rsidR="005913A0" w:rsidRPr="00BE46B1" w:rsidRDefault="00B80C2B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Зовнішнє страхування чи розподіл ризику є доцільним за умови:</w:t>
            </w:r>
          </w:p>
        </w:tc>
      </w:tr>
      <w:tr w:rsidR="00625E05" w:rsidRPr="00BE46B1" w:rsidTr="000C325B">
        <w:tc>
          <w:tcPr>
            <w:tcW w:w="367" w:type="pct"/>
          </w:tcPr>
          <w:p w:rsidR="00625E05" w:rsidRPr="00BE46B1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3" w:type="pct"/>
          </w:tcPr>
          <w:p w:rsidR="00625E05" w:rsidRPr="00BE46B1" w:rsidRDefault="00625E05" w:rsidP="00625E05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 щодо проведення спільних робіт із зазначенням взаємних прав і зобов’язань у комерційних та некомерційних сферах діяльності – це:</w:t>
            </w:r>
          </w:p>
        </w:tc>
      </w:tr>
      <w:tr w:rsidR="00625E05" w:rsidRPr="00BE46B1" w:rsidTr="000C325B">
        <w:tc>
          <w:tcPr>
            <w:tcW w:w="367" w:type="pct"/>
          </w:tcPr>
          <w:p w:rsidR="00625E05" w:rsidRPr="00BE46B1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3" w:type="pct"/>
          </w:tcPr>
          <w:p w:rsidR="00625E05" w:rsidRPr="00BE46B1" w:rsidRDefault="00625E05" w:rsidP="00625E05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 державної влади, яке має загальнообов’язковий та незмінний характер – це:</w:t>
            </w:r>
          </w:p>
        </w:tc>
      </w:tr>
      <w:tr w:rsidR="00625E05" w:rsidRPr="00BE46B1" w:rsidTr="000C325B">
        <w:tc>
          <w:tcPr>
            <w:tcW w:w="367" w:type="pct"/>
          </w:tcPr>
          <w:p w:rsidR="00625E05" w:rsidRPr="00BE46B1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3" w:type="pct"/>
          </w:tcPr>
          <w:p w:rsidR="00625E05" w:rsidRPr="00BE46B1" w:rsidRDefault="00625E05" w:rsidP="00625E05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яке встановлює порядок та спосіб виконання будь-якої дії</w:t>
            </w:r>
          </w:p>
        </w:tc>
      </w:tr>
      <w:tr w:rsidR="00625E05" w:rsidRPr="00BE46B1" w:rsidTr="000C325B">
        <w:tc>
          <w:tcPr>
            <w:tcW w:w="367" w:type="pct"/>
          </w:tcPr>
          <w:p w:rsidR="00625E05" w:rsidRPr="00BE46B1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3" w:type="pct"/>
          </w:tcPr>
          <w:p w:rsidR="00625E05" w:rsidRPr="00BE46B1" w:rsidRDefault="00625E05" w:rsidP="00625E0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Збірка законів – це:</w:t>
            </w:r>
          </w:p>
        </w:tc>
      </w:tr>
      <w:tr w:rsidR="00625E05" w:rsidRPr="00BE46B1" w:rsidTr="000C325B">
        <w:tc>
          <w:tcPr>
            <w:tcW w:w="367" w:type="pct"/>
          </w:tcPr>
          <w:p w:rsidR="00625E05" w:rsidRPr="00BE46B1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3" w:type="pct"/>
          </w:tcPr>
          <w:p w:rsidR="00625E05" w:rsidRPr="00BE46B1" w:rsidRDefault="00625E05" w:rsidP="00625E05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яке відтворює реальні процеси чи події завдяки певним елементам і зв’язкам із визначеною точністю – це: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3" w:type="pct"/>
          </w:tcPr>
          <w:p w:rsidR="005913A0" w:rsidRPr="00BE46B1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Система поглядів керівника, відображена в будь-якому документі – це:</w:t>
            </w:r>
          </w:p>
        </w:tc>
      </w:tr>
      <w:tr w:rsidR="005913A0" w:rsidRPr="00BE46B1" w:rsidTr="000C325B">
        <w:tc>
          <w:tcPr>
            <w:tcW w:w="367" w:type="pct"/>
          </w:tcPr>
          <w:p w:rsidR="005913A0" w:rsidRPr="00BE46B1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3" w:type="pct"/>
          </w:tcPr>
          <w:p w:rsidR="005913A0" w:rsidRPr="00BE46B1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 керівника організації або її великого підрозділу; обов’язкове для виконання – це:</w:t>
            </w:r>
          </w:p>
        </w:tc>
      </w:tr>
      <w:tr w:rsidR="003A57D9" w:rsidRPr="00BE46B1" w:rsidTr="000C325B">
        <w:trPr>
          <w:trHeight w:val="64"/>
        </w:trPr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яке відображає цілі та конкретні задачі діяльності, засоби, методи та час їх реалізації–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що включає певний набір законів, правил та інструкцій, які регламентують певний вид діяльності–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Документ щодо доцільної розстановки об’єктів для раціональної діяльності–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Колективне або індивідуальне рішення вищого органу влади для будь-якої організації; статус постанови переважає статус наказу–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з урахуванням традицій організації, у формі набору сталих норм поведінки й діяльності певних груп працівників–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Довідник, який включає ціни, тарифи на товари, послуги–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що відображають будь-які події–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 керівника, не наділеного адміністративними функціями щодо питань технології, організації праці та техніки безпеки–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Набір правил, які регулюють діяльність організацій–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Рішення, що формує загальну позитивну інфраструктуру будь-якої діяльності– це:</w:t>
            </w:r>
          </w:p>
        </w:tc>
      </w:tr>
      <w:tr w:rsidR="003A57D9" w:rsidRPr="00BE46B1" w:rsidTr="000C325B">
        <w:tc>
          <w:tcPr>
            <w:tcW w:w="367" w:type="pct"/>
          </w:tcPr>
          <w:p w:rsidR="003A57D9" w:rsidRPr="00BE46B1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4633" w:type="pct"/>
          </w:tcPr>
          <w:p w:rsidR="003A57D9" w:rsidRPr="00BE46B1" w:rsidRDefault="003A57D9" w:rsidP="003A57D9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sz w:val="28"/>
                <w:szCs w:val="28"/>
                <w:lang w:val="uk-UA"/>
              </w:rPr>
              <w:t>Рішення глави держави, затверджене парламентом; має силу закону–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Сукупність заходів організаційного, технологічного, економічного, правового та соціального характеру, які спрямовані на формування господарського рішення,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Принцип Курно застосовується: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Метод «</w:t>
            </w:r>
            <w:proofErr w:type="spellStart"/>
            <w:r w:rsidRPr="00BE46B1">
              <w:rPr>
                <w:bCs/>
                <w:sz w:val="28"/>
                <w:szCs w:val="28"/>
                <w:lang w:val="uk-UA"/>
              </w:rPr>
              <w:t>Рингі</w:t>
            </w:r>
            <w:proofErr w:type="spellEnd"/>
            <w:r w:rsidRPr="00BE46B1">
              <w:rPr>
                <w:bCs/>
                <w:sz w:val="28"/>
                <w:szCs w:val="28"/>
                <w:lang w:val="uk-UA"/>
              </w:rPr>
              <w:t>»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Колективними методами експертної оцінки є: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Аналітичні методи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Експертний метод реалізації господарських рішень ефективно використовується за умови, коли: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Процес мозкового штурму проходить ряд послідовних етапів: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За характером постановки питань і формою відповідей, виділяють такий вид експертних оцінок: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якісних методів розробки господарських рішень належить: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Під ефективністю господарського рішення розуміють: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груп критеріїв оцінювання господарських рішень належать: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 xml:space="preserve">Шкала </w:t>
            </w:r>
            <w:proofErr w:type="spellStart"/>
            <w:r w:rsidRPr="00BE46B1">
              <w:rPr>
                <w:bCs/>
                <w:sz w:val="28"/>
                <w:szCs w:val="28"/>
                <w:lang w:val="uk-UA"/>
              </w:rPr>
              <w:t>Лайкерта</w:t>
            </w:r>
            <w:proofErr w:type="spellEnd"/>
            <w:r w:rsidRPr="00BE46B1">
              <w:rPr>
                <w:bCs/>
                <w:sz w:val="28"/>
                <w:szCs w:val="28"/>
                <w:lang w:val="uk-UA"/>
              </w:rPr>
              <w:t xml:space="preserve"> – це метод: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Концепція математичного вибору рішень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Представники нормативного підходу концентрують увагу на: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В основі якого методу лежить поведінкова теорія прийняття рішень, яка носить яскраво виражений пояснювальний характер рішення?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Найпоширенішими підходами до оцінки ефективності управління є: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критеріїв короткотермінової ефективності належить: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Такі фактори як зовнішні умови, технологія, вибір стратегії, структура, процеси, культура впливають на: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Умовами ефективного контролю управлінських рішень є: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Метод, у якому використаються як досвід, накопичений у минулому, так і поточні допущення відносно майбутнього щодо його визначення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Отримання науково обґрунтованих варіантів тенденцій розвитку (зміни) керованого об’єкта (показників його стану) в часі і просторі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Які прогнози дають можливість, використовуючи багато галузей знань, передбачити, що станеться у складних ситуаціях?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Каузальні та не каузальні методи прогнозування належать до прогнозів: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Кількісні методи прогнозування базуються на: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Для прогнозування в практичній діяльності застосовують методи: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Виявлення закономірних тенденцій у розвитку керованого об’єкта, встановлення стану прогнозованого об’єкта в сьогоденні і майбутньому, вираховування щодо розробки стратегічних рішень – це прогноз: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 xml:space="preserve">Дослідження впливу чинників на різних етапах досягнення мети організації, формулювання гіпотези взаємовпливу різних факторів на </w:t>
            </w:r>
            <w:r w:rsidRPr="00BE46B1">
              <w:rPr>
                <w:bCs/>
                <w:sz w:val="28"/>
                <w:szCs w:val="28"/>
                <w:lang w:val="uk-UA"/>
              </w:rPr>
              <w:lastRenderedPageBreak/>
              <w:t>об’єкт прогнозування і визначення ймовірнісних термінів досягнення проміжних цілей щодо досягнення головної – це прогноз: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189.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Метод ланцюгових підстановок полягає у: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основних вимог, що ставляться до прогнозів, відносять: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Неповноцінність чи неточність інформації про умови підготовки та реалізації господарських рішень, у тому числі зв’язані з ними витрати і результати – це:</w:t>
            </w:r>
          </w:p>
        </w:tc>
      </w:tr>
      <w:tr w:rsidR="00433087" w:rsidRPr="00BE46B1" w:rsidTr="00C500AE">
        <w:trPr>
          <w:trHeight w:val="64"/>
        </w:trPr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Показником стійкості розробленого проекту (програми) є: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За ступенем імовірності настання подій розрізняють такі типи невизначеності: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Соціальна невизначеність пов’язана з: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У якому випадку ймовірність настання подій визначають через відносну частоту?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причин виникнення невизначеності належить: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Зміни природи, зміни виробництва, зміна людської природи,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Недостатні дані про зміни природи, виробництва, людини, перешкоди в процесі їх перетворення в інформацію, обмежені можливості її трансформації в знання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факторів глобального масштабу належать: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Графічне зображення залежності імовірності втрат від їхнього рівня, що показує, наскільки ймовірне їх виникнення,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Ставлення людей до ризику враховує теорія: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Додаткове задоволення, яке одержує особа від споживання додаткової кількості товару, називається: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Від наявної кількості певного блага (запасу) та від інтенсивності потреби в ньому залежить: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Раціональну поведінку людей в умовах ризику досліджували: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 xml:space="preserve">Різниця між очікуваним </w:t>
            </w:r>
            <w:proofErr w:type="spellStart"/>
            <w:r w:rsidRPr="00BE46B1">
              <w:rPr>
                <w:bCs/>
                <w:sz w:val="28"/>
                <w:szCs w:val="28"/>
                <w:lang w:val="uk-UA"/>
              </w:rPr>
              <w:t>виграшем</w:t>
            </w:r>
            <w:proofErr w:type="spellEnd"/>
            <w:r w:rsidRPr="00BE46B1">
              <w:rPr>
                <w:bCs/>
                <w:sz w:val="28"/>
                <w:szCs w:val="28"/>
                <w:lang w:val="uk-UA"/>
              </w:rPr>
              <w:t xml:space="preserve"> і детермінованим еквівалентом лотереї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Сума, яку особа згодна уступити, щоб уникнути ризику, пов’язаного з лотереєю, називається: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Функція корисності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Особу, що приймає рішення, називають схильною до ризику, якщо: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Особа, для якої пріоритетним є одержання гарантованого виграшу порівняно з участю в лотереї, є: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Якщо для особи пріоритетним є участь у лотереї, вона до ризику: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Необхідність заздалегідь передбачати можливі наслідки ризику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Коефіцієнт ризику характеризує: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Коефіцієнт ризику вважається оптимальним, коли: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Ситуація банкрутства виникає у тому випадку, коли: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Правило «розумного ризику» засновано на принципі % успіху : % сумнівів: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216.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BE46B1">
              <w:rPr>
                <w:bCs/>
                <w:sz w:val="28"/>
                <w:szCs w:val="28"/>
                <w:lang w:val="uk-UA"/>
              </w:rPr>
              <w:t>Черчмена-Акофа</w:t>
            </w:r>
            <w:proofErr w:type="spellEnd"/>
            <w:r w:rsidRPr="00BE46B1">
              <w:rPr>
                <w:bCs/>
                <w:sz w:val="28"/>
                <w:szCs w:val="28"/>
                <w:lang w:val="uk-UA"/>
              </w:rPr>
              <w:t xml:space="preserve"> як метод, що застосовуються під час порівняння та відбору розроблених варіантів рішень клієнтських проблем, використовується:</w:t>
            </w:r>
          </w:p>
        </w:tc>
      </w:tr>
      <w:tr w:rsidR="00433087" w:rsidRPr="00BE46B1" w:rsidTr="00C500AE">
        <w:trPr>
          <w:trHeight w:val="155"/>
        </w:trPr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Оцінка варіантів здійснюється на основі аналізу найбільш і найменш переважного варіанта та завершується, коли визначається порівняльна перевага всіх показників експертизи альтернативних варіантів, – це метод: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Моделювання вибору рішень в умовах ризику здійснюється за допомогою методу: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Який з показників включає метод побудови «дерева рішень»?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Компоненти графіку «дерева рішень» включають: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Зіткнення протилежних інтересів учасників призводить до виникнення: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Теорія ігор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Теорія гри ефективно реалізується за умови, що: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Передбачення результатів стратегічних, оперативних ігор, коли учасники не мають повної інформації про наміри один одного,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У теорії ігор особистий хід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Аспект, пов’язаний з виявленням впливу рішень, які приймаються в умовах невизначеності та конфліктності, на інтереси суб'єктів господарювання, притаманний</w:t>
            </w:r>
            <w:r w:rsidRPr="00BE46B1">
              <w:rPr>
                <w:sz w:val="28"/>
                <w:szCs w:val="28"/>
                <w:lang w:val="uk-UA"/>
              </w:rPr>
              <w:t>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Який метод полягає в генерації якомога більшої кількості варіантів вирішення проблеми, в тому числі і найнеймовірніших, а далі, з усіх придуманих варіантів відбираються ті, які можуть бути реалізовані на ділі?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Якісний аналіз ризику дає можливість: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Етапами методу мозкового штурму є: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Який метод якісної оцінки ризику передбачає визначення видів ризику і граничного рівня його припустимої величини?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групи евристичних методів аналізу ризику належать: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Випадкова величина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Частка числа і сходів (наслідків), сприятливих даній події в загальному числі можливих рівно імовірних результатів (наслідків)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Який із показників кількісної оцінки ризику є відносною величиною?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Коефіцієнт варіації визначається як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Якщо коефіцієнт варіації знаходиться в межах від 10 % до 25 %, то це коливання: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До втрат у виробничому процесі належить: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Сплата підвищених відрахувань і податків, якщо в процесі здійснення бізнес-плану ставки відрахувань і податків зміняться в несприятливу для підприємця сторону належить до втрат: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Графічне зображення ряду у вигляді неперервної лінії зміни частот у варіаційному ряді, який функціонально пов’язаний зі зміною варіанту (значень ознаки), – це:</w:t>
            </w:r>
          </w:p>
        </w:tc>
      </w:tr>
      <w:tr w:rsidR="00433087" w:rsidRPr="00BE46B1" w:rsidTr="00C500AE">
        <w:tc>
          <w:tcPr>
            <w:tcW w:w="367" w:type="pct"/>
          </w:tcPr>
          <w:p w:rsidR="00433087" w:rsidRPr="00BE46B1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6B1">
              <w:rPr>
                <w:sz w:val="28"/>
                <w:szCs w:val="28"/>
                <w:lang w:val="uk-UA"/>
              </w:rPr>
              <w:lastRenderedPageBreak/>
              <w:t>240.</w:t>
            </w:r>
          </w:p>
        </w:tc>
        <w:tc>
          <w:tcPr>
            <w:tcW w:w="4633" w:type="pct"/>
          </w:tcPr>
          <w:p w:rsidR="00433087" w:rsidRPr="00BE46B1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46B1">
              <w:rPr>
                <w:bCs/>
                <w:sz w:val="28"/>
                <w:szCs w:val="28"/>
                <w:lang w:val="uk-UA"/>
              </w:rPr>
              <w:t>Сукупність логічних прийомів і методологічних правил теоретичного дослідження і відшукання істини – це: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BE4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325B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31A3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7983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5BA4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57D9"/>
    <w:rsid w:val="003A6971"/>
    <w:rsid w:val="003C2348"/>
    <w:rsid w:val="003C5033"/>
    <w:rsid w:val="003C68D0"/>
    <w:rsid w:val="003D10B5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3087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25E05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65786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01EDE"/>
    <w:rsid w:val="00A21516"/>
    <w:rsid w:val="00A31C6A"/>
    <w:rsid w:val="00A360A5"/>
    <w:rsid w:val="00A42788"/>
    <w:rsid w:val="00A42C07"/>
    <w:rsid w:val="00A43B37"/>
    <w:rsid w:val="00A45319"/>
    <w:rsid w:val="00A455B1"/>
    <w:rsid w:val="00A555B0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0C2B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46B1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00AE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92C5-A826-4386-8FD1-72C10D0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ние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AD90-4240-43B8-9089-3435810E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3183</Words>
  <Characters>18145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3</cp:revision>
  <dcterms:created xsi:type="dcterms:W3CDTF">2020-09-02T10:31:00Z</dcterms:created>
  <dcterms:modified xsi:type="dcterms:W3CDTF">2020-11-27T10:29:00Z</dcterms:modified>
</cp:coreProperties>
</file>