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43E9" w14:textId="47FE4D70" w:rsidR="004D7BF7" w:rsidRDefault="004D7BF7"/>
    <w:p w14:paraId="1F473FD5" w14:textId="7362B074" w:rsidR="00833535" w:rsidRDefault="00833535" w:rsidP="00833535">
      <w:pPr>
        <w:pStyle w:val="1"/>
      </w:pPr>
      <w:r>
        <w:t>Лекція 10</w:t>
      </w:r>
    </w:p>
    <w:p w14:paraId="6A80F080" w14:textId="78CB0337" w:rsidR="00833535" w:rsidRDefault="00833535" w:rsidP="00833535">
      <w:pPr>
        <w:pStyle w:val="1"/>
      </w:pPr>
      <w:r>
        <w:t xml:space="preserve">Розділ 5. ПЕРЕТВОРЮВАЧІ КОНТАКТНОГО </w:t>
      </w:r>
      <w:r>
        <w:br/>
        <w:t>ОПОРУ (ПКО)</w:t>
      </w:r>
    </w:p>
    <w:p w14:paraId="6F975E06" w14:textId="77777777" w:rsidR="00833535" w:rsidRDefault="00833535" w:rsidP="00833535">
      <w:pPr>
        <w:pStyle w:val="2"/>
      </w:pPr>
      <w:r>
        <w:t>5.1. Загальна характеристика ПКО</w:t>
      </w:r>
    </w:p>
    <w:p w14:paraId="1CFF123B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Перетворювачі контактного опору належать до групи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рювачів активного опору.</w:t>
      </w:r>
    </w:p>
    <w:p w14:paraId="006B1344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Вони грунтуються на залежності перехідного опору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контактів від зусилля їх стиску.</w:t>
      </w:r>
    </w:p>
    <w:p w14:paraId="26CEC32A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Конструктивно ПКО виконують у вигляді стовпчиків, набраних з вугільних або з графітових дисків або шайб (рис. 5.1), тому їх інколи називають вугільними або графітовими перетворювачами.</w:t>
      </w:r>
    </w:p>
    <w:p w14:paraId="6521E338" w14:textId="77777777" w:rsidR="00833535" w:rsidRDefault="00833535" w:rsidP="00833535">
      <w:pPr>
        <w:pStyle w:val="a3"/>
      </w:pPr>
      <w:r>
        <w:t>ПКО застосовують у приладах для вимірювання вібрацій і змінних тисків, у вимірювальних пристроях деяких типів регул</w:t>
      </w:r>
      <w:r>
        <w:t>я</w:t>
      </w:r>
      <w:r>
        <w:t>торів напруги та частоти обертання електродвигунів, як вугільні мікрофони для перетворення звукових коливань у електричні.</w:t>
      </w:r>
    </w:p>
    <w:p w14:paraId="6016D331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числа безперечних переваг ПКО належать такі: досить вис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ка чутливість до переміщення; дешевизна і простота конструкції; висока потужність вихідного сигналу.</w:t>
      </w:r>
    </w:p>
    <w:p w14:paraId="66B0D9E9" w14:textId="77777777" w:rsidR="00833535" w:rsidRDefault="00833535" w:rsidP="00833535">
      <w:pPr>
        <w:jc w:val="center"/>
        <w:rPr>
          <w:snapToGrid w:val="0"/>
          <w:sz w:val="22"/>
          <w:lang w:val="uk-UA"/>
        </w:rPr>
      </w:pPr>
      <w:r>
        <w:object w:dxaOrig="1137" w:dyaOrig="1885" w14:anchorId="3540F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94.45pt" o:ole="">
            <v:imagedata r:id="rId5" o:title=""/>
          </v:shape>
          <o:OLEObject Type="Embed" ProgID="Visio.Drawing.11" ShapeID="_x0000_i1025" DrawAspect="Content" ObjectID="_1664959222" r:id="rId6"/>
        </w:object>
      </w:r>
    </w:p>
    <w:p w14:paraId="29A4BB0E" w14:textId="77777777" w:rsidR="00833535" w:rsidRDefault="00833535" w:rsidP="00833535">
      <w:pPr>
        <w:pStyle w:val="ris"/>
      </w:pPr>
      <w:r>
        <w:t>Рис. 5.1. Конструкція перетворювача контактного опору</w:t>
      </w:r>
    </w:p>
    <w:p w14:paraId="2FA8C1C8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Перетворювачі контактного опору мають і деякі недоліки: з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лежність опору від температури та вологості навколишнього середовища; нелінійна залежність між деформацією та опором перетворювача, яка характеризується петлею гістерезису (1–2%); погана відтворюваність характеристик перетворювача від зразка до зразка.</w:t>
      </w:r>
    </w:p>
    <w:p w14:paraId="781EEA3F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Характеристика таких перетворювачів визначається співвідн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шенням</w:t>
      </w:r>
    </w:p>
    <w:p w14:paraId="550D75DC" w14:textId="77777777" w:rsidR="00833535" w:rsidRDefault="00833535" w:rsidP="00833535">
      <w:pPr>
        <w:pStyle w:val="aaa"/>
        <w:jc w:val="center"/>
      </w:pPr>
      <w:r>
        <w:rPr>
          <w:position w:val="-28"/>
        </w:rPr>
        <w:object w:dxaOrig="1700" w:dyaOrig="639" w14:anchorId="19179BED">
          <v:shape id="_x0000_i1026" type="#_x0000_t75" style="width:85.1pt;height:31.8pt" o:ole="">
            <v:imagedata r:id="rId7" o:title=""/>
          </v:shape>
          <o:OLEObject Type="Embed" ProgID="Equation.3" ShapeID="_x0000_i1026" DrawAspect="Content" ObjectID="_1664959223" r:id="rId8"/>
        </w:object>
      </w:r>
    </w:p>
    <w:p w14:paraId="006F663F" w14:textId="77777777" w:rsidR="00833535" w:rsidRDefault="00833535" w:rsidP="0083353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R –</w:t>
      </w:r>
      <w:r>
        <w:rPr>
          <w:snapToGrid w:val="0"/>
          <w:sz w:val="22"/>
          <w:lang w:val="uk-UA"/>
        </w:rPr>
        <w:t xml:space="preserve"> перехідний опір ПКО, Ом; </w:t>
      </w:r>
      <w:r>
        <w:rPr>
          <w:i/>
          <w:snapToGrid w:val="0"/>
          <w:sz w:val="22"/>
          <w:lang w:val="uk-UA"/>
        </w:rPr>
        <w:t>п –</w:t>
      </w:r>
      <w:r>
        <w:rPr>
          <w:snapToGrid w:val="0"/>
          <w:sz w:val="22"/>
          <w:lang w:val="uk-UA"/>
        </w:rPr>
        <w:t xml:space="preserve"> число дисків або шайб ПКО;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vertAlign w:val="subscript"/>
          <w:lang w:val="uk-UA"/>
        </w:rPr>
        <w:t>ш</w:t>
      </w:r>
      <w:r>
        <w:rPr>
          <w:snapToGrid w:val="0"/>
          <w:sz w:val="22"/>
          <w:lang w:val="uk-UA"/>
        </w:rPr>
        <w:t>=(</w:t>
      </w:r>
      <w:r>
        <w:rPr>
          <w:snapToGrid w:val="0"/>
          <w:sz w:val="22"/>
          <w:lang w:val="uk-UA"/>
        </w:rPr>
        <w:sym w:font="Symbol" w:char="F070"/>
      </w:r>
      <w:r>
        <w:rPr>
          <w:snapToGrid w:val="0"/>
          <w:sz w:val="22"/>
          <w:lang w:val="uk-UA"/>
        </w:rPr>
        <w:t>/4)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(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-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) – площа шайби, см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>D, d –</w:t>
      </w:r>
      <w:r>
        <w:rPr>
          <w:snapToGrid w:val="0"/>
          <w:sz w:val="22"/>
          <w:lang w:val="uk-UA"/>
        </w:rPr>
        <w:t xml:space="preserve"> зовнішній та внутрі</w:t>
      </w:r>
      <w:r>
        <w:rPr>
          <w:snapToGrid w:val="0"/>
          <w:sz w:val="22"/>
          <w:lang w:val="uk-UA"/>
        </w:rPr>
        <w:t>ш</w:t>
      </w:r>
      <w:r>
        <w:rPr>
          <w:snapToGrid w:val="0"/>
          <w:sz w:val="22"/>
          <w:lang w:val="uk-UA"/>
        </w:rPr>
        <w:t xml:space="preserve">ній діаметри шайби, см; </w:t>
      </w:r>
      <w:r>
        <w:rPr>
          <w:i/>
          <w:snapToGrid w:val="0"/>
          <w:sz w:val="22"/>
          <w:lang w:val="uk-UA"/>
        </w:rPr>
        <w:sym w:font="Symbol" w:char="F072"/>
      </w:r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>питомий опір матеріалу (напр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клад, для електродного вугілля </w:t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>=(3–10/10</w:t>
      </w:r>
      <w:r>
        <w:rPr>
          <w:snapToGrid w:val="0"/>
          <w:sz w:val="22"/>
          <w:vertAlign w:val="superscript"/>
          <w:lang w:val="uk-UA"/>
        </w:rPr>
        <w:t>-3</w:t>
      </w:r>
      <w:r>
        <w:rPr>
          <w:snapToGrid w:val="0"/>
          <w:sz w:val="22"/>
          <w:lang w:val="uk-UA"/>
        </w:rPr>
        <w:t xml:space="preserve"> Ом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 xml:space="preserve">см);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товщина шайби (звичайно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=0,05...0,35 см); </w:t>
      </w:r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lang w:val="uk-UA"/>
        </w:rPr>
        <w:t xml:space="preserve"> – сталий коефіцієнт, зумо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>лений якістю поверхні контактних шайб (визначається експериментал</w:t>
      </w:r>
      <w:r>
        <w:rPr>
          <w:snapToGrid w:val="0"/>
          <w:sz w:val="22"/>
          <w:lang w:val="uk-UA"/>
        </w:rPr>
        <w:t>ь</w:t>
      </w:r>
      <w:r>
        <w:rPr>
          <w:snapToGrid w:val="0"/>
          <w:sz w:val="22"/>
          <w:lang w:val="uk-UA"/>
        </w:rPr>
        <w:t>но), Ом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кг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см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 xml:space="preserve">F – </w:t>
      </w:r>
      <w:r>
        <w:rPr>
          <w:snapToGrid w:val="0"/>
          <w:sz w:val="22"/>
          <w:lang w:val="uk-UA"/>
        </w:rPr>
        <w:t>зусилля стиску, кг.</w:t>
      </w:r>
    </w:p>
    <w:p w14:paraId="4CB232E3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Розміри стовпчика вибирають з умови тепловіддачі</w:t>
      </w:r>
    </w:p>
    <w:p w14:paraId="6B570A8D" w14:textId="77777777" w:rsidR="00833535" w:rsidRDefault="00833535" w:rsidP="00833535">
      <w:pPr>
        <w:pStyle w:val="aaa"/>
        <w:jc w:val="center"/>
      </w:pPr>
      <w:r>
        <w:rPr>
          <w:position w:val="-28"/>
        </w:rPr>
        <w:object w:dxaOrig="1760" w:dyaOrig="680" w14:anchorId="39C58873">
          <v:shape id="_x0000_i1027" type="#_x0000_t75" style="width:87.9pt;height:34.15pt" o:ole="">
            <v:imagedata r:id="rId9" o:title=""/>
          </v:shape>
          <o:OLEObject Type="Embed" ProgID="Equation.3" ShapeID="_x0000_i1027" DrawAspect="Content" ObjectID="_1664959224" r:id="rId10"/>
        </w:object>
      </w:r>
    </w:p>
    <w:p w14:paraId="053CB199" w14:textId="77777777" w:rsidR="00833535" w:rsidRDefault="00833535" w:rsidP="0083353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lang w:val="uk-UA"/>
        </w:rPr>
        <w:t xml:space="preserve"> –допустимий струм, який для ПКС становить [51] 0,2 А; </w:t>
      </w:r>
      <w:r>
        <w:rPr>
          <w:snapToGrid w:val="0"/>
          <w:sz w:val="22"/>
          <w:lang w:val="uk-UA"/>
        </w:rPr>
        <w:sym w:font="Symbol" w:char="F06D"/>
      </w:r>
      <w:r>
        <w:rPr>
          <w:snapToGrid w:val="0"/>
          <w:sz w:val="22"/>
          <w:lang w:val="uk-UA"/>
        </w:rPr>
        <w:t>=(1,12–1,5/10</w:t>
      </w:r>
      <w:r>
        <w:rPr>
          <w:snapToGrid w:val="0"/>
          <w:sz w:val="22"/>
          <w:vertAlign w:val="superscript"/>
          <w:lang w:val="uk-UA"/>
        </w:rPr>
        <w:t>-3</w:t>
      </w:r>
      <w:r>
        <w:rPr>
          <w:snapToGrid w:val="0"/>
          <w:sz w:val="22"/>
          <w:lang w:val="uk-UA"/>
        </w:rPr>
        <w:t xml:space="preserve"> Вт/(см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 xml:space="preserve">К) – коефіцієнт тепловіддачі;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vertAlign w:val="subscript"/>
          <w:lang w:val="uk-UA"/>
        </w:rPr>
        <w:t>б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sym w:font="Symbol" w:char="F070"/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bscript"/>
          <w:lang w:val="uk-UA"/>
        </w:rPr>
        <w:t>пб</w:t>
      </w:r>
      <w:r>
        <w:rPr>
          <w:snapToGrid w:val="0"/>
          <w:sz w:val="22"/>
          <w:lang w:val="uk-UA"/>
        </w:rPr>
        <w:t xml:space="preserve"> – площа бічної поверхні ПКО, см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vertAlign w:val="subscript"/>
          <w:lang w:val="uk-UA"/>
        </w:rPr>
        <w:t>max</w:t>
      </w:r>
      <w:r>
        <w:rPr>
          <w:snapToGrid w:val="0"/>
          <w:sz w:val="22"/>
          <w:lang w:val="uk-UA"/>
        </w:rPr>
        <w:t xml:space="preserve"> – максимальна допустима робоча температура ПКО (звичайно 180...230°С);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vertAlign w:val="subscript"/>
          <w:lang w:val="uk-UA"/>
        </w:rPr>
        <w:t>нmax</w:t>
      </w:r>
      <w:r>
        <w:rPr>
          <w:snapToGrid w:val="0"/>
          <w:sz w:val="22"/>
          <w:lang w:val="uk-UA"/>
        </w:rPr>
        <w:t xml:space="preserve"> – максим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льна температура навколишнього середовища.</w:t>
      </w:r>
    </w:p>
    <w:p w14:paraId="0475DD21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 рис. 5.2 показано диференціальну схему вмикання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рювача контактного опору.</w:t>
      </w:r>
    </w:p>
    <w:p w14:paraId="38B0E459" w14:textId="77777777" w:rsidR="00833535" w:rsidRDefault="00833535" w:rsidP="00833535">
      <w:pPr>
        <w:jc w:val="center"/>
        <w:rPr>
          <w:i/>
          <w:snapToGrid w:val="0"/>
          <w:sz w:val="22"/>
          <w:lang w:val="uk-UA"/>
        </w:rPr>
      </w:pPr>
      <w:r>
        <w:object w:dxaOrig="2868" w:dyaOrig="2502" w14:anchorId="6A1063D7">
          <v:shape id="_x0000_i1028" type="#_x0000_t75" style="width:143.55pt;height:125.3pt" o:ole="">
            <v:imagedata r:id="rId11" o:title=""/>
          </v:shape>
          <o:OLEObject Type="Embed" ProgID="Visio.Drawing.11" ShapeID="_x0000_i1028" DrawAspect="Content" ObjectID="_1664959225" r:id="rId12"/>
        </w:object>
      </w:r>
    </w:p>
    <w:p w14:paraId="75350E5C" w14:textId="77777777" w:rsidR="00833535" w:rsidRDefault="00833535" w:rsidP="00833535">
      <w:pPr>
        <w:pStyle w:val="ris"/>
      </w:pPr>
      <w:r>
        <w:t xml:space="preserve">Рис. 5.2. Диференціальна схема вмикання перетворювача </w:t>
      </w:r>
      <w:r>
        <w:br/>
        <w:t>контак</w:t>
      </w:r>
      <w:r>
        <w:t>т</w:t>
      </w:r>
      <w:r>
        <w:t>ного опору</w:t>
      </w:r>
    </w:p>
    <w:p w14:paraId="0F74CC12" w14:textId="77777777" w:rsidR="00833535" w:rsidRDefault="00833535" w:rsidP="00833535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Початкове зусилля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що стискує вугільні стовпчики, вибир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ють набагато більшим за максимальне значення сили </w:t>
      </w:r>
      <w:r>
        <w:rPr>
          <w:i/>
          <w:snapToGrid w:val="0"/>
          <w:sz w:val="22"/>
          <w:lang w:val="uk-UA"/>
        </w:rPr>
        <w:t xml:space="preserve">F, </w:t>
      </w:r>
      <w:r>
        <w:rPr>
          <w:snapToGrid w:val="0"/>
          <w:sz w:val="22"/>
          <w:lang w:val="uk-UA"/>
        </w:rPr>
        <w:t>створюв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ної сприймаючим елементом. З її появою опір одного з перетворювачів зменшується, а другого збільшується, і на виході виникає напруга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вих</w:t>
      </w:r>
      <w:r>
        <w:rPr>
          <w:snapToGrid w:val="0"/>
          <w:sz w:val="22"/>
          <w:lang w:val="uk-UA"/>
        </w:rPr>
        <w:t xml:space="preserve"> знак якої залежить від знаку сили </w:t>
      </w:r>
      <w:r>
        <w:rPr>
          <w:i/>
          <w:snapToGrid w:val="0"/>
          <w:sz w:val="22"/>
          <w:lang w:val="uk-UA"/>
        </w:rPr>
        <w:t>F.</w:t>
      </w:r>
    </w:p>
    <w:p w14:paraId="0EC590B4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Нехай опір перетворювача за наявності початкового стиску</w:t>
      </w:r>
    </w:p>
    <w:p w14:paraId="4C4D0BC7" w14:textId="77777777" w:rsidR="00833535" w:rsidRDefault="00833535" w:rsidP="00833535">
      <w:pPr>
        <w:pStyle w:val="aaa"/>
      </w:pPr>
      <w:r>
        <w:rPr>
          <w:position w:val="-30"/>
        </w:rPr>
        <w:object w:dxaOrig="1500" w:dyaOrig="680" w14:anchorId="11D31490">
          <v:shape id="_x0000_i1029" type="#_x0000_t75" style="width:74.8pt;height:34.15pt" o:ole="">
            <v:imagedata r:id="rId13" o:title=""/>
          </v:shape>
          <o:OLEObject Type="Embed" ProgID="Equation.3" ShapeID="_x0000_i1029" DrawAspect="Content" ObjectID="_1664959226" r:id="rId14"/>
        </w:object>
      </w:r>
    </w:p>
    <w:p w14:paraId="42C9A896" w14:textId="77777777" w:rsidR="00833535" w:rsidRDefault="00833535" w:rsidP="0083353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опір при початковому стиску.</w:t>
      </w:r>
    </w:p>
    <w:p w14:paraId="4D554D6C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 напруга на виході диференціальної схеми</w:t>
      </w:r>
    </w:p>
    <w:p w14:paraId="5C87F449" w14:textId="77777777" w:rsidR="00833535" w:rsidRDefault="00833535" w:rsidP="00833535">
      <w:pPr>
        <w:pStyle w:val="aaa"/>
      </w:pPr>
      <w:r>
        <w:rPr>
          <w:position w:val="-184"/>
        </w:rPr>
        <w:object w:dxaOrig="3980" w:dyaOrig="2540" w14:anchorId="69C8898A">
          <v:shape id="_x0000_i1030" type="#_x0000_t75" style="width:199.15pt;height:127.15pt" o:ole="">
            <v:imagedata r:id="rId15" o:title=""/>
          </v:shape>
          <o:OLEObject Type="Embed" ProgID="Equation.3" ShapeID="_x0000_i1030" DrawAspect="Content" ObjectID="_1664959227" r:id="rId16"/>
        </w:object>
      </w:r>
    </w:p>
    <w:p w14:paraId="66B37C5E" w14:textId="77777777" w:rsidR="00833535" w:rsidRDefault="00833535" w:rsidP="0083353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0EB718EA" w14:textId="77777777" w:rsidR="00833535" w:rsidRDefault="00833535" w:rsidP="00833535">
      <w:pPr>
        <w:pStyle w:val="aaa"/>
      </w:pPr>
      <w:r>
        <w:rPr>
          <w:position w:val="-58"/>
        </w:rPr>
        <w:object w:dxaOrig="4000" w:dyaOrig="1280" w14:anchorId="4D5159EF">
          <v:shape id="_x0000_i1031" type="#_x0000_t75" style="width:200.1pt;height:64.05pt" o:ole="">
            <v:imagedata r:id="rId17" o:title=""/>
          </v:shape>
          <o:OLEObject Type="Embed" ProgID="Equation.3" ShapeID="_x0000_i1031" DrawAspect="Content" ObjectID="_1664959228" r:id="rId18"/>
        </w:object>
      </w:r>
    </w:p>
    <w:p w14:paraId="214378AA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Позначивши відносне зусилля </w:t>
      </w:r>
      <w:r>
        <w:rPr>
          <w:i/>
          <w:snapToGrid w:val="0"/>
          <w:sz w:val="22"/>
          <w:lang w:val="uk-UA"/>
        </w:rPr>
        <w:t>F/F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 xml:space="preserve"> через </w:t>
      </w:r>
      <w:r>
        <w:rPr>
          <w:i/>
          <w:snapToGrid w:val="0"/>
          <w:sz w:val="22"/>
          <w:lang w:val="uk-UA"/>
        </w:rPr>
        <w:sym w:font="Symbol" w:char="F061"/>
      </w:r>
      <w:r>
        <w:rPr>
          <w:snapToGrid w:val="0"/>
          <w:sz w:val="22"/>
          <w:lang w:val="uk-UA"/>
        </w:rPr>
        <w:t>, дістанемо</w:t>
      </w:r>
    </w:p>
    <w:p w14:paraId="3478D951" w14:textId="77777777" w:rsidR="00833535" w:rsidRDefault="00833535" w:rsidP="00833535">
      <w:pPr>
        <w:pStyle w:val="aaa"/>
      </w:pPr>
      <w:r>
        <w:rPr>
          <w:position w:val="-58"/>
        </w:rPr>
        <w:object w:dxaOrig="3159" w:dyaOrig="1280" w14:anchorId="44F407C1">
          <v:shape id="_x0000_i1032" type="#_x0000_t75" style="width:158.05pt;height:64.05pt" o:ole="">
            <v:imagedata r:id="rId19" o:title=""/>
          </v:shape>
          <o:OLEObject Type="Embed" ProgID="Equation.3" ShapeID="_x0000_i1032" DrawAspect="Content" ObjectID="_1664959229" r:id="rId20"/>
        </w:object>
      </w:r>
    </w:p>
    <w:p w14:paraId="1B35BDD0" w14:textId="77777777" w:rsidR="00833535" w:rsidRDefault="00833535" w:rsidP="0083353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Тобто</w:t>
      </w:r>
    </w:p>
    <w:p w14:paraId="77BF8FAE" w14:textId="77777777" w:rsidR="00833535" w:rsidRDefault="00833535" w:rsidP="00833535">
      <w:pPr>
        <w:pStyle w:val="aaa"/>
      </w:pPr>
      <w:r>
        <w:rPr>
          <w:position w:val="-68"/>
        </w:rPr>
        <w:object w:dxaOrig="2400" w:dyaOrig="1359" w14:anchorId="60DA6076">
          <v:shape id="_x0000_i1033" type="#_x0000_t75" style="width:120.15pt;height:67.8pt" o:ole="">
            <v:imagedata r:id="rId21" o:title=""/>
          </v:shape>
          <o:OLEObject Type="Embed" ProgID="Equation.3" ShapeID="_x0000_i1033" DrawAspect="Content" ObjectID="_1664959230" r:id="rId22"/>
        </w:object>
      </w:r>
    </w:p>
    <w:p w14:paraId="0AF7EC1E" w14:textId="77777777" w:rsidR="00833535" w:rsidRDefault="00833535" w:rsidP="00833535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Вважаючи, що деформація пропорційна до сили, робимо висн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вок: величина </w:t>
      </w:r>
      <w:r>
        <w:rPr>
          <w:i/>
          <w:snapToGrid w:val="0"/>
          <w:sz w:val="22"/>
          <w:lang w:val="uk-UA"/>
        </w:rPr>
        <w:sym w:font="Symbol" w:char="F061"/>
      </w:r>
      <w:r>
        <w:rPr>
          <w:snapToGrid w:val="0"/>
          <w:sz w:val="22"/>
          <w:lang w:val="uk-UA"/>
        </w:rPr>
        <w:t xml:space="preserve"> дорівнює також відносному переміщенню, а саме відношенню переміщення до зміни переміщення </w:t>
      </w:r>
      <w:r>
        <w:rPr>
          <w:i/>
          <w:snapToGrid w:val="0"/>
          <w:sz w:val="22"/>
          <w:lang w:val="uk-UA"/>
        </w:rPr>
        <w:t>x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спричиненого силою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.</w:t>
      </w:r>
    </w:p>
    <w:p w14:paraId="6429EF92" w14:textId="77777777" w:rsidR="00833535" w:rsidRDefault="00833535" w:rsidP="00833535">
      <w:pPr>
        <w:pStyle w:val="a3"/>
        <w:rPr>
          <w:lang w:val="ru-RU"/>
        </w:rPr>
      </w:pPr>
      <w:r>
        <w:t>Визначимо чутливість схеми вмикання ПКО до переміщень (деформацій):</w:t>
      </w:r>
    </w:p>
    <w:p w14:paraId="37D8A87A" w14:textId="77777777" w:rsidR="00833535" w:rsidRDefault="00833535" w:rsidP="00833535">
      <w:pPr>
        <w:pStyle w:val="aaa"/>
      </w:pPr>
      <w:r>
        <w:rPr>
          <w:position w:val="-68"/>
        </w:rPr>
        <w:object w:dxaOrig="4300" w:dyaOrig="1359" w14:anchorId="34B3778B">
          <v:shape id="_x0000_i1034" type="#_x0000_t75" style="width:215.05pt;height:67.8pt" o:ole="">
            <v:imagedata r:id="rId23" o:title=""/>
          </v:shape>
          <o:OLEObject Type="Embed" ProgID="Equation.3" ShapeID="_x0000_i1034" DrawAspect="Content" ObjectID="_1664959231" r:id="rId24"/>
        </w:object>
      </w:r>
    </w:p>
    <w:p w14:paraId="0DC43481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Перепишемо здобутий вираз для </w:t>
      </w:r>
      <w:r>
        <w:rPr>
          <w:i/>
          <w:snapToGrid w:val="0"/>
          <w:sz w:val="22"/>
          <w:lang w:val="uk-UA"/>
        </w:rPr>
        <w:t>k</w:t>
      </w:r>
      <w:r>
        <w:rPr>
          <w:i/>
          <w:snapToGrid w:val="0"/>
          <w:sz w:val="22"/>
          <w:vertAlign w:val="subscript"/>
          <w:lang w:val="uk-UA"/>
        </w:rPr>
        <w:t>x</w:t>
      </w:r>
      <w:r>
        <w:rPr>
          <w:snapToGrid w:val="0"/>
          <w:sz w:val="22"/>
          <w:lang w:val="uk-UA"/>
        </w:rPr>
        <w:t xml:space="preserve">, врахувавши, що </w:t>
      </w:r>
      <w:r>
        <w:rPr>
          <w:i/>
          <w:snapToGrid w:val="0"/>
          <w:sz w:val="22"/>
          <w:lang w:val="uk-UA"/>
        </w:rPr>
        <w:sym w:font="Symbol" w:char="F061"/>
      </w:r>
      <w:r>
        <w:rPr>
          <w:snapToGrid w:val="0"/>
          <w:sz w:val="22"/>
          <w:lang w:val="uk-UA"/>
        </w:rPr>
        <w:t xml:space="preserve"> &lt;&lt; 1:</w:t>
      </w:r>
    </w:p>
    <w:p w14:paraId="3B1EE6B8" w14:textId="77777777" w:rsidR="00833535" w:rsidRDefault="00833535" w:rsidP="00833535">
      <w:pPr>
        <w:pStyle w:val="aaa"/>
      </w:pPr>
      <w:r>
        <w:rPr>
          <w:position w:val="-68"/>
        </w:rPr>
        <w:object w:dxaOrig="1800" w:dyaOrig="1359" w14:anchorId="63FDDFD1">
          <v:shape id="_x0000_i1035" type="#_x0000_t75" style="width:90.25pt;height:67.8pt" o:ole="">
            <v:imagedata r:id="rId25" o:title=""/>
          </v:shape>
          <o:OLEObject Type="Embed" ProgID="Equation.3" ShapeID="_x0000_i1035" DrawAspect="Content" ObjectID="_1664959232" r:id="rId26"/>
        </w:object>
      </w:r>
    </w:p>
    <w:p w14:paraId="2B8600FA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Коефіцієнт підсилення </w:t>
      </w:r>
      <w:r>
        <w:rPr>
          <w:i/>
          <w:snapToGrid w:val="0"/>
          <w:sz w:val="22"/>
          <w:lang w:val="uk-UA"/>
        </w:rPr>
        <w:t>k</w:t>
      </w:r>
      <w:r>
        <w:rPr>
          <w:i/>
          <w:snapToGrid w:val="0"/>
          <w:sz w:val="22"/>
          <w:vertAlign w:val="subscript"/>
          <w:lang w:val="uk-UA"/>
        </w:rPr>
        <w:t>x</w:t>
      </w:r>
      <w:r>
        <w:rPr>
          <w:snapToGrid w:val="0"/>
          <w:sz w:val="22"/>
          <w:lang w:val="uk-UA"/>
        </w:rPr>
        <w:t xml:space="preserve"> (або чутливість схеми до переміще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 xml:space="preserve">ня) має максимум при </w:t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t>1, тобто коли досягається рівність опору навантаження початковому опору ПКО. Максимальна чу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>ливість до переміщень</w:t>
      </w:r>
    </w:p>
    <w:p w14:paraId="4EE05262" w14:textId="77777777" w:rsidR="00833535" w:rsidRDefault="00833535" w:rsidP="00833535">
      <w:pPr>
        <w:pStyle w:val="aaa"/>
      </w:pPr>
      <w:r>
        <w:rPr>
          <w:position w:val="-28"/>
        </w:rPr>
        <w:object w:dxaOrig="1219" w:dyaOrig="639" w14:anchorId="1D804A57">
          <v:shape id="_x0000_i1036" type="#_x0000_t75" style="width:60.8pt;height:31.8pt" o:ole="">
            <v:imagedata r:id="rId27" o:title=""/>
          </v:shape>
          <o:OLEObject Type="Embed" ProgID="Equation.3" ShapeID="_x0000_i1036" DrawAspect="Content" ObjectID="_1664959233" r:id="rId28"/>
        </w:object>
      </w:r>
    </w:p>
    <w:p w14:paraId="0EC55218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Оскільки початкові переміщення </w:t>
      </w:r>
      <w:r>
        <w:rPr>
          <w:i/>
          <w:snapToGrid w:val="0"/>
          <w:sz w:val="22"/>
          <w:lang w:val="uk-UA"/>
        </w:rPr>
        <w:t>x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 xml:space="preserve"> звичайно не перевищують часток міліметра, тобто малі, чутливість ПКО до переміщення досить велика і багаторазово перевищує чутливість до переміще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>ня дротяних потенціометричних перетворювачів [16, 17, 51].</w:t>
      </w:r>
    </w:p>
    <w:p w14:paraId="42EB2A0D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Визначимо чутливість схеми вмикання ПКО до умов вимір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вань:</w:t>
      </w:r>
    </w:p>
    <w:p w14:paraId="52B90B90" w14:textId="77777777" w:rsidR="00833535" w:rsidRDefault="00833535" w:rsidP="00833535">
      <w:pPr>
        <w:pStyle w:val="aaa"/>
      </w:pPr>
      <w:r>
        <w:rPr>
          <w:position w:val="-68"/>
        </w:rPr>
        <w:object w:dxaOrig="4099" w:dyaOrig="1359" w14:anchorId="5DB0B748">
          <v:shape id="_x0000_i1037" type="#_x0000_t75" style="width:204.8pt;height:67.8pt" o:ole="">
            <v:imagedata r:id="rId29" o:title=""/>
          </v:shape>
          <o:OLEObject Type="Embed" ProgID="Equation.3" ShapeID="_x0000_i1037" DrawAspect="Content" ObjectID="_1664959234" r:id="rId30"/>
        </w:object>
      </w:r>
    </w:p>
    <w:p w14:paraId="1FFD8129" w14:textId="77777777" w:rsidR="00833535" w:rsidRDefault="00833535" w:rsidP="00833535">
      <w:pPr>
        <w:pStyle w:val="a3"/>
      </w:pPr>
      <w:r>
        <w:t>Аналогічно розглянутому дістанемо, що чутливість до зусиль не перевищує</w:t>
      </w:r>
    </w:p>
    <w:p w14:paraId="5B50C04F" w14:textId="77777777" w:rsidR="00833535" w:rsidRDefault="00833535" w:rsidP="00833535">
      <w:pPr>
        <w:pStyle w:val="aaa"/>
      </w:pPr>
      <w:r>
        <w:rPr>
          <w:position w:val="-28"/>
        </w:rPr>
        <w:object w:dxaOrig="1020" w:dyaOrig="639" w14:anchorId="5F743087">
          <v:shape id="_x0000_i1038" type="#_x0000_t75" style="width:50.95pt;height:31.8pt" o:ole="">
            <v:imagedata r:id="rId31" o:title=""/>
          </v:shape>
          <o:OLEObject Type="Embed" ProgID="Equation.3" ShapeID="_x0000_i1038" DrawAspect="Content" ObjectID="_1664959235" r:id="rId32"/>
        </w:object>
      </w:r>
    </w:p>
    <w:p w14:paraId="43EE7C4D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Враховуючи, що початкові зусилля стиску вугільних стовпчиків досягають кількох десятків кілограмів, тобто значні, очевидно, що чутливість ПКО до зусиль мала.</w:t>
      </w:r>
    </w:p>
    <w:p w14:paraId="2F237B80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Основна перевага ПКО, що зумовила їх застосування, – значна потужність вихідного сигналу. Наприклад, вугільні перетворювачі авіаційних регуляторів напруги з повітряним охолодженням доп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скають розсіювання потужності порядку 100…200 Вт. Такий самий порядок має потужність, що виділяється у навантаженні цих перетворювачів.</w:t>
      </w:r>
    </w:p>
    <w:p w14:paraId="7F45BC0E" w14:textId="77777777" w:rsidR="00833535" w:rsidRDefault="00833535" w:rsidP="00833535">
      <w:pPr>
        <w:pStyle w:val="2"/>
      </w:pPr>
      <w:r>
        <w:t>5.2. Приклад практичного застосування ПКО</w:t>
      </w:r>
    </w:p>
    <w:p w14:paraId="314C6E22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 приклад конкретного промислового використання ПКО ро</w:t>
      </w:r>
      <w:r>
        <w:rPr>
          <w:snapToGrid w:val="0"/>
          <w:sz w:val="22"/>
          <w:lang w:val="uk-UA"/>
        </w:rPr>
        <w:t>з</w:t>
      </w:r>
      <w:r>
        <w:rPr>
          <w:snapToGrid w:val="0"/>
          <w:sz w:val="22"/>
          <w:lang w:val="uk-UA"/>
        </w:rPr>
        <w:t>глянемо застосування його в регуляторі напруги РН-180 2-ї серії, призначеному для автоматичного підтримання в заданих межах напруги генераторів постійного струму СТГ-18ТМ і ГС-24А під час змінювання їх навантаження і частоти обертання якоря в роб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чому діапазоні [18].</w:t>
      </w:r>
    </w:p>
    <w:p w14:paraId="5C29CA5E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 рис. 5.3 показано схему роботи регулятора напруги, де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ем</w:t>
      </w:r>
      <w:r>
        <w:rPr>
          <w:i/>
          <w:snapToGrid w:val="0"/>
          <w:sz w:val="22"/>
          <w:lang w:val="uk-UA"/>
        </w:rPr>
        <w:t xml:space="preserve"> – </w:t>
      </w:r>
      <w:r>
        <w:rPr>
          <w:snapToGrid w:val="0"/>
          <w:sz w:val="22"/>
          <w:lang w:val="uk-UA"/>
        </w:rPr>
        <w:t xml:space="preserve">сила електромагніту;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ст</w:t>
      </w:r>
      <w:r>
        <w:rPr>
          <w:snapToGrid w:val="0"/>
          <w:sz w:val="22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 xml:space="preserve">– </w:t>
      </w:r>
      <w:r>
        <w:rPr>
          <w:snapToGrid w:val="0"/>
          <w:sz w:val="22"/>
          <w:lang w:val="uk-UA"/>
        </w:rPr>
        <w:t xml:space="preserve">сила реакції вугільного стовпчика;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пруж</w:t>
      </w:r>
      <w:r>
        <w:rPr>
          <w:snapToGrid w:val="0"/>
          <w:sz w:val="22"/>
          <w:lang w:val="uk-UA"/>
        </w:rPr>
        <w:t xml:space="preserve"> – сила пружини якоря; 1 – вугільний стовпчик, набраний з шайб; 2– пружина мембранного типу; 3 – якір електромагніту, жорстко зв'язаний з пружиною; 4 – осердя електромагніту; 5 – робоча обмотка електромагніту регулятора.</w:t>
      </w:r>
    </w:p>
    <w:p w14:paraId="4A4564F2" w14:textId="77777777" w:rsidR="00833535" w:rsidRDefault="00833535" w:rsidP="00833535">
      <w:pPr>
        <w:jc w:val="center"/>
        <w:rPr>
          <w:snapToGrid w:val="0"/>
          <w:sz w:val="22"/>
          <w:lang w:val="uk-UA"/>
        </w:rPr>
      </w:pPr>
      <w:r>
        <w:object w:dxaOrig="2900" w:dyaOrig="3607" w14:anchorId="0776900D">
          <v:shape id="_x0000_i1039" type="#_x0000_t75" style="width:144.95pt;height:180.45pt" o:ole="">
            <v:imagedata r:id="rId33" o:title=""/>
          </v:shape>
          <o:OLEObject Type="Embed" ProgID="Visio.Drawing.11" ShapeID="_x0000_i1039" DrawAspect="Content" ObjectID="_1664959236" r:id="rId34"/>
        </w:object>
      </w:r>
    </w:p>
    <w:p w14:paraId="633E67DC" w14:textId="77777777" w:rsidR="00833535" w:rsidRDefault="00833535" w:rsidP="00833535">
      <w:pPr>
        <w:pStyle w:val="ris"/>
      </w:pPr>
      <w:r>
        <w:t>Рис. 5.3. Схема роботи вугільного регулятора напруги</w:t>
      </w:r>
    </w:p>
    <w:p w14:paraId="6C235BDB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 якір електромагніту діє три сили: сила електромагніту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ем</w:t>
      </w:r>
      <w:r>
        <w:rPr>
          <w:iCs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сила реакції вугільного стовпчика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ст</w:t>
      </w:r>
      <w:r>
        <w:rPr>
          <w:snapToGrid w:val="0"/>
          <w:sz w:val="22"/>
          <w:lang w:val="uk-UA"/>
        </w:rPr>
        <w:t xml:space="preserve"> і сила пружини якоря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пруж</w:t>
      </w:r>
      <w:r>
        <w:rPr>
          <w:snapToGrid w:val="0"/>
          <w:sz w:val="22"/>
          <w:lang w:val="uk-UA"/>
        </w:rPr>
        <w:t xml:space="preserve">. Коли алгебраїчна сума сил, що діють на якір, дорівнює нулю, </w:t>
      </w:r>
      <w:r>
        <w:rPr>
          <w:snapToGrid w:val="0"/>
          <w:sz w:val="22"/>
          <w:lang w:val="uk-UA"/>
        </w:rPr>
        <w:br/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ем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ст</w:t>
      </w:r>
      <w:r>
        <w:rPr>
          <w:snapToGrid w:val="0"/>
          <w:sz w:val="22"/>
          <w:lang w:val="uk-UA"/>
        </w:rPr>
        <w:t xml:space="preserve"> –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пруж</w:t>
      </w:r>
      <w:r>
        <w:rPr>
          <w:snapToGrid w:val="0"/>
          <w:sz w:val="22"/>
          <w:lang w:val="uk-UA"/>
        </w:rPr>
        <w:t>, якір перебуває в стані спокою і опір вугільного стовпчика не змінюється.</w:t>
      </w:r>
    </w:p>
    <w:p w14:paraId="2387C0D8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 підвищенням напруги генератора збільшується струм у роб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чій обмотці регулятора і, отже, зростає сила електромагніту. Рі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>новага сил, що діють на якір електромагніту, порушується, і якір переміщується в напрямі електромагніту. При цьому тиск на вуг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льний стовпчик зменшується, і його опір зростає, що спричинює зменшення струму збудження генератора і зниження напруги до рівня, близького до заданого.</w:t>
      </w:r>
    </w:p>
    <w:p w14:paraId="29FDE1AE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разі зниження напруги генератора нижче встановленого рівня сила електромагніту зменшується, рівновага сил порушується, і якір відходить від електромагніту. При цьому тиск на вугільний стовпчик зростає і його опір зменшується. У результаті струм збудження генератора збільшується, напруга генератора зростає до заданого рівня, після чого переміщення якоря припиняється.</w:t>
      </w:r>
    </w:p>
    <w:p w14:paraId="0BC7A76E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новому положенні якір регулятора перебуває в рівновазі, але величини сил, що діють на нього, не змінилися, і зусилля пружини якоря зменшилося за рахунок її прогину, а зусилля електромагніту зменшилося за рахунок збільшення повітряного зазору.</w:t>
      </w:r>
    </w:p>
    <w:p w14:paraId="056EEAED" w14:textId="77777777" w:rsidR="00833535" w:rsidRDefault="00833535" w:rsidP="0083353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Характеристики електромагніту і пружини якоря вибрані так, що невелика зміна напруги на робочій обмотці регулятора сприч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няє зміну опору вугільного стовпчика, яка потрібна для підтр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мання напруги генератора на заданому рівні.</w:t>
      </w:r>
    </w:p>
    <w:p w14:paraId="0B372FE9" w14:textId="77777777" w:rsidR="00833535" w:rsidRDefault="00833535" w:rsidP="00833535">
      <w:pPr>
        <w:pStyle w:val="2"/>
        <w:rPr>
          <w:lang w:val="ru-RU"/>
        </w:rPr>
      </w:pPr>
      <w:r>
        <w:rPr>
          <w:lang w:val="ru-RU"/>
        </w:rPr>
        <w:t xml:space="preserve">5.3. </w:t>
      </w:r>
      <w:r>
        <w:t xml:space="preserve">Контрольні питання до розділу </w:t>
      </w:r>
      <w:r>
        <w:rPr>
          <w:lang w:val="ru-RU"/>
        </w:rPr>
        <w:t>5</w:t>
      </w:r>
    </w:p>
    <w:p w14:paraId="5F35BEC1" w14:textId="77777777" w:rsidR="00833535" w:rsidRDefault="00833535" w:rsidP="00833535">
      <w:pPr>
        <w:pStyle w:val="Normal"/>
        <w:widowControl/>
        <w:numPr>
          <w:ilvl w:val="0"/>
          <w:numId w:val="1"/>
        </w:numPr>
        <w:tabs>
          <w:tab w:val="clear" w:pos="1004"/>
          <w:tab w:val="num" w:pos="709"/>
          <w:tab w:val="right" w:leader="dot" w:pos="6237"/>
        </w:tabs>
        <w:spacing w:line="240" w:lineRule="auto"/>
        <w:ind w:left="709"/>
        <w:rPr>
          <w:color w:val="000000"/>
          <w:spacing w:val="-2"/>
          <w:w w:val="101"/>
          <w:sz w:val="22"/>
          <w:szCs w:val="24"/>
        </w:rPr>
      </w:pPr>
      <w:r>
        <w:rPr>
          <w:color w:val="000000"/>
          <w:spacing w:val="2"/>
          <w:w w:val="101"/>
          <w:sz w:val="22"/>
          <w:szCs w:val="24"/>
        </w:rPr>
        <w:t>Перетворювачі контактного опору. Конструкція. При</w:t>
      </w:r>
      <w:r>
        <w:rPr>
          <w:color w:val="000000"/>
          <w:spacing w:val="2"/>
          <w:w w:val="101"/>
          <w:sz w:val="22"/>
          <w:szCs w:val="24"/>
        </w:rPr>
        <w:t>н</w:t>
      </w:r>
      <w:r>
        <w:rPr>
          <w:color w:val="000000"/>
          <w:spacing w:val="2"/>
          <w:w w:val="101"/>
          <w:sz w:val="22"/>
          <w:szCs w:val="24"/>
        </w:rPr>
        <w:t xml:space="preserve">цип дії. Переваги і недоліки. </w:t>
      </w:r>
      <w:r>
        <w:rPr>
          <w:color w:val="000000"/>
          <w:spacing w:val="-2"/>
          <w:w w:val="101"/>
          <w:sz w:val="22"/>
          <w:szCs w:val="24"/>
        </w:rPr>
        <w:t>Застосування. Схема підкл</w:t>
      </w:r>
      <w:r>
        <w:rPr>
          <w:color w:val="000000"/>
          <w:spacing w:val="-2"/>
          <w:w w:val="101"/>
          <w:sz w:val="22"/>
          <w:szCs w:val="24"/>
        </w:rPr>
        <w:t>ю</w:t>
      </w:r>
      <w:r>
        <w:rPr>
          <w:color w:val="000000"/>
          <w:spacing w:val="-2"/>
          <w:w w:val="101"/>
          <w:sz w:val="22"/>
          <w:szCs w:val="24"/>
        </w:rPr>
        <w:t>чення.</w:t>
      </w:r>
    </w:p>
    <w:p w14:paraId="2BE3EC66" w14:textId="77777777" w:rsidR="00833535" w:rsidRDefault="00833535" w:rsidP="00833535">
      <w:pPr>
        <w:pStyle w:val="Normal"/>
        <w:widowControl/>
        <w:numPr>
          <w:ilvl w:val="0"/>
          <w:numId w:val="1"/>
        </w:numPr>
        <w:tabs>
          <w:tab w:val="clear" w:pos="1004"/>
          <w:tab w:val="num" w:pos="709"/>
          <w:tab w:val="right" w:leader="dot" w:pos="6237"/>
        </w:tabs>
        <w:spacing w:line="240" w:lineRule="auto"/>
        <w:ind w:left="709"/>
        <w:rPr>
          <w:sz w:val="22"/>
        </w:rPr>
      </w:pPr>
      <w:r>
        <w:rPr>
          <w:color w:val="000000"/>
          <w:sz w:val="22"/>
          <w:szCs w:val="24"/>
        </w:rPr>
        <w:t xml:space="preserve">Основні етапи роботи КП. Матеріали. </w:t>
      </w:r>
    </w:p>
    <w:p w14:paraId="61F0C950" w14:textId="77777777" w:rsidR="00833535" w:rsidRDefault="00833535" w:rsidP="00833535">
      <w:pPr>
        <w:pStyle w:val="Normal"/>
        <w:widowControl/>
        <w:numPr>
          <w:ilvl w:val="0"/>
          <w:numId w:val="1"/>
        </w:numPr>
        <w:tabs>
          <w:tab w:val="clear" w:pos="1004"/>
          <w:tab w:val="num" w:pos="709"/>
          <w:tab w:val="right" w:leader="dot" w:pos="6237"/>
        </w:tabs>
        <w:spacing w:line="240" w:lineRule="auto"/>
        <w:ind w:left="709"/>
        <w:rPr>
          <w:sz w:val="22"/>
        </w:rPr>
      </w:pPr>
      <w:r>
        <w:rPr>
          <w:color w:val="000000"/>
          <w:sz w:val="22"/>
          <w:szCs w:val="24"/>
        </w:rPr>
        <w:t>Чутливість ПКО до впливу сил, переміщень</w:t>
      </w:r>
    </w:p>
    <w:p w14:paraId="6D67EE1B" w14:textId="77777777" w:rsidR="00833535" w:rsidRDefault="00833535" w:rsidP="00833535">
      <w:pPr>
        <w:pStyle w:val="Normal"/>
        <w:widowControl/>
        <w:numPr>
          <w:ilvl w:val="0"/>
          <w:numId w:val="1"/>
        </w:numPr>
        <w:tabs>
          <w:tab w:val="clear" w:pos="1004"/>
          <w:tab w:val="num" w:pos="709"/>
          <w:tab w:val="right" w:leader="dot" w:pos="6237"/>
        </w:tabs>
        <w:spacing w:line="240" w:lineRule="auto"/>
        <w:ind w:left="709"/>
        <w:rPr>
          <w:color w:val="000000"/>
          <w:spacing w:val="-1"/>
          <w:sz w:val="22"/>
          <w:szCs w:val="24"/>
        </w:rPr>
      </w:pPr>
      <w:r>
        <w:rPr>
          <w:color w:val="000000"/>
          <w:spacing w:val="5"/>
          <w:sz w:val="22"/>
          <w:szCs w:val="24"/>
        </w:rPr>
        <w:t>Диференціальна схема включення перетворювачів ко</w:t>
      </w:r>
      <w:r>
        <w:rPr>
          <w:color w:val="000000"/>
          <w:spacing w:val="5"/>
          <w:sz w:val="22"/>
          <w:szCs w:val="24"/>
        </w:rPr>
        <w:t>н</w:t>
      </w:r>
      <w:r>
        <w:rPr>
          <w:color w:val="000000"/>
          <w:spacing w:val="5"/>
          <w:sz w:val="22"/>
          <w:szCs w:val="24"/>
        </w:rPr>
        <w:t xml:space="preserve">тактного опору. </w:t>
      </w:r>
    </w:p>
    <w:p w14:paraId="47267F2A" w14:textId="77777777" w:rsidR="00833535" w:rsidRDefault="00833535" w:rsidP="00833535">
      <w:pPr>
        <w:pStyle w:val="Normal"/>
        <w:widowControl/>
        <w:numPr>
          <w:ilvl w:val="0"/>
          <w:numId w:val="1"/>
        </w:numPr>
        <w:tabs>
          <w:tab w:val="clear" w:pos="1004"/>
          <w:tab w:val="num" w:pos="709"/>
          <w:tab w:val="right" w:leader="dot" w:pos="6237"/>
        </w:tabs>
        <w:spacing w:line="240" w:lineRule="auto"/>
        <w:ind w:left="709"/>
        <w:rPr>
          <w:color w:val="000000"/>
          <w:spacing w:val="-1"/>
          <w:sz w:val="22"/>
          <w:szCs w:val="24"/>
        </w:rPr>
      </w:pPr>
      <w:r>
        <w:rPr>
          <w:color w:val="000000"/>
          <w:spacing w:val="5"/>
          <w:sz w:val="22"/>
          <w:szCs w:val="24"/>
        </w:rPr>
        <w:t>Приклади застосування ПКО.</w:t>
      </w:r>
    </w:p>
    <w:p w14:paraId="2AE943C1" w14:textId="77777777" w:rsidR="00833535" w:rsidRDefault="00833535" w:rsidP="00833535">
      <w:pPr>
        <w:pStyle w:val="1"/>
        <w:rPr>
          <w:lang w:val="ru-RU"/>
        </w:rPr>
      </w:pPr>
    </w:p>
    <w:p w14:paraId="01ED9157" w14:textId="77777777" w:rsidR="00833535" w:rsidRDefault="00833535"/>
    <w:sectPr w:rsidR="0083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75267"/>
    <w:multiLevelType w:val="hybridMultilevel"/>
    <w:tmpl w:val="15E8C43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3B"/>
    <w:rsid w:val="004D7BF7"/>
    <w:rsid w:val="007569A6"/>
    <w:rsid w:val="00833535"/>
    <w:rsid w:val="00A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149D"/>
  <w15:chartTrackingRefBased/>
  <w15:docId w15:val="{703F0831-E449-48FB-B517-3B475357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33535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833535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535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3535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833535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3535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833535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Normal">
    <w:name w:val="Normal"/>
    <w:rsid w:val="00833535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ris">
    <w:name w:val="ris"/>
    <w:basedOn w:val="a"/>
    <w:rsid w:val="00833535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Microsoft_Visio_2003-2010_Drawing2.vsd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1.vsd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2020-10-23T08:52:00Z</dcterms:created>
  <dcterms:modified xsi:type="dcterms:W3CDTF">2020-10-23T08:53:00Z</dcterms:modified>
</cp:coreProperties>
</file>