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D56838" w:rsidRPr="004A4D4B" w:rsidTr="00D56838">
        <w:tc>
          <w:tcPr>
            <w:tcW w:w="9854" w:type="dxa"/>
            <w:gridSpan w:val="2"/>
            <w:vAlign w:val="center"/>
          </w:tcPr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економіки та менеджменту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менеджменту </w:t>
            </w:r>
            <w:r w:rsidR="00EE2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туризму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         «</w:t>
            </w:r>
            <w:r w:rsidR="00EE2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56838" w:rsidRPr="004A4D4B" w:rsidRDefault="00D56838" w:rsidP="00EE2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</w:t>
            </w:r>
            <w:r w:rsidR="00EE2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56838" w:rsidRPr="004A4D4B" w:rsidTr="00D56838">
        <w:tc>
          <w:tcPr>
            <w:tcW w:w="3936" w:type="dxa"/>
            <w:vAlign w:val="center"/>
          </w:tcPr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838" w:rsidRDefault="00EE2FFC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_____А.В</w:t>
            </w:r>
            <w:r w:rsidR="00D5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838" w:rsidRPr="004A4D4B" w:rsidRDefault="00EE2FFC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 ___________ 2018</w:t>
            </w:r>
            <w:r w:rsidR="00D5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</w:p>
        </w:tc>
        <w:tc>
          <w:tcPr>
            <w:tcW w:w="5918" w:type="dxa"/>
            <w:vAlign w:val="center"/>
          </w:tcPr>
          <w:p w:rsidR="00D56838" w:rsidRDefault="00D56838" w:rsidP="00D5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838" w:rsidRDefault="00D56838" w:rsidP="00D5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менеджменту </w:t>
            </w:r>
            <w:r w:rsidR="00EE2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туризму</w:t>
            </w:r>
          </w:p>
          <w:p w:rsidR="00D56838" w:rsidRDefault="00D56838" w:rsidP="00D5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</w:t>
            </w:r>
            <w:r w:rsidR="00EE2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 №__ від «__» ___________ 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</w:t>
            </w:r>
            <w:r w:rsidR="006D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________ Г.М. Тарасюк</w:t>
            </w:r>
          </w:p>
          <w:p w:rsidR="00D56838" w:rsidRDefault="00D56838" w:rsidP="00D5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838" w:rsidRPr="004A4D4B" w:rsidRDefault="00EE2FFC" w:rsidP="00D5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 ___________ 2018</w:t>
            </w:r>
            <w:r w:rsidR="00D5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</w:t>
            </w:r>
          </w:p>
        </w:tc>
      </w:tr>
      <w:tr w:rsidR="00D56838" w:rsidRPr="004A4D4B" w:rsidTr="00D56838">
        <w:tc>
          <w:tcPr>
            <w:tcW w:w="9854" w:type="dxa"/>
            <w:gridSpan w:val="2"/>
            <w:vAlign w:val="center"/>
          </w:tcPr>
          <w:p w:rsidR="006D7A9C" w:rsidRPr="0032253D" w:rsidRDefault="006D7A9C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38" w:rsidRDefault="00D56838" w:rsidP="00AA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D56838" w:rsidRPr="00E3667A" w:rsidRDefault="00E3667A" w:rsidP="00AA725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E3667A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Корпоративне управління</w:t>
            </w:r>
          </w:p>
        </w:tc>
      </w:tr>
    </w:tbl>
    <w:p w:rsidR="00D56838" w:rsidRDefault="00D56838"/>
    <w:p w:rsidR="006D7A9C" w:rsidRDefault="006D7A9C" w:rsidP="00AD1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>Текст завдання</w:t>
      </w:r>
    </w:p>
    <w:p w:rsidR="00AD133F" w:rsidRPr="00AD133F" w:rsidRDefault="00AD133F" w:rsidP="00AD1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Сукупність майнових і немайнових прав акціонера – власника акцій товариства, які випливають з права власності на акції, що включають право на участь в управлінні акціонерним товариством, отримання дивідендів та активів акціонерного товариства у разі його ліквідації відповідно до закону, а також інші права та правомочності, передбачені законом чи статутними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називаються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Юридична особа, яка від свого іменні випускає цінні папери і зобов’язується виконувати обов’язки, що випливають з умов їх випуску,</w:t>
      </w:r>
      <w:r w:rsidRPr="00AD13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називається.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Головною метою корпоративного управління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Частина прибутку (платіж), що проводиться на користь власника (довірених осіб власника) корпоративних прав, емітованих юридичною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особою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внаслідок розподілу частини її прибутку, називається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Договірне об’єднання, створене на основі поєднання виробничих, наукових і комерційних інтересів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>ідприємств, що об’єдналися, з делегуванням ними окремих повноважень централізованого регулювання діяльності кожного з учасників органам управління корпорації,</w:t>
      </w:r>
      <w:r w:rsidRPr="00AD13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Переважного поширення у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>іті набули такі управлінські системи корпоративного</w:t>
      </w:r>
      <w:r w:rsidRPr="00AD13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Інсайдерські системи управління існують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разі,</w:t>
      </w:r>
      <w:r w:rsidRPr="00AD133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>Аутсайдерські системи</w:t>
      </w:r>
      <w:r w:rsidRPr="00AD133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>характеризуються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FB7FF3" w:rsidP="00AD133F">
      <w:pPr>
        <w:widowControl w:val="0"/>
        <w:numPr>
          <w:ilvl w:val="0"/>
          <w:numId w:val="2"/>
        </w:numPr>
        <w:tabs>
          <w:tab w:val="left" w:pos="1010"/>
          <w:tab w:val="left" w:pos="1381"/>
          <w:tab w:val="left" w:pos="2019"/>
          <w:tab w:val="left" w:pos="3440"/>
          <w:tab w:val="left" w:pos="4717"/>
          <w:tab w:val="left" w:pos="5598"/>
          <w:tab w:val="left" w:pos="6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>іті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ab/>
        <w:t>переважного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набули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моделі 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</w:rPr>
        <w:t>корпоративного</w:t>
      </w:r>
      <w:r w:rsidR="007440F1" w:rsidRPr="00AD1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>“Інсайдер” –</w:t>
      </w:r>
      <w:r w:rsidRPr="00AD133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>це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“Аутсайдер” –</w:t>
      </w:r>
      <w:r w:rsidRPr="00AD133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en-US"/>
        </w:rPr>
        <w:t>це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До переваг Японської моделі корпоративного управління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lastRenderedPageBreak/>
        <w:t>відносяться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FB7FF3" w:rsidP="00AD133F">
      <w:pPr>
        <w:widowControl w:val="0"/>
        <w:numPr>
          <w:ilvl w:val="0"/>
          <w:numId w:val="2"/>
        </w:numPr>
        <w:tabs>
          <w:tab w:val="left" w:pos="1224"/>
          <w:tab w:val="left" w:pos="1688"/>
          <w:tab w:val="left" w:pos="2984"/>
          <w:tab w:val="left" w:pos="3935"/>
          <w:tab w:val="left" w:pos="57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Японській</w:t>
      </w: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корпоративного</w:t>
      </w:r>
      <w:proofErr w:type="gramEnd"/>
      <w:r w:rsidRPr="00AD13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управління </w:t>
      </w:r>
      <w:r w:rsidR="007440F1"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переважаючою є</w:t>
      </w:r>
      <w:r w:rsidR="007440F1" w:rsidRPr="00AD13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7440F1" w:rsidRPr="00AD13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До ключових учасників Японської моделі корпоративного управління</w:t>
      </w:r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Склад ради директорів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Японській моделі корпоративного управління майже повністю складається</w:t>
      </w:r>
      <w:r w:rsidRPr="00AD13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має наступні переваги перед АТ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Недоліком Англо-американської моделі корпоративного управління</w:t>
      </w:r>
      <w:proofErr w:type="gramStart"/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До переваг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перед АТ слід</w:t>
      </w:r>
      <w:r w:rsidRPr="00AD13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FB7FF3" w:rsidP="00AD133F">
      <w:pPr>
        <w:widowControl w:val="0"/>
        <w:numPr>
          <w:ilvl w:val="0"/>
          <w:numId w:val="2"/>
        </w:numPr>
        <w:tabs>
          <w:tab w:val="left" w:pos="1157"/>
          <w:tab w:val="left" w:pos="2778"/>
          <w:tab w:val="left" w:pos="3906"/>
          <w:tab w:val="left" w:pos="6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Характерними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Англо-американської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моделі 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</w:rPr>
        <w:t>корпоративного управління</w:t>
      </w:r>
      <w:proofErr w:type="gramStart"/>
      <w:r w:rsidR="007440F1"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440F1"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Довгостроковими акціонерами німецьких корпорацій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Німецька модель корпоративного управління ма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Ключовими учасниками німецької моделі корпоративного управління</w:t>
      </w:r>
      <w:proofErr w:type="gramStart"/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>Особливістю Української моделі корпоративного управління є</w:t>
      </w:r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Група з 20-40 потужних компаній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Япон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>ії з різних галузей промисловості, кожна з яких є власником невеликого пакету акцій інших компаній,</w:t>
      </w:r>
      <w:r w:rsidRPr="00AD13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Середній склад ради директорів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Японській моделі корпоративного управління</w:t>
      </w:r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Середній склад ради директорів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Західноєвропейській моделі корпоративного управління складається</w:t>
      </w:r>
      <w:r w:rsidRPr="00AD13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Середній склад ради директорів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Англо-американській моделі корпоративного управління</w:t>
      </w:r>
      <w:r w:rsidRPr="00AD13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становить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має наступні переваги перед АТ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Господарське товариство, яке має статутний капітал, поділений на визначену кількість акцій однакової номінальної вартості, і несе відповідальність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 зобов’язаннями тільки майном товариства,</w:t>
      </w:r>
      <w:r w:rsidRPr="00AD1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D133F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7440F1" w:rsidP="00AD133F">
      <w:pPr>
        <w:widowControl w:val="0"/>
        <w:numPr>
          <w:ilvl w:val="0"/>
          <w:numId w:val="2"/>
        </w:numPr>
        <w:tabs>
          <w:tab w:val="left" w:pos="10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3F">
        <w:rPr>
          <w:rFonts w:ascii="Times New Roman" w:eastAsia="Times New Roman" w:hAnsi="Times New Roman" w:cs="Times New Roman"/>
          <w:sz w:val="28"/>
          <w:szCs w:val="28"/>
        </w:rPr>
        <w:t xml:space="preserve">Для функціонування акціонерного товариства створюється статутний капітал, </w:t>
      </w:r>
      <w:proofErr w:type="gramStart"/>
      <w:r w:rsidRPr="00AD13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133F">
        <w:rPr>
          <w:rFonts w:ascii="Times New Roman" w:eastAsia="Times New Roman" w:hAnsi="Times New Roman" w:cs="Times New Roman"/>
          <w:sz w:val="28"/>
          <w:szCs w:val="28"/>
        </w:rPr>
        <w:t>ід який випускаються акції, загальна номінальна вартість яких не може бути меншою від суми, еквівалентної</w:t>
      </w:r>
      <w:r w:rsidRPr="00AD13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40F1" w:rsidRPr="00AD133F" w:rsidRDefault="00F37EE7" w:rsidP="00AD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133F">
        <w:rPr>
          <w:rFonts w:ascii="Times New Roman" w:hAnsi="Times New Roman" w:cs="Times New Roman"/>
          <w:sz w:val="28"/>
          <w:szCs w:val="28"/>
        </w:rPr>
        <w:t>31. Акціонерне товариство вважається створеним і набу</w:t>
      </w:r>
      <w:r w:rsidRPr="00AD133F">
        <w:rPr>
          <w:rFonts w:ascii="Times New Roman" w:hAnsi="Times New Roman" w:cs="Times New Roman"/>
          <w:sz w:val="28"/>
          <w:szCs w:val="28"/>
        </w:rPr>
        <w:t>ває прав юридичної особи з дати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</w:rPr>
        <w:t>32. Установчими докуме</w:t>
      </w:r>
      <w:r w:rsidRPr="00AD133F">
        <w:rPr>
          <w:rFonts w:ascii="Times New Roman" w:hAnsi="Times New Roman" w:cs="Times New Roman"/>
          <w:sz w:val="28"/>
          <w:szCs w:val="28"/>
        </w:rPr>
        <w:t>нтами акціонерного товариства є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</w:rPr>
        <w:t>33. В залежності від здатності акцій товариства вільно обертатися акціо</w:t>
      </w:r>
      <w:r w:rsidRPr="00AD133F">
        <w:rPr>
          <w:rFonts w:ascii="Times New Roman" w:hAnsi="Times New Roman" w:cs="Times New Roman"/>
          <w:sz w:val="28"/>
          <w:szCs w:val="28"/>
        </w:rPr>
        <w:t>нерні товариства поділяються на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>34. Допуск цінних паперів до торгів на фондовій біржі або позабіржовій торговельній системі і здійснення попереднього і наступного контролю за відповідністю цінних паперів та їх емітентів умовам та вимогам, встановленим у правилах біржі або іншого орг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анізатора торгівлі, називається.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 xml:space="preserve">35. Метод голосування, який забезпечує обрання декількох переможців, і при цьому переможцем також вважається особа, яка не отримала абсолютної 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або відносної більшості голосів, завдяки чому забезпечується пропорційне представництво в органах акціо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нерного товариства, називається.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</w:rPr>
        <w:t>36. Вищим органом управ</w:t>
      </w:r>
      <w:r w:rsidRPr="00AD133F">
        <w:rPr>
          <w:rFonts w:ascii="Times New Roman" w:hAnsi="Times New Roman" w:cs="Times New Roman"/>
          <w:sz w:val="28"/>
          <w:szCs w:val="28"/>
        </w:rPr>
        <w:t>ління акціонерного товариства є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EE7" w:rsidRPr="00AD133F" w:rsidRDefault="00F37EE7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</w:rPr>
        <w:t>37. Акціонерне товариство зобов'язане щороку скликати загальні збори, які повинні проводитись н</w:t>
      </w:r>
      <w:r w:rsidRPr="00AD133F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AD1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133F">
        <w:rPr>
          <w:rFonts w:ascii="Times New Roman" w:hAnsi="Times New Roman" w:cs="Times New Roman"/>
          <w:sz w:val="28"/>
          <w:szCs w:val="28"/>
        </w:rPr>
        <w:t>ізніше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38. Загальні збори акціонерів можу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ть вирішувати.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39. Загальні збори акціонері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в проводяться за рахунок коштів.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40. У загальних зборах акціонерного товар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иства можуть брати участь особи.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41. Письмове повідомлення про проведення загальних зборів та їх порядок денний надсилається акціонерам персонально у спосіб, передбачений статутом акціонерного товариства, у строк не пізніше ніж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42. Порядок денний загальних зборів акціонерного товарис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тва попередньо затверджується.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43. Порядок денний загальних зборів акціонерного товариства у разі скликання позачергових загальних зборів на вимогу акціо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нерів попередньо затверджується.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44. Рішення про включення пропозицій до порядку денног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о приймається не пізніше ніж за.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45. Обов’язковому включенню до порядку денного загальних зборів підлягають пропозиції акціо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нерів, які сукупно є власниками.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 xml:space="preserve">46. Надання довіреності на право участі та 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голосування на загальних зборах.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47. Наглядова рада приймає рішення про скликання позачергових загальних зборів акціонерного товариства або про відм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ову в такому скликанні протягом.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48. Позачергові загальні збори акціонерного товариств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а мають бути проведені протягом.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49. За відсутності кворуму позачергових загальних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 xml:space="preserve"> зборів повторні загальні збори.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 xml:space="preserve">50. Якщо протягом визначеного термінум наглядова рада не прийняла рішення про скликання позачергових загальних зборів акціонерного товариства, 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такі збори можуть бути скликані.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51. Порядок проведення загальних зборів акціоне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рного товариства встановлюється.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>52. Головує на загальних зборах.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53. А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кціонер, який не зареєструвався.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 xml:space="preserve">54. Загальні збори акціонерного товариства мають кворум за умови реєстрації для участі у них акціонерів, які 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сукупно є власниками не менш як.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>55. Загальні збори.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33F">
        <w:rPr>
          <w:rFonts w:ascii="Times New Roman" w:hAnsi="Times New Roman" w:cs="Times New Roman"/>
          <w:sz w:val="28"/>
          <w:szCs w:val="28"/>
          <w:lang w:val="uk-UA"/>
        </w:rPr>
        <w:t>56. У ході загальних зборів.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57. Кількість перерв у ході проведення загаль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них зборів не може перевищувати.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lastRenderedPageBreak/>
        <w:t>58. У товаристві, що здійснило публічне розміщення акцій та у товаристві з кількістю акціонерів - власників простих акцій понад 100 осіб голосування з питань порядку денно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го загальних зборів проводиться.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 xml:space="preserve">59. Форма 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і текст бюлетеня затверджуються.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60. Форма і текст бюлетеня затверджуються наг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лядовою радою не пізніше ніж за.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61. В акціонерному товаристві з кількістю акціонерів - власників простих акцій понад 100 осіб кіл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ькісний склад лічильної комісії.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62. У випадках, передбачених статутом акціонерного товариства з кількістю акціонерів не більше 25 осіб, допускається п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рийняття рішення методом.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63. Наглядова рада акціон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ерного товариства є органом, що.</w:t>
      </w:r>
    </w:p>
    <w:p w:rsidR="00416D6D" w:rsidRPr="00AD133F" w:rsidRDefault="00416D6D" w:rsidP="00AD1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64. Створення наглядової ради є обов’язковим в акціонерних товариствах з кількістю акціо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нерів - власників простих акцій.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65. У товаристві з кількістю акціонерів - власників простих акцій 9 осіб і менше у разі відсутності наглядової ра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ди її повноваження здійснюються.</w:t>
      </w:r>
    </w:p>
    <w:p w:rsidR="00416D6D" w:rsidRPr="00AD133F" w:rsidRDefault="00416D6D" w:rsidP="00A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E7">
        <w:rPr>
          <w:rFonts w:ascii="Times New Roman" w:hAnsi="Times New Roman" w:cs="Times New Roman"/>
          <w:sz w:val="28"/>
          <w:szCs w:val="28"/>
          <w:lang w:val="uk-UA"/>
        </w:rPr>
        <w:t>66. Члени наглядової ради акц</w:t>
      </w:r>
      <w:r w:rsidRPr="00AD133F">
        <w:rPr>
          <w:rFonts w:ascii="Times New Roman" w:hAnsi="Times New Roman" w:cs="Times New Roman"/>
          <w:sz w:val="28"/>
          <w:szCs w:val="28"/>
          <w:lang w:val="uk-UA"/>
        </w:rPr>
        <w:t>іонерного товариства обираються.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67.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інні папери, які надають їхньому держателю право розпоряджатися майном, вказаним у цих документах, називаються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68.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ігації, за якими передбачається виплата відсоткових доходів, називаються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69. О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>блігації, виконання зобов’язань за якими дозволяється товарами та/або послугами відповідно до вимог, встановлених умовами розміщення таких облігацій, називаються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70.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Облігації, що розміщуються за ціною, нижчою ніж їх номінальна вартість, називаються.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71.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Мінімальна номінальна вартість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ігації не може бути меншою ніж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72.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Обіг облігацій дозволяється після реєстрації звіту про результати розміщення облігацій та видачі свідоцтва про реєстрацію випуску облігацій.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73.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Державні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ігації України поділяються на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74.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Державні цінні папери, що розміщуються виключно на внутрішньому фондовому ринку і підтверджують зобов’язання України щодо відшкодування пред’явникам цих облігацій їх номінальної вартості з виплатою доходу відповідно до умов розміщення облігацій, називаються.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75. О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блігації внутрішніх державних позик, емісія яких є джерелом фінансування дефіциту державного бюджету в обсягах, передбачених на цю мету законом про Державний бюджет України на відповідний рік, та в межах граничного розміру державного боргу, називаються.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76.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Державні боргові цінні папери, що розміщуються на міжнародних фондових ринках і підтверджують зобов’язання України відшкодувати пред’явникам цих облігацій їх номінальну вартість з виплатою доходу відповідно до умов випуску облігацій, називаються.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77.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Розміщення, обслуговування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 погашення облігацій зовнішніх державних позик України здійснює.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78.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Емісія казначейських зобов’язань України є частиною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бюджетного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процесу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79.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Векселі можуть бути.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80.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Векселі існують виключно у.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81.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Цінний папір, який розміщується інвестиційним фондом, інвестиційною компанією, компанією з управління активами пайового інвестиційного фонду та посвідчує право власності інвестора на частку у відповідному фонді, називається.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82.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Інвестиційні сертифікати можуть надавати його власнику право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83.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інний папір, що засвідчує право його власника на отримання доходу від інвестування в операції з нерухомістю, називається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84.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Стандартний документ, що є контрактом за яким одна сторона зобов’язує іншу продати чи купити певну кількість цінних паперів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за певною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ціною в майбутньому, називається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85.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Інструмент хеджування, який має на меті не продаж (придбання)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реального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активу, а зменшення ризику чи спекулятивну гру на коливанні цін, називається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86.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Цінний папір, згідно з яким один з учасників отримує право продажу чи купівлі певної кількості цінних паперів за обумовленою ціною в певний проміжок часу, а інший учасник за грошову премію приймає зобов’язання купити чи продати обумовлений цінний папір, називається.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87.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Існують опціони двох типів.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88.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Різновид опціону на купівлю, який випускається емітентом разом з привілейованими акціями чи облігаціями і надає право на придбання простих акцій емітента за певною ціною, називається.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89.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Термін дії варанта становить.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90.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Відчуження цінних паперів на підставі опублікування в засобах масової інформації або оголошення будь-яким іншим способом повідомлення про продаж цінних паперів, зверненого до заздалегідь не визначеної кількості осіб, називається.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91.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Розміщення (підписка, продаж) цінних паперів торговцем цінними паперами за дорученням, від імені та за рахунок емітен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>та, називається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92.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Документ, який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інформацію про відкрите (публічне) розміщення цінних паперів, називається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93. 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Розміщення цінних паперів шляхом їх безпосередньої пропозиції заздалегідь визначеному колу осіб, кількість яких не перевищує 100, називається.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94.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>Перше розміщення акцій публічного акціонерного товариства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є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95.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>Перелі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ів, необхідних для реєстрації випуску та проспекту емісії цінних паперів, а також порядок їх реєстрації встановлюються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1AE5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96. </w:t>
      </w:r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Відповідальність за достовірність відомостей, наведених </w:t>
      </w:r>
      <w:proofErr w:type="gramStart"/>
      <w:r w:rsidR="00E21AE5" w:rsidRPr="00AD133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E21AE5" w:rsidRPr="00AD133F">
        <w:rPr>
          <w:rFonts w:ascii="Times New Roman" w:eastAsia="Calibri" w:hAnsi="Times New Roman" w:cs="Times New Roman"/>
          <w:sz w:val="28"/>
          <w:szCs w:val="28"/>
        </w:rPr>
        <w:t xml:space="preserve"> документах, що подаються для реєстрації випуску та проспекту емісії цінних паперів, несуть</w:t>
      </w:r>
      <w:r w:rsidR="00E21AE5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97. </w:t>
      </w:r>
      <w:r w:rsidR="00270101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Українські емітенти можуть розміщувати цінні папери за межами України, крім облігацій зовнішніх державних позик України, виключно на підставі дозволу.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98.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Фондовий ринок поділяється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99.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Фізичні та юридичні особи, резиденти і нерезиденти, які набули права власності на цінні папери з метою отримання доходу від вкладених коштів та/або набуття відповідних прав, що надаються власнику цінних паперів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ідповідно до законодавства, називаються.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100.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Інвестиційні фонди, взаємні фонди інвестиційних компаній, недержавні пенсійні фонди, страхові компанії, інші фінансові установи, які здійснюють операції з фінансовими активами в інтересах третіх осіб за власний рахунок чи за рахунок цих осіб, а у випадках, передбачених законодавством, також за рахунок залучених від інших осіб фінансових актив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ів з метою отримання прибутку або збереження реальної вартості фінансових активів, називаються.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101.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Юридичні особи, які на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ідставі ліцензії, виданої Державною комісією з цінних паперів та фондового ринку, провадять на фондовому ринку професійну діяльність, види якої визначені законами України, називаються.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102.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Неприбуткове об’єднання учасників фондового ринку, що провадять професійну діяльність на фондовому ринку з торгі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цінними паперами, управління активами інституційних інвесторів, депозитарну діяльність, відповідно до критеріїв та вимог, установлених Державною комісією з цінних паперів та фондового ринку,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103.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Діяльність юридичних осіб з надання фінансових та інших послуг у сфері розміщення та обігу цінних паперів,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іку прав за цінними паперами, управління активами інституційних інвесторів, що відповідає встановленим вимогам,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104.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Торговець цінними паперами може провадити дилерську діяльність, якщо має сплачений грошима статутний капітал у розмі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не менш як.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105.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Торговець цінними паперами може провадити брокерську діяльність, якщо має сплачений грошима статутний капітал у розмі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не менш як.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106.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Торговець цінними паперами може провадити андеррайтинг або діяльність з управління цінними паперами, якщо має сплачений грошима статутний капітал у розмі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не менш як.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107.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Укладення торговцем цінними паперами цивільно-правових договорів (зокрема договорів комісії, доручення) щодо цінних паперів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 свого імені (від імені іншої особи), за дорученням і за рахунок іншої особи,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108.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Укладення торговцем цінними паперами цивільно-правових договорів щодо цінних паперів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 свого імені та за свій рахунок з метою перепродажу, крім випадків, передбачених законом,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109.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Розміщення (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ідписка, продаж) цінних паперів торговцем цінними паперами за дорученням, від імені та за рахунок емітента,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110.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Діяльність, яка провадиться торговцем цінними паперами від свого імені за винагороду протягом визначеного строку на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ідставі договору про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управління переданими йому цінними паперами та грошовими коштами, призначеними для інвестування в цінні папери, а також отриманими в процесі цього управління цінними паперами та грошовими коштами, які належать на праві власності установнику управління, в його інтересах або в інтересах визначених ним третіх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111.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 торговця про управління цінними паперами з одним клієнтом – фізичною особою має становити не менше суми, еквівалентної.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112.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Професійна діяльність учасника фондового ринку – компанії з управління активами, що провадиться нею за винагороду від свого імені або на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ідставі відповідного договору про управління активами інституційних інвесторів,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113.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Надання послуг щодо зберігання цінних паперів незалежно від форми їх випуску, відкриття та ведення рахункі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 у цінних паперах, обслуговування операцій на цих рахунках та обслуговування операцій емітента щодо випущених ним цінних паперів,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114.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Отримання, звірка та поточне оновлення інформації,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ідготовка бухгалтерських та облікових документів, необхідних для виконання угод щодо цінних паперів, визначення взаємних зобов’язань, що передбачає взаємозалік, забезпечення та гарантування розрахунків за угодами щодо цінних паперів,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115.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Саморегулюючі організації професійних учасників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фондового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 ринку утворюються за принципом.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116.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Неприбуткова організація, яка займається виключно організацією укладання угод купі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та продажу цінних паперів і їх похідних,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117.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Фондова біржа утворюється не менше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ніж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118.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Частка одного торговця цінними паперами у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статутному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 капіталі фондової біржі не може бути більшою ніж.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119.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Прибуток фондової біржі.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120.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Член фондової біржі, учасник біржових торгів, який укладає біржові договори за власний рахунок, або за дорученням клієнта,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121.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Ініціатором лістингу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на б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іржі цінних паперів може бути лише.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122.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ішення про виключення цінних паперів з біржового реєстру приймається.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123.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Технологія укладання угод в системі електронних торгів (СЕЛТ), яка передбачає безперервне співставлення зустрічних заявок учасників СЕЛТ по мі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і їх надходження у відповідності з встановленою черговістю виконання заявок,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124.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Технологія укладання угод в системі електронних торгів (СЕЛТ), яка передбачає надання учасниками аукціону конкурентних пропозицій </w:t>
      </w:r>
      <w:proofErr w:type="gramStart"/>
      <w:r w:rsidR="00270101" w:rsidRPr="00AD133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70101" w:rsidRPr="00AD133F">
        <w:rPr>
          <w:rFonts w:ascii="Times New Roman" w:eastAsia="Calibri" w:hAnsi="Times New Roman" w:cs="Times New Roman"/>
          <w:sz w:val="28"/>
          <w:szCs w:val="28"/>
        </w:rPr>
        <w:t xml:space="preserve"> купівлю на замовлення ініціатора аукціону в порядку, який визначається Порядком проведення аукціону в СЕЛТ фондової біржі,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125.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Механізм визначення та/або фіксації ринкової ціни цінного паперу або іншого фінансового інструменту, називається.</w:t>
      </w:r>
    </w:p>
    <w:p w:rsidR="00270101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126. </w:t>
      </w:r>
      <w:r w:rsidR="00270101" w:rsidRPr="00AD133F">
        <w:rPr>
          <w:rFonts w:ascii="Times New Roman" w:eastAsia="Calibri" w:hAnsi="Times New Roman" w:cs="Times New Roman"/>
          <w:sz w:val="28"/>
          <w:szCs w:val="28"/>
        </w:rPr>
        <w:t>Якщо в ході торговельної сесії за цінним папером не було укладено жодної угоди, курсова ціна цього цінного паперу.</w:t>
      </w:r>
    </w:p>
    <w:p w:rsidR="00EC7316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127.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Національна депозитарна система складається. </w:t>
      </w:r>
    </w:p>
    <w:p w:rsidR="00EC7316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128.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 обігу державних цінних паперів, у тому числі депозитарну діяльність щодо цих паперів, здійснює.</w:t>
      </w:r>
    </w:p>
    <w:p w:rsidR="00EC7316" w:rsidRPr="00AD133F" w:rsidRDefault="00416D6D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129.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функціонування єдиної системи депозитарного обліку створюється.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130.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Обслуговування угод щодо ці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нних паперів у бездокументарній формі проводиться тільки учасниками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131.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Переведення цінних паперів, випущених у документарній формі, у бездокументарну форму шляхом депонування сертифікатів у сховищах зберігача цінних паперів та/або депозитарію з метою забезпечення подальшого їх обігу у вигляді облікових записів на рахунках зберігача цінних паперів т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а/або депозитарію, називається.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132.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Організація, що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’єднує торговців цінними паперами для надання послуг в укладанні угод щодо цінних паперів і при цьому не має на меті отримання прибутку, нази</w:t>
      </w:r>
      <w:r w:rsidRPr="00AD133F">
        <w:rPr>
          <w:rFonts w:ascii="Times New Roman" w:eastAsia="Calibri" w:hAnsi="Times New Roman" w:cs="Times New Roman"/>
          <w:sz w:val="28"/>
          <w:szCs w:val="28"/>
        </w:rPr>
        <w:t>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133.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Порядок і умови здійснення депозитарної діяльності учасниками Національної депозитарної системи встановлюют</w:t>
      </w:r>
      <w:r w:rsidRPr="00AD133F">
        <w:rPr>
          <w:rFonts w:ascii="Times New Roman" w:eastAsia="Calibri" w:hAnsi="Times New Roman" w:cs="Times New Roman"/>
          <w:sz w:val="28"/>
          <w:szCs w:val="28"/>
        </w:rPr>
        <w:t>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134.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В депозитарній системі України виділяють таких суб’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єктів </w:t>
      </w:r>
      <w:proofErr w:type="gramStart"/>
      <w:r w:rsidRPr="00AD133F">
        <w:rPr>
          <w:rFonts w:ascii="Times New Roman" w:eastAsia="Calibri" w:hAnsi="Times New Roman" w:cs="Times New Roman"/>
          <w:sz w:val="28"/>
          <w:szCs w:val="28"/>
        </w:rPr>
        <w:t>корпоративного</w:t>
      </w:r>
      <w:proofErr w:type="gramEnd"/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управління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135.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Депозитарії, зберігачі, реєстратори власників імен</w:t>
      </w:r>
      <w:r w:rsidRPr="00AD133F">
        <w:rPr>
          <w:rFonts w:ascii="Times New Roman" w:eastAsia="Calibri" w:hAnsi="Times New Roman" w:cs="Times New Roman"/>
          <w:sz w:val="28"/>
          <w:szCs w:val="28"/>
        </w:rPr>
        <w:t>них цінних паперів, називаються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136.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Організатори торгі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 цінними паперами, банки, торговці цінними па</w:t>
      </w:r>
      <w:r w:rsidRPr="00AD133F">
        <w:rPr>
          <w:rFonts w:ascii="Times New Roman" w:eastAsia="Calibri" w:hAnsi="Times New Roman" w:cs="Times New Roman"/>
          <w:sz w:val="28"/>
          <w:szCs w:val="28"/>
        </w:rPr>
        <w:t>перами та емітенти, називаються.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137.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Частка одного учасника в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статутному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 капіталі депозитарію не може перевищувати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138.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Банк, торговець цінними паперами або реєстратор, який має ліцензію на зберігання та обслуговування обігу цінних паперів і операцій емітента з цінними паперами на рахунках у цінних паперах як щодо тих цінних паперів, що належать йому, так і тих, які він зберігає згідно з договором про відкриття рахунк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у в цінних паперах, називається.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139.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У статутному капіталі зберігача частка іншого зберігача, торговця цінними паперами, інвестиційної компанії та інших професійних учасників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фондо</w:t>
      </w:r>
      <w:r w:rsidRPr="00AD133F">
        <w:rPr>
          <w:rFonts w:ascii="Times New Roman" w:eastAsia="Calibri" w:hAnsi="Times New Roman" w:cs="Times New Roman"/>
          <w:sz w:val="28"/>
          <w:szCs w:val="28"/>
        </w:rPr>
        <w:t>вого</w:t>
      </w:r>
      <w:proofErr w:type="gramEnd"/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ринку не може перевищувати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140.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Юридична або фізична особа, яка користується послугами зберігача на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ідставі договору про відкриття рахунк</w:t>
      </w:r>
      <w:r w:rsidRPr="00AD133F">
        <w:rPr>
          <w:rFonts w:ascii="Times New Roman" w:eastAsia="Calibri" w:hAnsi="Times New Roman" w:cs="Times New Roman"/>
          <w:sz w:val="28"/>
          <w:szCs w:val="28"/>
        </w:rPr>
        <w:t>у в цінних паперах, називається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141.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Іменні цінні папери, випущені в документарній формі</w:t>
      </w:r>
      <w:r w:rsidRPr="00AD133F">
        <w:rPr>
          <w:rFonts w:ascii="Times New Roman" w:eastAsia="Calibri" w:hAnsi="Times New Roman" w:cs="Times New Roman"/>
          <w:sz w:val="28"/>
          <w:szCs w:val="28"/>
        </w:rPr>
        <w:t>, передаються новому власникові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142.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Законодавчі органи, які видають нормативні акти, що мають чинність закону і регламентують загальні основи функціонування корп</w:t>
      </w:r>
      <w:r w:rsidRPr="00AD133F">
        <w:rPr>
          <w:rFonts w:ascii="Times New Roman" w:eastAsia="Calibri" w:hAnsi="Times New Roman" w:cs="Times New Roman"/>
          <w:sz w:val="28"/>
          <w:szCs w:val="28"/>
        </w:rPr>
        <w:t>оративного сектора, називаються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143.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Органи, що призначені для забезпечення регулювання та контролю діяльності корпоративних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ідприємств з урахуванням специфіки ві</w:t>
      </w:r>
      <w:r w:rsidRPr="00AD133F">
        <w:rPr>
          <w:rFonts w:ascii="Times New Roman" w:eastAsia="Calibri" w:hAnsi="Times New Roman" w:cs="Times New Roman"/>
          <w:sz w:val="28"/>
          <w:szCs w:val="28"/>
        </w:rPr>
        <w:t>дповідного сектору, називаються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144.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Діяльність, що здійснюється за винагороду банком чи іншою фінансовою установою згідно з відповідним договором про управління іпотечним покриттям, називає</w:t>
      </w:r>
      <w:r w:rsidRPr="00AD133F">
        <w:rPr>
          <w:rFonts w:ascii="Times New Roman" w:eastAsia="Calibri" w:hAnsi="Times New Roman" w:cs="Times New Roman"/>
          <w:sz w:val="28"/>
          <w:szCs w:val="28"/>
        </w:rPr>
        <w:t>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145.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з надання послуг щодо зберігання цінних паперів, обслуговування правочинів щодо цінних паперів на рахунках власни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ків цінних паперів, називається.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146.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Діяльність з визначення взаємних зобов’язань за договорами щодо цінних паперів і р</w:t>
      </w:r>
      <w:r w:rsidRPr="00AD133F">
        <w:rPr>
          <w:rFonts w:ascii="Times New Roman" w:eastAsia="Calibri" w:hAnsi="Times New Roman" w:cs="Times New Roman"/>
          <w:sz w:val="28"/>
          <w:szCs w:val="28"/>
        </w:rPr>
        <w:t>озрахункі</w:t>
      </w:r>
      <w:proofErr w:type="gramStart"/>
      <w:r w:rsidRPr="00AD13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за ними, називається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147.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Ліцензування професійної діяльності н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а ринку цінних паперів здійснює.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148.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Державне регулювання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ринку цінних паперів здійсню</w:t>
      </w:r>
      <w:proofErr w:type="gramStart"/>
      <w:r w:rsidRPr="00AD133F">
        <w:rPr>
          <w:rFonts w:ascii="Times New Roman" w:eastAsia="Calibri" w:hAnsi="Times New Roman" w:cs="Times New Roman"/>
          <w:sz w:val="28"/>
          <w:szCs w:val="28"/>
        </w:rPr>
        <w:t>є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149.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Положення про Державну комісію з цінних паперів та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133F">
        <w:rPr>
          <w:rFonts w:ascii="Times New Roman" w:eastAsia="Calibri" w:hAnsi="Times New Roman" w:cs="Times New Roman"/>
          <w:sz w:val="28"/>
          <w:szCs w:val="28"/>
        </w:rPr>
        <w:t>фондового</w:t>
      </w:r>
      <w:proofErr w:type="gramEnd"/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ринку затверджується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150.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Термін повноважень Голови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ержавної комісія з цінних паперів та фондов</w:t>
      </w:r>
      <w:r w:rsidRPr="00AD133F">
        <w:rPr>
          <w:rFonts w:ascii="Times New Roman" w:eastAsia="Calibri" w:hAnsi="Times New Roman" w:cs="Times New Roman"/>
          <w:sz w:val="28"/>
          <w:szCs w:val="28"/>
        </w:rPr>
        <w:t>ого ринку і її членів становить.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151.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Засідання Державної комісія з цінних паперів та фондо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вого ринку проводяться не </w:t>
      </w:r>
      <w:proofErr w:type="gramStart"/>
      <w:r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D133F">
        <w:rPr>
          <w:rFonts w:ascii="Times New Roman" w:eastAsia="Calibri" w:hAnsi="Times New Roman" w:cs="Times New Roman"/>
          <w:sz w:val="28"/>
          <w:szCs w:val="28"/>
        </w:rPr>
        <w:t>ідше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152.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Штрафи, накладені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Державною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 комісією з цінних паперів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та фондового ринку, стягуються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153.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Про накладення штрафів на комерційні банки Державна комісія з цінних паперів та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фондового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 ринку інформує Національний банк України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154.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Юридична особа, створена державою як </w:t>
      </w:r>
      <w:r w:rsidRPr="00AD133F">
        <w:rPr>
          <w:rFonts w:ascii="Times New Roman" w:eastAsia="Calibri" w:hAnsi="Times New Roman" w:cs="Times New Roman"/>
          <w:sz w:val="28"/>
          <w:szCs w:val="28"/>
        </w:rPr>
        <w:t>єдиним засновником, називається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155.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Акціонерне товариство публічного типу, у якому державі належить пакет акцій, що відповідно до законодавства забезпечує правочинність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ішень загальних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зборів акціонерів, називається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156.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ічний звіт повинен розкр</w:t>
      </w:r>
      <w:r w:rsidRPr="00AD133F">
        <w:rPr>
          <w:rFonts w:ascii="Times New Roman" w:eastAsia="Calibri" w:hAnsi="Times New Roman" w:cs="Times New Roman"/>
          <w:sz w:val="28"/>
          <w:szCs w:val="28"/>
        </w:rPr>
        <w:t>иватися товариством не пізніше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157. </w:t>
      </w:r>
      <w:r w:rsidR="00EC7316"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Річна та квартальна звітна інформація про результати фінансово-господарської діяльності емітента, яка подається Державній комісії з цінних паперів т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а фондового ринку, називається.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158.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Строки, порядок та форми подання регулярної інформації про емітента (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ічної</w:t>
      </w:r>
      <w:r w:rsidRPr="00AD133F">
        <w:rPr>
          <w:rFonts w:ascii="Times New Roman" w:eastAsia="Calibri" w:hAnsi="Times New Roman" w:cs="Times New Roman"/>
          <w:sz w:val="28"/>
          <w:szCs w:val="28"/>
        </w:rPr>
        <w:t xml:space="preserve"> та квартальної) встановлюються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159.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Інформація про </w:t>
      </w:r>
      <w:proofErr w:type="gramStart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будь-як</w:t>
      </w:r>
      <w:proofErr w:type="gramEnd"/>
      <w:r w:rsidR="00EC7316" w:rsidRPr="00AD133F">
        <w:rPr>
          <w:rFonts w:ascii="Times New Roman" w:eastAsia="Calibri" w:hAnsi="Times New Roman" w:cs="Times New Roman"/>
          <w:sz w:val="28"/>
          <w:szCs w:val="28"/>
        </w:rPr>
        <w:t>і дії, що можуть вплинути на фінансово-господарський стан емітента та призвести до значної зміни вартості й</w:t>
      </w:r>
      <w:r w:rsidRPr="00AD133F">
        <w:rPr>
          <w:rFonts w:ascii="Times New Roman" w:eastAsia="Calibri" w:hAnsi="Times New Roman" w:cs="Times New Roman"/>
          <w:sz w:val="28"/>
          <w:szCs w:val="28"/>
        </w:rPr>
        <w:t>ого цінних паперів, називається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316" w:rsidRPr="00AD133F" w:rsidRDefault="00754E33" w:rsidP="00AD1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160. 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>До особливої інформації не належать відомості</w:t>
      </w:r>
      <w:r w:rsidRPr="00AD13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C7316" w:rsidRPr="00AD1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0F1" w:rsidRPr="00EC7316" w:rsidRDefault="007440F1" w:rsidP="00AA7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0F1" w:rsidRPr="00EC7316" w:rsidSect="00964F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6D52AA9"/>
    <w:multiLevelType w:val="hybridMultilevel"/>
    <w:tmpl w:val="6FD6E230"/>
    <w:lvl w:ilvl="0" w:tplc="DD3A9A80">
      <w:start w:val="1"/>
      <w:numFmt w:val="decimal"/>
      <w:lvlText w:val="%1."/>
      <w:lvlJc w:val="left"/>
      <w:pPr>
        <w:ind w:left="344" w:hanging="28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D6692EA">
      <w:numFmt w:val="bullet"/>
      <w:lvlText w:val="•"/>
      <w:lvlJc w:val="left"/>
      <w:pPr>
        <w:ind w:left="1022" w:hanging="286"/>
      </w:pPr>
    </w:lvl>
    <w:lvl w:ilvl="2" w:tplc="8B0819F0">
      <w:numFmt w:val="bullet"/>
      <w:lvlText w:val="•"/>
      <w:lvlJc w:val="left"/>
      <w:pPr>
        <w:ind w:left="1704" w:hanging="286"/>
      </w:pPr>
    </w:lvl>
    <w:lvl w:ilvl="3" w:tplc="8BF6CB94">
      <w:numFmt w:val="bullet"/>
      <w:lvlText w:val="•"/>
      <w:lvlJc w:val="left"/>
      <w:pPr>
        <w:ind w:left="2386" w:hanging="286"/>
      </w:pPr>
    </w:lvl>
    <w:lvl w:ilvl="4" w:tplc="6B262D66">
      <w:numFmt w:val="bullet"/>
      <w:lvlText w:val="•"/>
      <w:lvlJc w:val="left"/>
      <w:pPr>
        <w:ind w:left="3068" w:hanging="286"/>
      </w:pPr>
    </w:lvl>
    <w:lvl w:ilvl="5" w:tplc="1D164CA8">
      <w:numFmt w:val="bullet"/>
      <w:lvlText w:val="•"/>
      <w:lvlJc w:val="left"/>
      <w:pPr>
        <w:ind w:left="3750" w:hanging="286"/>
      </w:pPr>
    </w:lvl>
    <w:lvl w:ilvl="6" w:tplc="4694EB04">
      <w:numFmt w:val="bullet"/>
      <w:lvlText w:val="•"/>
      <w:lvlJc w:val="left"/>
      <w:pPr>
        <w:ind w:left="4432" w:hanging="286"/>
      </w:pPr>
    </w:lvl>
    <w:lvl w:ilvl="7" w:tplc="BA2A6926">
      <w:numFmt w:val="bullet"/>
      <w:lvlText w:val="•"/>
      <w:lvlJc w:val="left"/>
      <w:pPr>
        <w:ind w:left="5114" w:hanging="286"/>
      </w:pPr>
    </w:lvl>
    <w:lvl w:ilvl="8" w:tplc="51B6423E">
      <w:numFmt w:val="bullet"/>
      <w:lvlText w:val="•"/>
      <w:lvlJc w:val="left"/>
      <w:pPr>
        <w:ind w:left="5796" w:hanging="286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53"/>
    <w:rsid w:val="00001A9C"/>
    <w:rsid w:val="00013BB6"/>
    <w:rsid w:val="0002026C"/>
    <w:rsid w:val="0004074C"/>
    <w:rsid w:val="00046119"/>
    <w:rsid w:val="000936E8"/>
    <w:rsid w:val="000978C3"/>
    <w:rsid w:val="000A4139"/>
    <w:rsid w:val="000A6355"/>
    <w:rsid w:val="000B4527"/>
    <w:rsid w:val="000B7E0B"/>
    <w:rsid w:val="00122279"/>
    <w:rsid w:val="00127B62"/>
    <w:rsid w:val="00130EFB"/>
    <w:rsid w:val="00132644"/>
    <w:rsid w:val="00134165"/>
    <w:rsid w:val="00134287"/>
    <w:rsid w:val="001347BF"/>
    <w:rsid w:val="00143FA7"/>
    <w:rsid w:val="00151A03"/>
    <w:rsid w:val="00157EF3"/>
    <w:rsid w:val="00163A96"/>
    <w:rsid w:val="001817C2"/>
    <w:rsid w:val="00192551"/>
    <w:rsid w:val="001B0C55"/>
    <w:rsid w:val="001B1B18"/>
    <w:rsid w:val="001D42DC"/>
    <w:rsid w:val="001E7139"/>
    <w:rsid w:val="001E7772"/>
    <w:rsid w:val="001F5E21"/>
    <w:rsid w:val="00253399"/>
    <w:rsid w:val="0025360B"/>
    <w:rsid w:val="0026001F"/>
    <w:rsid w:val="00265077"/>
    <w:rsid w:val="00270101"/>
    <w:rsid w:val="002767B4"/>
    <w:rsid w:val="002A022C"/>
    <w:rsid w:val="002A2668"/>
    <w:rsid w:val="002C37BC"/>
    <w:rsid w:val="002E5338"/>
    <w:rsid w:val="0032253D"/>
    <w:rsid w:val="0033284F"/>
    <w:rsid w:val="00340E2A"/>
    <w:rsid w:val="0036168A"/>
    <w:rsid w:val="0036684D"/>
    <w:rsid w:val="003D3970"/>
    <w:rsid w:val="003D690F"/>
    <w:rsid w:val="003F125C"/>
    <w:rsid w:val="0040011C"/>
    <w:rsid w:val="004137EB"/>
    <w:rsid w:val="00416D6D"/>
    <w:rsid w:val="00440639"/>
    <w:rsid w:val="00442E8D"/>
    <w:rsid w:val="0044338B"/>
    <w:rsid w:val="00444BA4"/>
    <w:rsid w:val="004527A7"/>
    <w:rsid w:val="00462775"/>
    <w:rsid w:val="00476246"/>
    <w:rsid w:val="004958A4"/>
    <w:rsid w:val="004A4D4B"/>
    <w:rsid w:val="004B2AA6"/>
    <w:rsid w:val="004E261B"/>
    <w:rsid w:val="004E4A93"/>
    <w:rsid w:val="004E6B6A"/>
    <w:rsid w:val="004F1076"/>
    <w:rsid w:val="004F214D"/>
    <w:rsid w:val="00512100"/>
    <w:rsid w:val="00516F14"/>
    <w:rsid w:val="00517CC8"/>
    <w:rsid w:val="00523AE8"/>
    <w:rsid w:val="005240E8"/>
    <w:rsid w:val="005362EB"/>
    <w:rsid w:val="005814FF"/>
    <w:rsid w:val="00596BCB"/>
    <w:rsid w:val="006612BD"/>
    <w:rsid w:val="006912A5"/>
    <w:rsid w:val="00697A15"/>
    <w:rsid w:val="006A1879"/>
    <w:rsid w:val="006B245E"/>
    <w:rsid w:val="006C1720"/>
    <w:rsid w:val="006D7A9C"/>
    <w:rsid w:val="006E7799"/>
    <w:rsid w:val="006F2EC6"/>
    <w:rsid w:val="00702FB1"/>
    <w:rsid w:val="007079D1"/>
    <w:rsid w:val="007265FF"/>
    <w:rsid w:val="00726CAB"/>
    <w:rsid w:val="00734CB7"/>
    <w:rsid w:val="007440F1"/>
    <w:rsid w:val="007518AF"/>
    <w:rsid w:val="00754E33"/>
    <w:rsid w:val="00762CAE"/>
    <w:rsid w:val="00765037"/>
    <w:rsid w:val="00766343"/>
    <w:rsid w:val="00786D99"/>
    <w:rsid w:val="007A5021"/>
    <w:rsid w:val="007B0551"/>
    <w:rsid w:val="007B65D9"/>
    <w:rsid w:val="007D0C19"/>
    <w:rsid w:val="007D6C38"/>
    <w:rsid w:val="00802A61"/>
    <w:rsid w:val="00820A7D"/>
    <w:rsid w:val="008247FC"/>
    <w:rsid w:val="00825EF7"/>
    <w:rsid w:val="00834047"/>
    <w:rsid w:val="00842770"/>
    <w:rsid w:val="00847643"/>
    <w:rsid w:val="0086364C"/>
    <w:rsid w:val="00880521"/>
    <w:rsid w:val="00886E9D"/>
    <w:rsid w:val="008906BA"/>
    <w:rsid w:val="00897174"/>
    <w:rsid w:val="008A0639"/>
    <w:rsid w:val="008B0221"/>
    <w:rsid w:val="008B4D2F"/>
    <w:rsid w:val="008B66C9"/>
    <w:rsid w:val="009041F0"/>
    <w:rsid w:val="009120D1"/>
    <w:rsid w:val="00917C3E"/>
    <w:rsid w:val="00946727"/>
    <w:rsid w:val="00947631"/>
    <w:rsid w:val="009609B5"/>
    <w:rsid w:val="00964F91"/>
    <w:rsid w:val="00980212"/>
    <w:rsid w:val="009871A1"/>
    <w:rsid w:val="0099245D"/>
    <w:rsid w:val="009B3769"/>
    <w:rsid w:val="009D22A2"/>
    <w:rsid w:val="00A41B91"/>
    <w:rsid w:val="00A5525B"/>
    <w:rsid w:val="00A64742"/>
    <w:rsid w:val="00A775AA"/>
    <w:rsid w:val="00AA6DD2"/>
    <w:rsid w:val="00AA7253"/>
    <w:rsid w:val="00AD0BC6"/>
    <w:rsid w:val="00AD133F"/>
    <w:rsid w:val="00AF2EB6"/>
    <w:rsid w:val="00AF30EC"/>
    <w:rsid w:val="00B169C7"/>
    <w:rsid w:val="00B312F6"/>
    <w:rsid w:val="00B32424"/>
    <w:rsid w:val="00B46977"/>
    <w:rsid w:val="00B6282F"/>
    <w:rsid w:val="00BA2C37"/>
    <w:rsid w:val="00BA5797"/>
    <w:rsid w:val="00BC67E6"/>
    <w:rsid w:val="00BC6E7A"/>
    <w:rsid w:val="00BC73B7"/>
    <w:rsid w:val="00BF1EC4"/>
    <w:rsid w:val="00C22375"/>
    <w:rsid w:val="00C22534"/>
    <w:rsid w:val="00C40D95"/>
    <w:rsid w:val="00C4497A"/>
    <w:rsid w:val="00C503F6"/>
    <w:rsid w:val="00C54589"/>
    <w:rsid w:val="00C55C8A"/>
    <w:rsid w:val="00C637AA"/>
    <w:rsid w:val="00C736F0"/>
    <w:rsid w:val="00C75956"/>
    <w:rsid w:val="00C85E9B"/>
    <w:rsid w:val="00C8760F"/>
    <w:rsid w:val="00C92087"/>
    <w:rsid w:val="00C937FF"/>
    <w:rsid w:val="00C948AB"/>
    <w:rsid w:val="00CD1D9C"/>
    <w:rsid w:val="00D000BF"/>
    <w:rsid w:val="00D02D86"/>
    <w:rsid w:val="00D10AA7"/>
    <w:rsid w:val="00D149F8"/>
    <w:rsid w:val="00D2164A"/>
    <w:rsid w:val="00D25B78"/>
    <w:rsid w:val="00D40181"/>
    <w:rsid w:val="00D418B2"/>
    <w:rsid w:val="00D4384B"/>
    <w:rsid w:val="00D47CFC"/>
    <w:rsid w:val="00D51E41"/>
    <w:rsid w:val="00D56838"/>
    <w:rsid w:val="00D705F0"/>
    <w:rsid w:val="00D711F3"/>
    <w:rsid w:val="00D77E7A"/>
    <w:rsid w:val="00D824A1"/>
    <w:rsid w:val="00D85E29"/>
    <w:rsid w:val="00D901B6"/>
    <w:rsid w:val="00D96530"/>
    <w:rsid w:val="00DA568A"/>
    <w:rsid w:val="00DB131E"/>
    <w:rsid w:val="00DB4D02"/>
    <w:rsid w:val="00DD0A44"/>
    <w:rsid w:val="00DD25D5"/>
    <w:rsid w:val="00DD74A9"/>
    <w:rsid w:val="00DE3BDB"/>
    <w:rsid w:val="00DE49DB"/>
    <w:rsid w:val="00E01340"/>
    <w:rsid w:val="00E21AE5"/>
    <w:rsid w:val="00E24A88"/>
    <w:rsid w:val="00E3667A"/>
    <w:rsid w:val="00E42212"/>
    <w:rsid w:val="00E5069B"/>
    <w:rsid w:val="00E72F89"/>
    <w:rsid w:val="00E826F2"/>
    <w:rsid w:val="00E83668"/>
    <w:rsid w:val="00E96B06"/>
    <w:rsid w:val="00E974A1"/>
    <w:rsid w:val="00EA78C1"/>
    <w:rsid w:val="00EC63BA"/>
    <w:rsid w:val="00EC7316"/>
    <w:rsid w:val="00ED3558"/>
    <w:rsid w:val="00ED35C3"/>
    <w:rsid w:val="00ED6607"/>
    <w:rsid w:val="00ED7FD3"/>
    <w:rsid w:val="00EE1CB9"/>
    <w:rsid w:val="00EE2FFC"/>
    <w:rsid w:val="00F03852"/>
    <w:rsid w:val="00F07E0F"/>
    <w:rsid w:val="00F130B2"/>
    <w:rsid w:val="00F27A03"/>
    <w:rsid w:val="00F361BA"/>
    <w:rsid w:val="00F37EE7"/>
    <w:rsid w:val="00F471E1"/>
    <w:rsid w:val="00F50D17"/>
    <w:rsid w:val="00F57E71"/>
    <w:rsid w:val="00F75E40"/>
    <w:rsid w:val="00F7669E"/>
    <w:rsid w:val="00F8503A"/>
    <w:rsid w:val="00FA772E"/>
    <w:rsid w:val="00FB3BE1"/>
    <w:rsid w:val="00FB51AE"/>
    <w:rsid w:val="00FB7FF3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1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1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13412</Words>
  <Characters>7645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OLEG</cp:lastModifiedBy>
  <cp:revision>5</cp:revision>
  <dcterms:created xsi:type="dcterms:W3CDTF">2018-09-27T08:13:00Z</dcterms:created>
  <dcterms:modified xsi:type="dcterms:W3CDTF">2018-09-27T11:47:00Z</dcterms:modified>
</cp:coreProperties>
</file>