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77"/>
      </w:tblGrid>
      <w:tr w:rsidR="000C6C0A" w:rsidRPr="00FA4D47" w:rsidTr="00EB5FFC">
        <w:tc>
          <w:tcPr>
            <w:tcW w:w="9747" w:type="dxa"/>
            <w:gridSpan w:val="2"/>
          </w:tcPr>
          <w:p w:rsidR="000C6C0A" w:rsidRPr="00D20FB1" w:rsidRDefault="00D20FB1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Державний </w:t>
            </w:r>
            <w:r w:rsidR="000C6C0A" w:rsidRPr="00FA4D47">
              <w:rPr>
                <w:rFonts w:ascii="Times New Roman" w:hAnsi="Times New Roman" w:cs="Times New Roman"/>
                <w:sz w:val="28"/>
                <w:szCs w:val="28"/>
              </w:rPr>
              <w:t>університет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«Житомирська політехніка»</w:t>
            </w:r>
          </w:p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Кафедра </w:t>
            </w:r>
            <w:proofErr w:type="spellStart"/>
            <w:r w:rsidR="00040EC1">
              <w:rPr>
                <w:rFonts w:ascii="Times New Roman" w:hAnsi="Times New Roman" w:cs="Times New Roman"/>
                <w:sz w:val="28"/>
                <w:szCs w:val="28"/>
              </w:rPr>
              <w:t>біомедичної</w:t>
            </w:r>
            <w:proofErr w:type="spellEnd"/>
            <w:r w:rsidR="00040EC1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інженерії та </w:t>
            </w:r>
            <w:proofErr w:type="spellStart"/>
            <w:r w:rsidR="00040EC1">
              <w:rPr>
                <w:rFonts w:ascii="Times New Roman" w:hAnsi="Times New Roman" w:cs="Times New Roman"/>
                <w:sz w:val="28"/>
                <w:szCs w:val="28"/>
              </w:rPr>
              <w:t>телекомунікацій</w:t>
            </w:r>
            <w:proofErr w:type="spellEnd"/>
          </w:p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Спеціальність: </w:t>
            </w:r>
            <w:r w:rsidR="00040EC1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040EC1">
              <w:rPr>
                <w:rFonts w:ascii="Times New Roman" w:hAnsi="Times New Roman" w:cs="Times New Roman"/>
                <w:sz w:val="28"/>
                <w:szCs w:val="28"/>
              </w:rPr>
              <w:t>Біомедична</w:t>
            </w:r>
            <w:proofErr w:type="spellEnd"/>
            <w:r w:rsidR="00040EC1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інженерія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C6C0A" w:rsidRPr="00FA4D47" w:rsidRDefault="000C6C0A" w:rsidP="00040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Освітній рівень: «</w:t>
            </w:r>
            <w:r w:rsidR="00040EC1">
              <w:rPr>
                <w:rFonts w:ascii="Times New Roman" w:hAnsi="Times New Roman" w:cs="Times New Roman"/>
                <w:sz w:val="28"/>
                <w:szCs w:val="28"/>
              </w:rPr>
              <w:t>магістр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C6C0A" w:rsidRPr="00FA4D47" w:rsidTr="00EB5FFC">
        <w:tc>
          <w:tcPr>
            <w:tcW w:w="3969" w:type="dxa"/>
          </w:tcPr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_________ А.В. Морозов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«__» ________201</w:t>
            </w:r>
            <w:r w:rsidR="00D20F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bookmarkStart w:id="0" w:name="_GoBack"/>
            <w:bookmarkEnd w:id="0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 р.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Затверджено на засіданні кафедри інженерії програмного забезпечення</w:t>
            </w:r>
          </w:p>
          <w:p w:rsidR="000C6C0A" w:rsidRPr="00FA4D47" w:rsidRDefault="000C6C0A" w:rsidP="000C6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Протокол №_</w:t>
            </w:r>
            <w:r w:rsidR="00D20F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_ від «_</w:t>
            </w:r>
            <w:r w:rsidR="00D20F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27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r w:rsidR="00D20F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серпня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__201</w:t>
            </w:r>
            <w:r w:rsidR="00D20F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0C6C0A" w:rsidRPr="00FA4D4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Завідувач кафедри __________Т. М.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Нікітчук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C0A" w:rsidRPr="00FA4D4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«__» ___________201</w:t>
            </w:r>
            <w:r w:rsidR="00D20F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 р.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C0A" w:rsidRPr="00FA4D47" w:rsidTr="00EB5FFC">
        <w:tc>
          <w:tcPr>
            <w:tcW w:w="9747" w:type="dxa"/>
            <w:gridSpan w:val="2"/>
          </w:tcPr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ТЕСТОВІ ЗАВДАННЯ </w:t>
            </w:r>
          </w:p>
          <w:p w:rsidR="000C6C0A" w:rsidRPr="00FA4D47" w:rsidRDefault="00040EC1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ФОРМУВАННЯ, ОБРОБКА ТА АНАЛІЗ МЕДИЧНИХ СИГНАЛІВ</w:t>
            </w:r>
          </w:p>
        </w:tc>
      </w:tr>
    </w:tbl>
    <w:p w:rsidR="00FC7F22" w:rsidRPr="00FA4D47" w:rsidRDefault="00FC7F22">
      <w:pPr>
        <w:rPr>
          <w:rFonts w:ascii="Times New Roman" w:hAnsi="Times New Roman" w:cs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9194"/>
      </w:tblGrid>
      <w:tr w:rsidR="00040EC1" w:rsidRPr="00FA4D47" w:rsidTr="00040EC1">
        <w:tc>
          <w:tcPr>
            <w:tcW w:w="695" w:type="dxa"/>
          </w:tcPr>
          <w:p w:rsidR="00040EC1" w:rsidRPr="00FA4D47" w:rsidRDefault="00040EC1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94" w:type="dxa"/>
          </w:tcPr>
          <w:p w:rsidR="00040EC1" w:rsidRPr="00FA4D47" w:rsidRDefault="00040EC1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040EC1" w:rsidRPr="00FA4D47" w:rsidTr="00040EC1">
        <w:tc>
          <w:tcPr>
            <w:tcW w:w="695" w:type="dxa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94" w:type="dxa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Інформаційний процес – це …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Процеси або явища, які не мають фізіологічного походження у досліджуваному органі (не є метою досліджень), але фіксуються під час запису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біомедичних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сигналів, називаються …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належить до методів томографічної інтроскопії?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Для одержання двовимірних медичних зображень (2D-зображень) не використовують: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різновид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ультрасонографії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метод отримання кольоровою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вiзуалiзацiї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потоку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кровi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судинному руслі?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040E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Ультразвуком називають: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Механічні коливання, що поширюються у пружному середовищі у вигляді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поздовжніх хвиль із частотою понад 20 кГц, це: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Чутливий елемент </w:t>
            </w:r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FA4D4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proofErr w:type="spellStart"/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фоторезисторів</w:t>
            </w:r>
            <w:proofErr w:type="spellEnd"/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) виконаний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Фотоґальваничні</w:t>
            </w:r>
            <w:proofErr w:type="spellEnd"/>
            <w:r w:rsidRPr="00FA4D4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</w:t>
            </w:r>
            <w:r w:rsidRPr="00FA4D4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являють собою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040EC1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040EC1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040EC1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технологiя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використання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рентгенiвського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випромiнювання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для отримання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вiдеозображення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режимi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реального часу?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метод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дослiдження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молочних залоз за допомогою рентгенівського випромінювання?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645716"/>
                  <wp:effectExtent l="19050" t="0" r="0" b="0"/>
                  <wp:docPr id="1" name="Рисунок 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84" cy="16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148663"/>
                  <wp:effectExtent l="19050" t="0" r="0" b="0"/>
                  <wp:docPr id="2" name="Рисунок 10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3" cy="115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2467" cy="1244009"/>
                  <wp:effectExtent l="19050" t="0" r="0" b="0"/>
                  <wp:docPr id="3" name="Рисунок 11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7" cy="124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43509" cy="1531088"/>
                  <wp:effectExtent l="19050" t="0" r="0" b="0"/>
                  <wp:docPr id="4" name="Рисунок 12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09" cy="153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81889" cy="1099672"/>
                  <wp:effectExtent l="19050" t="0" r="8861" b="0"/>
                  <wp:docPr id="5" name="Рисунок 14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168" cy="110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632092"/>
                  <wp:effectExtent l="19050" t="0" r="0" b="0"/>
                  <wp:docPr id="6" name="Рисунок 15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61" cy="164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49606" cy="1488558"/>
                  <wp:effectExtent l="133350" t="0" r="121994" b="0"/>
                  <wp:docPr id="7" name="Рисунок 16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6777" cy="148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831015" cy="1176525"/>
                  <wp:effectExtent l="19050" t="0" r="0" b="0"/>
                  <wp:docPr id="8" name="Рисунок 17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87" cy="11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Якщо нові значення яскравості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Згладжуючі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фільтри ще називають …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Що робить високочастотна фільтрація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якого виду фільтрації відносять фільтри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Превіта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Собеля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 фільтри для визначення границь на зображенні, в яких використовуються перші частинні похідні і які змінюють параметри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зображення у певному напрямку?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162152" cy="1598150"/>
                  <wp:effectExtent l="19050" t="0" r="148" b="0"/>
                  <wp:docPr id="9" name="Рисунок 25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36" cy="15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25709" cy="1977656"/>
                  <wp:effectExtent l="19050" t="0" r="3291" b="0"/>
                  <wp:docPr id="10" name="Рисунок 26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16" cy="198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904904" cy="1509497"/>
                  <wp:effectExtent l="19050" t="0" r="0" b="0"/>
                  <wp:docPr id="11" name="Рисунок 26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01" cy="151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32494" cy="2201131"/>
                  <wp:effectExtent l="19050" t="0" r="0" b="0"/>
                  <wp:docPr id="12" name="Рисунок 27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244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96289" cy="2102993"/>
                  <wp:effectExtent l="19050" t="0" r="8861" b="0"/>
                  <wp:docPr id="13" name="Рисунок 28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27" cy="210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382174" cy="1998921"/>
                  <wp:effectExtent l="19050" t="0" r="8726" b="0"/>
                  <wp:docPr id="14" name="Рисунок 29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62" cy="20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500326" cy="1114599"/>
                  <wp:effectExtent l="19050" t="0" r="4874" b="0"/>
                  <wp:docPr id="15" name="Рисунок 30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27" cy="111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переводяться в нове положення за рахунок повороту точок об’єкта на заданий кут навколо заданої вісі обертання?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зміна роздільної здатності зображення в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пікселах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, внаслідок чого змінюється обсяг даних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при якому значення яскравості всіх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змінюються за законом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показане праворуч від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біомедичного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13517" cy="1280780"/>
                  <wp:effectExtent l="19050" t="0" r="0" b="0"/>
                  <wp:docPr id="16" name="Рисунок 2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14" cy="12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показане ліворуч від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біомедичного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37610" cy="1130921"/>
                  <wp:effectExtent l="19050" t="0" r="0" b="0"/>
                  <wp:docPr id="17" name="Рисунок 22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32" cy="113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Скільки градацій сірого може бути у зображенні, розрядність якого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дорівнює 12?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64661" cy="1345023"/>
                  <wp:effectExtent l="19050" t="0" r="7089" b="0"/>
                  <wp:docPr id="18" name="Рисунок 25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089" cy="1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максимальне значення яскравості з діапазону </w:t>
            </w:r>
            <w:proofErr w:type="gram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івнів яскравості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7313" cy="1310892"/>
                  <wp:effectExtent l="19050" t="0" r="3987" b="0"/>
                  <wp:docPr id="19" name="Рисунок 30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97" cy="130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3503" cy="1309094"/>
                  <wp:effectExtent l="19050" t="0" r="7797" b="0"/>
                  <wp:docPr id="20" name="Рисунок 30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31" cy="130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69693" cy="1307296"/>
                  <wp:effectExtent l="19050" t="0" r="0" b="0"/>
                  <wp:docPr id="21" name="Рисунок 31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94" cy="13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66680" cy="1305871"/>
                  <wp:effectExtent l="19050" t="0" r="0" b="0"/>
                  <wp:docPr id="22" name="Рисунок 32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751" cy="13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чого сегментують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біомедичні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пікселів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істотно змінюється?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Кенні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Canny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SUSAN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групу методів сегментації,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порогової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фільтрації?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кластеризації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з методів сегментації, що засновані на формуванні однорідних ділянок, ґрунтується на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гістограмних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перетвореннях?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нарощування ділянок?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розбиття-злиття ділянок?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 називається метод сегментації зображень, 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значенню її яскравості?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040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≤1;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використовується для сегментації зображення за алгоритмом розумних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ножиць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із тисків в рідині залежить від швидкості її потоку?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По мірі руху крові по кровоносній системі людини від аорти до вени, середнє значення повного тиску в крові: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Об’єм рідини, що протікає по трубі за 1 с: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зменшенні внутрішнього діаметра судини статичний тиск крові: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зменшенні внутрішнього діаметра судини гідродинамічний тиск крові: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Зі збільшенням температури в’язкість рідини: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Об’ємна швидкість потоку крові в судині рівна: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Методом Стокса вимірюють: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Величина, що реєструється при ЕКГ є: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Типове значення періоду кривої ЕКГ лежить в межах: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Максимальний градієнт потенціалу електричного поля має місце: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анаболізм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Кров, для аналізу, краще брати: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Метод кількісного аналізу пружних властивостей згустків в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біопробі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процесі їх коагуляції називають: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Виділення із рідин дисперсної фази за рахунок коагуляції в об’ємі або на поверхні проби при накладанні електричних полів – це: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За допомогою якого рівняння визначається потенціал окремого електроду?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Поліхроматичний потік випромінювання – це:</w:t>
            </w:r>
          </w:p>
          <w:p w:rsidR="00040EC1" w:rsidRPr="00FA4D47" w:rsidRDefault="00040EC1" w:rsidP="002D6AED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фотоколориметрії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величина ослаблення інтенсивності світла залежить від …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Резонансне поглинання електромагнітної енергії в речовинах обумовлене магнетизмом ядер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Використання статичних електричних полів дозволяє розділити іони за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Система органів і клітин, яка реагує на появу в організмі чужорідних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субстанцій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антигенів  –  це 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Видиме злипання еритроцитів, які використовуються в якості пасивних носіїв для антигенів, обумовлене реакцією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Aг-Aт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, називається 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Імунологічна реакція, яка реалізує один з найважливіших захисних механізмів по захисту організму від інфекцій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двохвимірній хроматографії розділення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проводять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опроміненні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УФ-випромінюванням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певної довжини хвилі речовини, які мають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флуоресцуючі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групи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проведенні препаративної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елюат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збирають по фракціям на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якості пристрою для вводу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, при високоефективній рідинній хроматографії, в наш час в основному використовують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Хроматографія  – це розподілення речовини на окремі компоненти в основі яких лежить …  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вид хроматографії найбільш простий та швидкий?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Флотація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Метод розділення заряджених частинок в електричному полі, яке відбувається через різницю в швидкості  руху частинок з різним співвідношенням заряд/маса має назву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Методи розділення речовин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які базуються на процесах розподілу цих компонентів між нерухомою та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рузомою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фазою, які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рухаються одна відносно другої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Світіння речовин під дією енергії різних хімічних процесів називається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рентгенівським випромінюванням і реєстрація спектру рентгенівського випромінювання?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Система органів та клітин, що реагує на появу в організмі чужорідних частинок називається?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Речовини, що несуть признаки генетичною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чужорідності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є причиною специфічних імунологічних реакцій називають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Явище, при якому корпускулярні частинки антигенів після реакції з антитілами склеюються і випадають у вигляді пластівців, називається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катаболізм 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Для коректного вимірювання в’язкості крові необхідно дотримуватися наступних вимог: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Процес оснований на явищі міграції заряджених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мікро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частин в рідкій середі під дією зовнішнього електричного поля називається: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не важливо при відборі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біопроби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якого методу лежать процеси, які протікають на поверхні електродів?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Яка мінімальна кількість електродів в електрохімічній комірці?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Після закінчення двохвимірної хроматографії, результати оцінюють за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високоефективній рідинній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вводять: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Колонна газова хроматографія дозволяє розділяти: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Сорбат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Хемосорбційна хроматографія проходить … 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Який метод вимірює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рівновагову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різницю тиску по обидві сторони мембрани?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Седиментація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розділення заряджених частинок в електричному полі, яке відбувається в середовищі з лінійним та стабільним градієнтом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рН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досягнення ділянки, що відповідає їх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точці, має назву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метаболічна система організму 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з перерахованих методів може досягти найвищої точності вимірювання осмотичного тиску?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Коли отриманий показник відображає тільки факт наявності чи відсутності якогось елемента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досліджувальної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біопроби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Чому метод двомірного електрофорезу отримав широке розповсюдження?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Яка редакція (версія) формату </w:t>
            </w:r>
            <w:r w:rsidRPr="00FA4D47">
              <w:rPr>
                <w:rFonts w:ascii="Times New Roman" w:hAnsi="Times New Roman"/>
                <w:sz w:val="28"/>
                <w:szCs w:val="28"/>
                <w:lang w:val="en-US"/>
              </w:rPr>
              <w:t>DICOM</w:t>
            </w:r>
            <w:r w:rsidRPr="00040E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діє з 2018 р.?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заснований на реєстрації пониження температури замерзання досліджуваного водного розчину відносно температури замерзання дистильованої води?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Аналіз компонентного складу, що здійснюється по спектрам люмінесценції атомного пару відноситься до методу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Хемолюмінісценція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За якою формулою визначається швидкість радіоактивного розпаду?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Можливості вивчення складу і структури складних речовин по характерних рентгенівських спектрах виходять із закону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 ефективності розділення метод двохвимірної хроматографії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Основною перевагою методу колонної рідинної хроматографії, в порівнянні з газовою, є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Найпростішою моделлю градієнтного змішувача є: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Між рідинною та газовою хроматографією різниця в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Які агрегатні стани можуть бути в рухомої речовини(сорбції)?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Силікагель в більшій частині складається з …?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амфоліт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Метод, який базується на визначенні зміни температури кипіння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називається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Коли відбувається явище седиментації?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точка білку?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частинки антигенів після реакції з антитілами склеюються та викликають помутніння розчину?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корпускулярні частинки антигенів попередньо приєднуються до пасивного носія після реакції з антитілами склеюються і випадають у вигляді пластівців?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метаболізм?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Яким може бути вид аналізу, який застосовують в екологічних лабораторіях?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дозволяє оцінити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вискозометрія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Попередній електрофорез проводиться за такими умовами: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в основу якого покладено ефект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Рамана-Ландсберга-Мальдельштама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відноситься до методу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нефелометрії відносять: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метод, заснований на поєднанні електрофорезу в агаровому гелі з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імунодифузією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За допомогою чого вимірюється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вiдносна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щiльнiсть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областi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тiла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, яке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дослiджується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методом КТ?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63182" cy="1181769"/>
                  <wp:effectExtent l="19050" t="0" r="8418" b="0"/>
                  <wp:docPr id="23" name="Рисунок 41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32" cy="11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49040" cy="1127051"/>
                  <wp:effectExtent l="19050" t="0" r="3610" b="0"/>
                  <wp:docPr id="24" name="Рисунок 40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580" cy="112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9387" cy="1299387"/>
                  <wp:effectExtent l="19050" t="0" r="0" b="0"/>
                  <wp:docPr id="25" name="Рисунок 24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20" cy="130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9387" cy="1132964"/>
                  <wp:effectExtent l="19050" t="0" r="0" b="0"/>
                  <wp:docPr id="26" name="Рисунок 23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55" cy="113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299387" cy="1485014"/>
                  <wp:effectExtent l="19050" t="0" r="0" b="0"/>
                  <wp:docPr id="27" name="Рисунок 22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94" cy="14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9387" cy="1293229"/>
                  <wp:effectExtent l="19050" t="0" r="0" b="0"/>
                  <wp:docPr id="224" name="Рисунок 19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8" cy="129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2D6AED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98672" cy="1382233"/>
                  <wp:effectExtent l="19050" t="0" r="6328" b="0"/>
                  <wp:docPr id="225" name="Рисунок 18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37" cy="138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AED" w:rsidRPr="002D6AED" w:rsidRDefault="002D6AED">
      <w:pPr>
        <w:rPr>
          <w:rFonts w:ascii="Times New Roman" w:hAnsi="Times New Roman" w:cs="Times New Roman"/>
        </w:rPr>
      </w:pPr>
    </w:p>
    <w:sectPr w:rsidR="002D6AED" w:rsidRPr="002D6AED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57AFB"/>
    <w:rsid w:val="00040EC1"/>
    <w:rsid w:val="0009263B"/>
    <w:rsid w:val="000C6C0A"/>
    <w:rsid w:val="000E222B"/>
    <w:rsid w:val="002D6AED"/>
    <w:rsid w:val="003F0FF8"/>
    <w:rsid w:val="0062704E"/>
    <w:rsid w:val="006A2B94"/>
    <w:rsid w:val="00736A75"/>
    <w:rsid w:val="00757AFB"/>
    <w:rsid w:val="00804833"/>
    <w:rsid w:val="0081008E"/>
    <w:rsid w:val="00D20FB1"/>
    <w:rsid w:val="00EB5FFC"/>
    <w:rsid w:val="00FA4D47"/>
    <w:rsid w:val="00FC7F22"/>
    <w:rsid w:val="00FF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0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C0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6AED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а1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rsid w:val="002D6AE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D6A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customStyle="1" w:styleId="3">
    <w:name w:val="Абзац списка3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B4E71-CF91-4EEA-A5AF-9AFD411F9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13907</Words>
  <Characters>7928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5</cp:revision>
  <dcterms:created xsi:type="dcterms:W3CDTF">2018-09-25T08:35:00Z</dcterms:created>
  <dcterms:modified xsi:type="dcterms:W3CDTF">2019-11-12T11:50:00Z</dcterms:modified>
</cp:coreProperties>
</file>