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9214"/>
      </w:tblGrid>
      <w:tr w:rsidR="007B4FF3" w:rsidRPr="00D07C97" w:rsidTr="001F23A3">
        <w:tc>
          <w:tcPr>
            <w:tcW w:w="9678" w:type="dxa"/>
            <w:gridSpan w:val="2"/>
            <w:vAlign w:val="center"/>
          </w:tcPr>
          <w:p w:rsidR="007B4FF3" w:rsidRPr="007B4FF3" w:rsidRDefault="007B4FF3" w:rsidP="007B4FF3">
            <w:pPr>
              <w:tabs>
                <w:tab w:val="left" w:pos="851"/>
              </w:tabs>
              <w:spacing w:after="0" w:line="240" w:lineRule="auto"/>
              <w:jc w:val="center"/>
              <w:rPr>
                <w:rFonts w:ascii="Times New Roman" w:eastAsia="Times New Roman" w:hAnsi="Times New Roman" w:cs="Times New Roman"/>
                <w:b/>
                <w:sz w:val="28"/>
                <w:szCs w:val="28"/>
              </w:rPr>
            </w:pPr>
            <w:r w:rsidRPr="007B4FF3">
              <w:rPr>
                <w:rFonts w:ascii="Times New Roman" w:eastAsia="Times New Roman" w:hAnsi="Times New Roman" w:cs="Times New Roman"/>
                <w:b/>
                <w:sz w:val="28"/>
                <w:szCs w:val="28"/>
              </w:rPr>
              <w:t>Відповіді</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на тестові завдання для складання іспиту/заліку</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u w:val="single"/>
              </w:rPr>
            </w:pPr>
            <w:r w:rsidRPr="007B4FF3">
              <w:rPr>
                <w:rFonts w:ascii="Times New Roman" w:eastAsia="Times New Roman" w:hAnsi="Times New Roman" w:cs="Times New Roman"/>
                <w:sz w:val="28"/>
                <w:szCs w:val="28"/>
              </w:rPr>
              <w:t xml:space="preserve">з навчальної дисципліни </w:t>
            </w:r>
            <w:bookmarkStart w:id="0" w:name="_GoBack"/>
            <w:r w:rsidRPr="007B4FF3">
              <w:rPr>
                <w:rFonts w:ascii="Times New Roman" w:eastAsia="Times New Roman" w:hAnsi="Times New Roman" w:cs="Times New Roman"/>
                <w:sz w:val="28"/>
                <w:szCs w:val="28"/>
              </w:rPr>
              <w:t>«</w:t>
            </w:r>
            <w:r w:rsidR="00C85E79">
              <w:rPr>
                <w:rFonts w:ascii="Times New Roman" w:eastAsia="Times New Roman" w:hAnsi="Times New Roman" w:cs="Times New Roman"/>
                <w:color w:val="000000"/>
                <w:sz w:val="28"/>
                <w:szCs w:val="28"/>
                <w:u w:val="single"/>
                <w:shd w:val="clear" w:color="auto" w:fill="FFFFFF"/>
              </w:rPr>
              <w:t>Консолідована фінансова звітність</w:t>
            </w:r>
            <w:r w:rsidRPr="007B4FF3">
              <w:rPr>
                <w:rFonts w:ascii="Times New Roman" w:eastAsia="Times New Roman" w:hAnsi="Times New Roman" w:cs="Times New Roman"/>
                <w:color w:val="000000"/>
                <w:sz w:val="28"/>
                <w:szCs w:val="28"/>
                <w:u w:val="single"/>
                <w:shd w:val="clear" w:color="auto" w:fill="FFFFFF"/>
              </w:rPr>
              <w:t>»</w:t>
            </w:r>
            <w:bookmarkEnd w:id="0"/>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0"/>
                <w:szCs w:val="20"/>
              </w:rPr>
            </w:pP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t>(назва навчальної дисципліни)</w:t>
            </w:r>
          </w:p>
          <w:p w:rsidR="007B4FF3" w:rsidRPr="007B4FF3" w:rsidRDefault="007B4FF3" w:rsidP="007B4FF3">
            <w:pPr>
              <w:tabs>
                <w:tab w:val="left" w:pos="851"/>
              </w:tabs>
              <w:spacing w:after="0" w:line="240" w:lineRule="auto"/>
              <w:ind w:firstLine="567"/>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за спеціальністю 071 «Облік і оподаткування»</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освітнього рівня «</w:t>
            </w:r>
            <w:r w:rsidR="00C85E79">
              <w:rPr>
                <w:rFonts w:ascii="Times New Roman" w:eastAsia="Times New Roman" w:hAnsi="Times New Roman" w:cs="Times New Roman"/>
                <w:sz w:val="28"/>
                <w:szCs w:val="28"/>
              </w:rPr>
              <w:t>магістр</w:t>
            </w:r>
            <w:r w:rsidRPr="007B4FF3">
              <w:rPr>
                <w:rFonts w:ascii="Times New Roman" w:eastAsia="Times New Roman" w:hAnsi="Times New Roman" w:cs="Times New Roman"/>
                <w:sz w:val="28"/>
                <w:szCs w:val="28"/>
              </w:rPr>
              <w:t>»</w:t>
            </w:r>
          </w:p>
          <w:p w:rsidR="007B4FF3" w:rsidRPr="00D07C97" w:rsidRDefault="007B4FF3" w:rsidP="00374FE4">
            <w:pPr>
              <w:spacing w:after="0" w:line="240" w:lineRule="auto"/>
              <w:jc w:val="both"/>
              <w:rPr>
                <w:rFonts w:ascii="Times New Roman" w:hAnsi="Times New Roman"/>
              </w:rPr>
            </w:pPr>
          </w:p>
        </w:tc>
      </w:tr>
      <w:tr w:rsidR="00273D5F" w:rsidRPr="00D07C97" w:rsidTr="0091139C">
        <w:tc>
          <w:tcPr>
            <w:tcW w:w="464" w:type="dxa"/>
            <w:vAlign w:val="center"/>
          </w:tcPr>
          <w:p w:rsidR="00273D5F" w:rsidRPr="008B018B" w:rsidRDefault="00273D5F" w:rsidP="00B92520">
            <w:pPr>
              <w:pStyle w:val="a3"/>
              <w:numPr>
                <w:ilvl w:val="0"/>
                <w:numId w:val="1"/>
              </w:numPr>
              <w:ind w:left="0" w:firstLine="0"/>
              <w:jc w:val="center"/>
            </w:pPr>
          </w:p>
        </w:tc>
        <w:tc>
          <w:tcPr>
            <w:tcW w:w="9214" w:type="dxa"/>
          </w:tcPr>
          <w:p w:rsidR="00273D5F" w:rsidRPr="005F0015" w:rsidRDefault="00273D5F" w:rsidP="002F63C9">
            <w:pPr>
              <w:pStyle w:val="a3"/>
              <w:spacing w:line="276" w:lineRule="auto"/>
              <w:ind w:left="340"/>
              <w:rPr>
                <w:sz w:val="22"/>
                <w:szCs w:val="22"/>
              </w:rPr>
            </w:pPr>
            <w:proofErr w:type="spellStart"/>
            <w:r w:rsidRPr="005F0015">
              <w:rPr>
                <w:sz w:val="22"/>
                <w:szCs w:val="22"/>
              </w:rPr>
              <w:t>Материнському</w:t>
            </w:r>
            <w:proofErr w:type="spellEnd"/>
            <w:r w:rsidRPr="005F0015">
              <w:rPr>
                <w:sz w:val="22"/>
                <w:szCs w:val="22"/>
              </w:rPr>
              <w:t xml:space="preserve"> </w:t>
            </w:r>
            <w:proofErr w:type="spellStart"/>
            <w:r w:rsidRPr="005F0015">
              <w:rPr>
                <w:sz w:val="22"/>
                <w:szCs w:val="22"/>
              </w:rPr>
              <w:t>підприємству</w:t>
            </w:r>
            <w:proofErr w:type="spellEnd"/>
            <w:r w:rsidRPr="005F0015">
              <w:rPr>
                <w:sz w:val="22"/>
                <w:szCs w:val="22"/>
              </w:rPr>
              <w:t xml:space="preserve"> </w:t>
            </w:r>
            <w:proofErr w:type="spellStart"/>
            <w:r w:rsidRPr="005F0015">
              <w:rPr>
                <w:sz w:val="22"/>
                <w:szCs w:val="22"/>
              </w:rPr>
              <w:t>потрібно</w:t>
            </w:r>
            <w:proofErr w:type="spellEnd"/>
            <w:r w:rsidRPr="005F0015">
              <w:rPr>
                <w:sz w:val="22"/>
                <w:szCs w:val="22"/>
              </w:rPr>
              <w:t xml:space="preserve"> </w:t>
            </w:r>
            <w:proofErr w:type="spellStart"/>
            <w:r w:rsidRPr="005F0015">
              <w:rPr>
                <w:sz w:val="22"/>
                <w:szCs w:val="22"/>
              </w:rPr>
              <w:t>подавати</w:t>
            </w:r>
            <w:proofErr w:type="spellEnd"/>
            <w:r w:rsidRPr="005F0015">
              <w:rPr>
                <w:sz w:val="22"/>
                <w:szCs w:val="22"/>
              </w:rPr>
              <w:t xml:space="preserve"> </w:t>
            </w:r>
            <w:proofErr w:type="spellStart"/>
            <w:r w:rsidRPr="005F0015">
              <w:rPr>
                <w:sz w:val="22"/>
                <w:szCs w:val="22"/>
              </w:rPr>
              <w:t>консолідовану</w:t>
            </w:r>
            <w:proofErr w:type="spellEnd"/>
            <w:r w:rsidRPr="005F0015">
              <w:rPr>
                <w:sz w:val="22"/>
                <w:szCs w:val="22"/>
              </w:rPr>
              <w:t xml:space="preserve"> </w:t>
            </w:r>
            <w:proofErr w:type="spellStart"/>
            <w:r w:rsidRPr="005F0015">
              <w:rPr>
                <w:sz w:val="22"/>
                <w:szCs w:val="22"/>
              </w:rPr>
              <w:t>фінансову</w:t>
            </w:r>
            <w:proofErr w:type="spellEnd"/>
            <w:r w:rsidRPr="005F0015">
              <w:rPr>
                <w:sz w:val="22"/>
                <w:szCs w:val="22"/>
              </w:rPr>
              <w:t xml:space="preserve"> </w:t>
            </w:r>
            <w:proofErr w:type="spellStart"/>
            <w:r w:rsidRPr="005F0015">
              <w:rPr>
                <w:sz w:val="22"/>
                <w:szCs w:val="22"/>
              </w:rPr>
              <w:t>звітність</w:t>
            </w:r>
            <w:proofErr w:type="spellEnd"/>
            <w:r w:rsidRPr="005F0015">
              <w:rPr>
                <w:sz w:val="22"/>
                <w:szCs w:val="22"/>
              </w:rPr>
              <w:t xml:space="preserve"> у </w:t>
            </w:r>
            <w:proofErr w:type="spellStart"/>
            <w:r w:rsidRPr="005F0015">
              <w:rPr>
                <w:sz w:val="22"/>
                <w:szCs w:val="22"/>
              </w:rPr>
              <w:t>випадку</w:t>
            </w:r>
            <w:proofErr w:type="spellEnd"/>
            <w:r w:rsidRPr="005F0015">
              <w:rPr>
                <w:sz w:val="22"/>
                <w:szCs w:val="22"/>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7B4FF3" w:rsidRDefault="00273D5F" w:rsidP="00B92520">
            <w:pPr>
              <w:pStyle w:val="a3"/>
              <w:numPr>
                <w:ilvl w:val="0"/>
                <w:numId w:val="1"/>
              </w:numPr>
              <w:ind w:left="0" w:firstLine="0"/>
              <w:jc w:val="center"/>
              <w:rPr>
                <w:lang w:val="uk-UA"/>
              </w:rPr>
            </w:pPr>
          </w:p>
        </w:tc>
        <w:tc>
          <w:tcPr>
            <w:tcW w:w="9214" w:type="dxa"/>
          </w:tcPr>
          <w:p w:rsidR="00273D5F" w:rsidRPr="00273D5F" w:rsidRDefault="00273D5F" w:rsidP="002F63C9">
            <w:pPr>
              <w:spacing w:after="0"/>
              <w:ind w:left="340"/>
              <w:rPr>
                <w:rFonts w:ascii="Times New Roman" w:hAnsi="Times New Roman"/>
              </w:rPr>
            </w:pPr>
            <w:r w:rsidRPr="00273D5F">
              <w:rPr>
                <w:rFonts w:ascii="Times New Roman" w:hAnsi="Times New Roman"/>
              </w:rPr>
              <w:t>Підприємства, що контролюють інші підприємства (крім підприємств, що становлять суспільний інтерес), можуть не 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w:t>
            </w:r>
          </w:p>
        </w:tc>
      </w:tr>
      <w:tr w:rsidR="00273D5F" w:rsidRPr="00D07C97" w:rsidTr="0091139C">
        <w:tc>
          <w:tcPr>
            <w:tcW w:w="464" w:type="dxa"/>
            <w:vAlign w:val="center"/>
          </w:tcPr>
          <w:p w:rsidR="00273D5F" w:rsidRPr="007B4FF3"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pStyle w:val="a3"/>
              <w:spacing w:line="276" w:lineRule="auto"/>
              <w:ind w:left="340"/>
              <w:rPr>
                <w:sz w:val="22"/>
                <w:szCs w:val="22"/>
              </w:rPr>
            </w:pPr>
            <w:r w:rsidRPr="005F0015">
              <w:rPr>
                <w:sz w:val="22"/>
                <w:szCs w:val="22"/>
              </w:rPr>
              <w:t xml:space="preserve">У </w:t>
            </w:r>
            <w:proofErr w:type="spellStart"/>
            <w:r w:rsidRPr="005F0015">
              <w:rPr>
                <w:sz w:val="22"/>
                <w:szCs w:val="22"/>
              </w:rPr>
              <w:t>разі</w:t>
            </w:r>
            <w:proofErr w:type="spellEnd"/>
            <w:r w:rsidRPr="005F0015">
              <w:rPr>
                <w:sz w:val="22"/>
                <w:szCs w:val="22"/>
              </w:rPr>
              <w:t xml:space="preserve"> </w:t>
            </w:r>
            <w:proofErr w:type="spellStart"/>
            <w:r w:rsidRPr="005F0015">
              <w:rPr>
                <w:sz w:val="22"/>
                <w:szCs w:val="22"/>
              </w:rPr>
              <w:t>якщо</w:t>
            </w:r>
            <w:proofErr w:type="spellEnd"/>
            <w:r w:rsidRPr="005F0015">
              <w:rPr>
                <w:sz w:val="22"/>
                <w:szCs w:val="22"/>
              </w:rPr>
              <w:t xml:space="preserve"> </w:t>
            </w:r>
            <w:proofErr w:type="spellStart"/>
            <w:r w:rsidRPr="005F0015">
              <w:rPr>
                <w:sz w:val="22"/>
                <w:szCs w:val="22"/>
              </w:rPr>
              <w:t>дочірнє</w:t>
            </w:r>
            <w:proofErr w:type="spellEnd"/>
            <w:r w:rsidRPr="005F0015">
              <w:rPr>
                <w:sz w:val="22"/>
                <w:szCs w:val="22"/>
              </w:rPr>
              <w:t xml:space="preserve"> </w:t>
            </w:r>
            <w:proofErr w:type="spellStart"/>
            <w:r w:rsidRPr="005F0015">
              <w:rPr>
                <w:sz w:val="22"/>
                <w:szCs w:val="22"/>
              </w:rPr>
              <w:t>підприємство</w:t>
            </w:r>
            <w:proofErr w:type="spellEnd"/>
            <w:r w:rsidRPr="005F0015">
              <w:rPr>
                <w:sz w:val="22"/>
                <w:szCs w:val="22"/>
              </w:rPr>
              <w:t xml:space="preserve"> </w:t>
            </w:r>
            <w:proofErr w:type="spellStart"/>
            <w:r w:rsidRPr="005F0015">
              <w:rPr>
                <w:sz w:val="22"/>
                <w:szCs w:val="22"/>
              </w:rPr>
              <w:t>перестає</w:t>
            </w:r>
            <w:proofErr w:type="spellEnd"/>
            <w:r w:rsidRPr="005F0015">
              <w:rPr>
                <w:sz w:val="22"/>
                <w:szCs w:val="22"/>
              </w:rPr>
              <w:t xml:space="preserve"> бути </w:t>
            </w:r>
            <w:proofErr w:type="spellStart"/>
            <w:r w:rsidRPr="005F0015">
              <w:rPr>
                <w:sz w:val="22"/>
                <w:szCs w:val="22"/>
              </w:rPr>
              <w:t>контрольованим</w:t>
            </w:r>
            <w:proofErr w:type="spellEnd"/>
            <w:r w:rsidRPr="005F0015">
              <w:rPr>
                <w:sz w:val="22"/>
                <w:szCs w:val="22"/>
              </w:rPr>
              <w:t xml:space="preserve">, </w:t>
            </w:r>
            <w:proofErr w:type="spellStart"/>
            <w:r w:rsidRPr="005F0015">
              <w:rPr>
                <w:sz w:val="22"/>
                <w:szCs w:val="22"/>
              </w:rPr>
              <w:t>материнське</w:t>
            </w:r>
            <w:proofErr w:type="spellEnd"/>
            <w:r w:rsidRPr="005F0015">
              <w:rPr>
                <w:sz w:val="22"/>
                <w:szCs w:val="22"/>
              </w:rPr>
              <w:t xml:space="preserve"> </w:t>
            </w:r>
            <w:proofErr w:type="spellStart"/>
            <w:r w:rsidRPr="005F0015">
              <w:rPr>
                <w:sz w:val="22"/>
                <w:szCs w:val="22"/>
              </w:rPr>
              <w:t>підприємство</w:t>
            </w:r>
            <w:proofErr w:type="spellEnd"/>
            <w:r w:rsidRPr="005F0015">
              <w:rPr>
                <w:sz w:val="22"/>
                <w:szCs w:val="22"/>
              </w:rPr>
              <w:t>:</w:t>
            </w:r>
          </w:p>
          <w:p w:rsidR="00273D5F" w:rsidRPr="005F0015" w:rsidRDefault="00273D5F" w:rsidP="002F63C9">
            <w:pPr>
              <w:pStyle w:val="a4"/>
              <w:spacing w:line="276" w:lineRule="auto"/>
              <w:ind w:left="340"/>
              <w:rPr>
                <w:rFonts w:ascii="Times New Roman" w:hAnsi="Times New Roman" w:cs="Times New Roman"/>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sz w:val="22"/>
                <w:szCs w:val="22"/>
              </w:rPr>
            </w:pPr>
            <w:r w:rsidRPr="005F0015">
              <w:rPr>
                <w:sz w:val="22"/>
                <w:szCs w:val="22"/>
              </w:rPr>
              <w:t xml:space="preserve">При </w:t>
            </w:r>
            <w:proofErr w:type="spellStart"/>
            <w:r w:rsidRPr="005F0015">
              <w:rPr>
                <w:sz w:val="22"/>
                <w:szCs w:val="22"/>
              </w:rPr>
              <w:t>складанні</w:t>
            </w:r>
            <w:proofErr w:type="spellEnd"/>
            <w:r w:rsidRPr="005F0015">
              <w:rPr>
                <w:sz w:val="22"/>
                <w:szCs w:val="22"/>
              </w:rPr>
              <w:t xml:space="preserve"> </w:t>
            </w:r>
            <w:proofErr w:type="spellStart"/>
            <w:r w:rsidRPr="005F0015">
              <w:rPr>
                <w:sz w:val="22"/>
                <w:szCs w:val="22"/>
              </w:rPr>
              <w:t>консолідованої</w:t>
            </w:r>
            <w:proofErr w:type="spellEnd"/>
            <w:r w:rsidRPr="005F0015">
              <w:rPr>
                <w:sz w:val="22"/>
                <w:szCs w:val="22"/>
              </w:rPr>
              <w:t xml:space="preserve"> </w:t>
            </w:r>
            <w:proofErr w:type="spellStart"/>
            <w:r w:rsidRPr="005F0015">
              <w:rPr>
                <w:sz w:val="22"/>
                <w:szCs w:val="22"/>
              </w:rPr>
              <w:t>фінансової</w:t>
            </w:r>
            <w:proofErr w:type="spellEnd"/>
            <w:r w:rsidRPr="005F0015">
              <w:rPr>
                <w:sz w:val="22"/>
                <w:szCs w:val="22"/>
              </w:rPr>
              <w:t xml:space="preserve"> </w:t>
            </w:r>
            <w:proofErr w:type="spellStart"/>
            <w:r w:rsidRPr="005F0015">
              <w:rPr>
                <w:sz w:val="22"/>
                <w:szCs w:val="22"/>
              </w:rPr>
              <w:t>звітності</w:t>
            </w:r>
            <w:proofErr w:type="spellEnd"/>
            <w:r w:rsidRPr="005F0015">
              <w:rPr>
                <w:sz w:val="22"/>
                <w:szCs w:val="22"/>
              </w:rPr>
              <w:t xml:space="preserve"> не </w:t>
            </w:r>
            <w:proofErr w:type="spellStart"/>
            <w:r w:rsidRPr="005F0015">
              <w:rPr>
                <w:sz w:val="22"/>
                <w:szCs w:val="22"/>
              </w:rPr>
              <w:t>підлягають</w:t>
            </w:r>
            <w:proofErr w:type="spellEnd"/>
            <w:r w:rsidRPr="005F0015">
              <w:rPr>
                <w:sz w:val="22"/>
                <w:szCs w:val="22"/>
              </w:rPr>
              <w:t xml:space="preserve"> </w:t>
            </w:r>
            <w:proofErr w:type="spellStart"/>
            <w:r w:rsidRPr="005F0015">
              <w:rPr>
                <w:sz w:val="22"/>
                <w:szCs w:val="22"/>
              </w:rPr>
              <w:t>виключенню</w:t>
            </w:r>
            <w:proofErr w:type="spellEnd"/>
            <w:r w:rsidRPr="005F0015">
              <w:rPr>
                <w:sz w:val="22"/>
                <w:szCs w:val="22"/>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4"/>
              <w:spacing w:line="276" w:lineRule="auto"/>
              <w:ind w:left="340"/>
              <w:rPr>
                <w:rFonts w:ascii="Times New Roman" w:hAnsi="Times New Roman" w:cs="Times New Roman"/>
              </w:rPr>
            </w:pPr>
            <w:proofErr w:type="spellStart"/>
            <w:r w:rsidRPr="005F0015">
              <w:rPr>
                <w:rFonts w:ascii="Times New Roman" w:hAnsi="Times New Roman" w:cs="Times New Roman"/>
              </w:rPr>
              <w:t>Неконтрольована</w:t>
            </w:r>
            <w:proofErr w:type="spellEnd"/>
            <w:r w:rsidRPr="005F0015">
              <w:rPr>
                <w:rFonts w:ascii="Times New Roman" w:hAnsi="Times New Roman" w:cs="Times New Roman"/>
              </w:rPr>
              <w:t xml:space="preserve"> </w:t>
            </w:r>
            <w:proofErr w:type="spellStart"/>
            <w:r w:rsidRPr="005F0015">
              <w:rPr>
                <w:rFonts w:ascii="Times New Roman" w:hAnsi="Times New Roman" w:cs="Times New Roman"/>
              </w:rPr>
              <w:t>частка</w:t>
            </w:r>
            <w:proofErr w:type="spellEnd"/>
            <w:r w:rsidRPr="005F0015">
              <w:rPr>
                <w:rFonts w:ascii="Times New Roman" w:hAnsi="Times New Roman" w:cs="Times New Roman"/>
              </w:rPr>
              <w:t xml:space="preserve"> </w:t>
            </w:r>
            <w:proofErr w:type="spellStart"/>
            <w:r w:rsidRPr="005F0015">
              <w:rPr>
                <w:rFonts w:ascii="Times New Roman" w:hAnsi="Times New Roman" w:cs="Times New Roman"/>
              </w:rPr>
              <w:t>визначається</w:t>
            </w:r>
            <w:proofErr w:type="spellEnd"/>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Інвестор не може здійснювати в індивідуальному порядку контроль об'єкту інвестування якщо:</w:t>
            </w:r>
          </w:p>
          <w:p w:rsidR="00273D5F" w:rsidRPr="005F0015" w:rsidRDefault="00273D5F" w:rsidP="002F63C9">
            <w:pPr>
              <w:pStyle w:val="a4"/>
              <w:spacing w:line="276" w:lineRule="auto"/>
              <w:ind w:left="340"/>
              <w:rPr>
                <w:rFonts w:ascii="Times New Roman" w:hAnsi="Times New Roman" w:cs="Times New Roman"/>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sz w:val="22"/>
                <w:szCs w:val="22"/>
              </w:rPr>
            </w:pPr>
            <w:proofErr w:type="spellStart"/>
            <w:r w:rsidRPr="005F0015">
              <w:rPr>
                <w:sz w:val="22"/>
                <w:szCs w:val="22"/>
              </w:rPr>
              <w:t>Значущими</w:t>
            </w:r>
            <w:proofErr w:type="spellEnd"/>
            <w:r w:rsidRPr="005F0015">
              <w:rPr>
                <w:sz w:val="22"/>
                <w:szCs w:val="22"/>
              </w:rPr>
              <w:t xml:space="preserve"> видами </w:t>
            </w:r>
            <w:proofErr w:type="spellStart"/>
            <w:r w:rsidRPr="005F0015">
              <w:rPr>
                <w:sz w:val="22"/>
                <w:szCs w:val="22"/>
              </w:rPr>
              <w:t>діяльності</w:t>
            </w:r>
            <w:proofErr w:type="spellEnd"/>
            <w:r w:rsidRPr="005F0015">
              <w:rPr>
                <w:sz w:val="22"/>
                <w:szCs w:val="22"/>
              </w:rPr>
              <w:t xml:space="preserve"> не є:</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sz w:val="22"/>
                <w:szCs w:val="22"/>
              </w:rPr>
            </w:pPr>
            <w:r w:rsidRPr="005F0015">
              <w:rPr>
                <w:sz w:val="22"/>
                <w:szCs w:val="22"/>
              </w:rPr>
              <w:t xml:space="preserve">Прикладами прав, </w:t>
            </w:r>
            <w:proofErr w:type="spellStart"/>
            <w:r w:rsidRPr="005F0015">
              <w:rPr>
                <w:sz w:val="22"/>
                <w:szCs w:val="22"/>
              </w:rPr>
              <w:t>які</w:t>
            </w:r>
            <w:proofErr w:type="spellEnd"/>
            <w:r w:rsidRPr="005F0015">
              <w:rPr>
                <w:sz w:val="22"/>
                <w:szCs w:val="22"/>
              </w:rPr>
              <w:t xml:space="preserve"> </w:t>
            </w:r>
            <w:proofErr w:type="spellStart"/>
            <w:r w:rsidRPr="005F0015">
              <w:rPr>
                <w:sz w:val="22"/>
                <w:szCs w:val="22"/>
              </w:rPr>
              <w:t>кожне</w:t>
            </w:r>
            <w:proofErr w:type="spellEnd"/>
            <w:r w:rsidRPr="005F0015">
              <w:rPr>
                <w:sz w:val="22"/>
                <w:szCs w:val="22"/>
              </w:rPr>
              <w:t xml:space="preserve"> </w:t>
            </w:r>
            <w:proofErr w:type="spellStart"/>
            <w:r w:rsidRPr="005F0015">
              <w:rPr>
                <w:sz w:val="22"/>
                <w:szCs w:val="22"/>
              </w:rPr>
              <w:t>окремо</w:t>
            </w:r>
            <w:proofErr w:type="spellEnd"/>
            <w:r w:rsidRPr="005F0015">
              <w:rPr>
                <w:sz w:val="22"/>
                <w:szCs w:val="22"/>
              </w:rPr>
              <w:t xml:space="preserve"> </w:t>
            </w:r>
            <w:proofErr w:type="spellStart"/>
            <w:r w:rsidRPr="005F0015">
              <w:rPr>
                <w:sz w:val="22"/>
                <w:szCs w:val="22"/>
              </w:rPr>
              <w:t>або</w:t>
            </w:r>
            <w:proofErr w:type="spellEnd"/>
            <w:r w:rsidRPr="005F0015">
              <w:rPr>
                <w:sz w:val="22"/>
                <w:szCs w:val="22"/>
              </w:rPr>
              <w:t xml:space="preserve"> у </w:t>
            </w:r>
            <w:proofErr w:type="spellStart"/>
            <w:r w:rsidRPr="005F0015">
              <w:rPr>
                <w:sz w:val="22"/>
                <w:szCs w:val="22"/>
              </w:rPr>
              <w:t>сукупності</w:t>
            </w:r>
            <w:proofErr w:type="spellEnd"/>
            <w:r w:rsidRPr="005F0015">
              <w:rPr>
                <w:sz w:val="22"/>
                <w:szCs w:val="22"/>
              </w:rPr>
              <w:t xml:space="preserve"> не </w:t>
            </w:r>
            <w:proofErr w:type="spellStart"/>
            <w:r w:rsidRPr="005F0015">
              <w:rPr>
                <w:sz w:val="22"/>
                <w:szCs w:val="22"/>
              </w:rPr>
              <w:t>можуть</w:t>
            </w:r>
            <w:proofErr w:type="spellEnd"/>
            <w:r w:rsidRPr="005F0015">
              <w:rPr>
                <w:sz w:val="22"/>
                <w:szCs w:val="22"/>
              </w:rPr>
              <w:t xml:space="preserve"> </w:t>
            </w:r>
            <w:proofErr w:type="spellStart"/>
            <w:r w:rsidRPr="005F0015">
              <w:rPr>
                <w:sz w:val="22"/>
                <w:szCs w:val="22"/>
              </w:rPr>
              <w:t>надати</w:t>
            </w:r>
            <w:proofErr w:type="spellEnd"/>
            <w:r w:rsidRPr="005F0015">
              <w:rPr>
                <w:sz w:val="22"/>
                <w:szCs w:val="22"/>
              </w:rPr>
              <w:t xml:space="preserve"> </w:t>
            </w:r>
            <w:proofErr w:type="spellStart"/>
            <w:r w:rsidRPr="005F0015">
              <w:rPr>
                <w:sz w:val="22"/>
                <w:szCs w:val="22"/>
              </w:rPr>
              <w:t>інвесторові</w:t>
            </w:r>
            <w:proofErr w:type="spellEnd"/>
            <w:r w:rsidRPr="005F0015">
              <w:rPr>
                <w:sz w:val="22"/>
                <w:szCs w:val="22"/>
              </w:rPr>
              <w:t xml:space="preserve"> </w:t>
            </w:r>
            <w:proofErr w:type="spellStart"/>
            <w:r w:rsidRPr="005F0015">
              <w:rPr>
                <w:sz w:val="22"/>
                <w:szCs w:val="22"/>
              </w:rPr>
              <w:t>владні</w:t>
            </w:r>
            <w:proofErr w:type="spellEnd"/>
            <w:r w:rsidRPr="005F0015">
              <w:rPr>
                <w:sz w:val="22"/>
                <w:szCs w:val="22"/>
              </w:rPr>
              <w:t xml:space="preserve"> </w:t>
            </w:r>
            <w:proofErr w:type="spellStart"/>
            <w:r w:rsidRPr="005F0015">
              <w:rPr>
                <w:sz w:val="22"/>
                <w:szCs w:val="22"/>
              </w:rPr>
              <w:t>повноваження</w:t>
            </w:r>
            <w:proofErr w:type="spellEnd"/>
            <w:r w:rsidRPr="005F0015">
              <w:rPr>
                <w:sz w:val="22"/>
                <w:szCs w:val="22"/>
              </w:rPr>
              <w:t xml:space="preserve">, є, </w:t>
            </w:r>
            <w:proofErr w:type="spellStart"/>
            <w:r w:rsidRPr="005F0015">
              <w:rPr>
                <w:sz w:val="22"/>
                <w:szCs w:val="22"/>
              </w:rPr>
              <w:t>зокрема</w:t>
            </w:r>
            <w:proofErr w:type="spellEnd"/>
            <w:r w:rsidRPr="005F0015">
              <w:rPr>
                <w:sz w:val="22"/>
                <w:szCs w:val="22"/>
              </w:rPr>
              <w:t xml:space="preserve">, </w:t>
            </w:r>
            <w:proofErr w:type="spellStart"/>
            <w:r w:rsidRPr="005F0015">
              <w:rPr>
                <w:sz w:val="22"/>
                <w:szCs w:val="22"/>
              </w:rPr>
              <w:t>такі</w:t>
            </w:r>
            <w:proofErr w:type="spellEnd"/>
            <w:r w:rsidRPr="005F0015">
              <w:rPr>
                <w:sz w:val="22"/>
                <w:szCs w:val="22"/>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sz w:val="22"/>
                <w:szCs w:val="22"/>
              </w:rPr>
            </w:pPr>
            <w:proofErr w:type="spellStart"/>
            <w:r w:rsidRPr="005F0015">
              <w:rPr>
                <w:sz w:val="22"/>
                <w:szCs w:val="22"/>
              </w:rPr>
              <w:t>Діяльність</w:t>
            </w:r>
            <w:proofErr w:type="spellEnd"/>
            <w:r w:rsidRPr="005F0015">
              <w:rPr>
                <w:sz w:val="22"/>
                <w:szCs w:val="22"/>
              </w:rPr>
              <w:t xml:space="preserve"> </w:t>
            </w:r>
            <w:proofErr w:type="spellStart"/>
            <w:r w:rsidRPr="005F0015">
              <w:rPr>
                <w:sz w:val="22"/>
                <w:szCs w:val="22"/>
              </w:rPr>
              <w:t>об'єкта</w:t>
            </w:r>
            <w:proofErr w:type="spellEnd"/>
            <w:r w:rsidRPr="005F0015">
              <w:rPr>
                <w:sz w:val="22"/>
                <w:szCs w:val="22"/>
              </w:rPr>
              <w:t xml:space="preserve"> </w:t>
            </w:r>
            <w:proofErr w:type="spellStart"/>
            <w:r w:rsidRPr="005F0015">
              <w:rPr>
                <w:sz w:val="22"/>
                <w:szCs w:val="22"/>
              </w:rPr>
              <w:t>інвестування</w:t>
            </w:r>
            <w:proofErr w:type="spellEnd"/>
            <w:r w:rsidRPr="005F0015">
              <w:rPr>
                <w:sz w:val="22"/>
                <w:szCs w:val="22"/>
              </w:rPr>
              <w:t xml:space="preserve"> </w:t>
            </w:r>
            <w:proofErr w:type="spellStart"/>
            <w:r w:rsidRPr="005F0015">
              <w:rPr>
                <w:sz w:val="22"/>
                <w:szCs w:val="22"/>
              </w:rPr>
              <w:t>залежить</w:t>
            </w:r>
            <w:proofErr w:type="spellEnd"/>
            <w:r w:rsidRPr="005F0015">
              <w:rPr>
                <w:sz w:val="22"/>
                <w:szCs w:val="22"/>
              </w:rPr>
              <w:t xml:space="preserve"> </w:t>
            </w:r>
            <w:proofErr w:type="spellStart"/>
            <w:r w:rsidRPr="005F0015">
              <w:rPr>
                <w:sz w:val="22"/>
                <w:szCs w:val="22"/>
              </w:rPr>
              <w:t>від</w:t>
            </w:r>
            <w:proofErr w:type="spellEnd"/>
            <w:r w:rsidRPr="005F0015">
              <w:rPr>
                <w:sz w:val="22"/>
                <w:szCs w:val="22"/>
              </w:rPr>
              <w:t xml:space="preserve"> </w:t>
            </w:r>
            <w:proofErr w:type="spellStart"/>
            <w:r w:rsidRPr="005F0015">
              <w:rPr>
                <w:sz w:val="22"/>
                <w:szCs w:val="22"/>
              </w:rPr>
              <w:t>інвестора</w:t>
            </w:r>
            <w:proofErr w:type="spellEnd"/>
            <w:r w:rsidRPr="005F0015">
              <w:rPr>
                <w:sz w:val="22"/>
                <w:szCs w:val="22"/>
              </w:rPr>
              <w:t xml:space="preserve">, як, </w:t>
            </w:r>
            <w:proofErr w:type="spellStart"/>
            <w:r w:rsidRPr="005F0015">
              <w:rPr>
                <w:sz w:val="22"/>
                <w:szCs w:val="22"/>
              </w:rPr>
              <w:t>наприклад</w:t>
            </w:r>
            <w:proofErr w:type="spellEnd"/>
            <w:r w:rsidRPr="005F0015">
              <w:rPr>
                <w:sz w:val="22"/>
                <w:szCs w:val="22"/>
              </w:rPr>
              <w:t xml:space="preserve">, у таких </w:t>
            </w:r>
            <w:proofErr w:type="spellStart"/>
            <w:r w:rsidRPr="005F0015">
              <w:rPr>
                <w:sz w:val="22"/>
                <w:szCs w:val="22"/>
              </w:rPr>
              <w:t>ситуаціях</w:t>
            </w:r>
            <w:proofErr w:type="spellEnd"/>
            <w:r w:rsidRPr="005F0015">
              <w:rPr>
                <w:sz w:val="22"/>
                <w:szCs w:val="22"/>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sz w:val="22"/>
                <w:szCs w:val="22"/>
              </w:rPr>
            </w:pPr>
            <w:r w:rsidRPr="005F0015">
              <w:rPr>
                <w:sz w:val="22"/>
                <w:szCs w:val="22"/>
              </w:rPr>
              <w:t xml:space="preserve">Не є </w:t>
            </w:r>
            <w:proofErr w:type="spellStart"/>
            <w:r w:rsidRPr="005F0015">
              <w:rPr>
                <w:sz w:val="22"/>
                <w:szCs w:val="22"/>
              </w:rPr>
              <w:t>бар'єром</w:t>
            </w:r>
            <w:proofErr w:type="spellEnd"/>
            <w:r w:rsidRPr="005F0015">
              <w:rPr>
                <w:sz w:val="22"/>
                <w:szCs w:val="22"/>
              </w:rPr>
              <w:t xml:space="preserve">, </w:t>
            </w:r>
            <w:proofErr w:type="spellStart"/>
            <w:r w:rsidRPr="005F0015">
              <w:rPr>
                <w:sz w:val="22"/>
                <w:szCs w:val="22"/>
              </w:rPr>
              <w:t>що</w:t>
            </w:r>
            <w:proofErr w:type="spellEnd"/>
            <w:r w:rsidRPr="005F0015">
              <w:rPr>
                <w:sz w:val="22"/>
                <w:szCs w:val="22"/>
              </w:rPr>
              <w:t xml:space="preserve"> </w:t>
            </w:r>
            <w:proofErr w:type="spellStart"/>
            <w:r w:rsidRPr="005F0015">
              <w:rPr>
                <w:sz w:val="22"/>
                <w:szCs w:val="22"/>
              </w:rPr>
              <w:t>перешкоджає</w:t>
            </w:r>
            <w:proofErr w:type="spellEnd"/>
            <w:r w:rsidRPr="005F0015">
              <w:rPr>
                <w:sz w:val="22"/>
                <w:szCs w:val="22"/>
              </w:rPr>
              <w:t xml:space="preserve"> </w:t>
            </w:r>
            <w:proofErr w:type="spellStart"/>
            <w:r w:rsidRPr="005F0015">
              <w:rPr>
                <w:sz w:val="22"/>
                <w:szCs w:val="22"/>
              </w:rPr>
              <w:t>утримувачевам</w:t>
            </w:r>
            <w:proofErr w:type="spellEnd"/>
            <w:r w:rsidRPr="005F0015">
              <w:rPr>
                <w:sz w:val="22"/>
                <w:szCs w:val="22"/>
              </w:rPr>
              <w:t xml:space="preserve"> прав </w:t>
            </w:r>
            <w:proofErr w:type="spellStart"/>
            <w:r w:rsidRPr="005F0015">
              <w:rPr>
                <w:sz w:val="22"/>
                <w:szCs w:val="22"/>
              </w:rPr>
              <w:t>реалізувати</w:t>
            </w:r>
            <w:proofErr w:type="spellEnd"/>
            <w:r w:rsidRPr="005F0015">
              <w:rPr>
                <w:sz w:val="22"/>
                <w:szCs w:val="22"/>
              </w:rPr>
              <w:t xml:space="preserve"> </w:t>
            </w:r>
            <w:proofErr w:type="spellStart"/>
            <w:r w:rsidRPr="005F0015">
              <w:rPr>
                <w:sz w:val="22"/>
                <w:szCs w:val="22"/>
              </w:rPr>
              <w:t>ці</w:t>
            </w:r>
            <w:proofErr w:type="spellEnd"/>
            <w:r w:rsidRPr="005F0015">
              <w:rPr>
                <w:sz w:val="22"/>
                <w:szCs w:val="22"/>
              </w:rPr>
              <w:t xml:space="preserve"> права є, </w:t>
            </w:r>
            <w:proofErr w:type="spellStart"/>
            <w:r w:rsidRPr="005F0015">
              <w:rPr>
                <w:sz w:val="22"/>
                <w:szCs w:val="22"/>
              </w:rPr>
              <w:t>зокрема</w:t>
            </w:r>
            <w:proofErr w:type="spellEnd"/>
            <w:r w:rsidRPr="005F0015">
              <w:rPr>
                <w:sz w:val="22"/>
                <w:szCs w:val="22"/>
              </w:rPr>
              <w:t xml:space="preserve">, </w:t>
            </w:r>
            <w:proofErr w:type="spellStart"/>
            <w:proofErr w:type="gramStart"/>
            <w:r w:rsidRPr="005F0015">
              <w:rPr>
                <w:sz w:val="22"/>
                <w:szCs w:val="22"/>
              </w:rPr>
              <w:t>такі</w:t>
            </w:r>
            <w:proofErr w:type="spellEnd"/>
            <w:r w:rsidRPr="005F0015">
              <w:rPr>
                <w:sz w:val="22"/>
                <w:szCs w:val="22"/>
              </w:rPr>
              <w:t>::</w:t>
            </w:r>
            <w:proofErr w:type="gramEnd"/>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proofErr w:type="spellStart"/>
            <w:r w:rsidRPr="005F0015">
              <w:rPr>
                <w:rFonts w:ascii="Times New Roman" w:hAnsi="Times New Roman"/>
                <w:lang w:val="ru-RU"/>
              </w:rPr>
              <w:t>Оцінюючи</w:t>
            </w:r>
            <w:proofErr w:type="spellEnd"/>
            <w:r w:rsidRPr="005F0015">
              <w:rPr>
                <w:rFonts w:ascii="Times New Roman" w:hAnsi="Times New Roman"/>
                <w:lang w:val="ru-RU"/>
              </w:rPr>
              <w:t xml:space="preserve">, </w:t>
            </w:r>
            <w:proofErr w:type="spellStart"/>
            <w:r w:rsidRPr="005F0015">
              <w:rPr>
                <w:rFonts w:ascii="Times New Roman" w:hAnsi="Times New Roman"/>
                <w:lang w:val="ru-RU"/>
              </w:rPr>
              <w:t>чи</w:t>
            </w:r>
            <w:proofErr w:type="spellEnd"/>
            <w:r w:rsidRPr="005F0015">
              <w:rPr>
                <w:rFonts w:ascii="Times New Roman" w:hAnsi="Times New Roman"/>
                <w:lang w:val="ru-RU"/>
              </w:rPr>
              <w:t xml:space="preserve"> є права голосу </w:t>
            </w:r>
            <w:proofErr w:type="spellStart"/>
            <w:r w:rsidRPr="005F0015">
              <w:rPr>
                <w:rFonts w:ascii="Times New Roman" w:hAnsi="Times New Roman"/>
                <w:lang w:val="ru-RU"/>
              </w:rPr>
              <w:t>інвестора</w:t>
            </w:r>
            <w:proofErr w:type="spellEnd"/>
            <w:r w:rsidRPr="005F0015">
              <w:rPr>
                <w:rFonts w:ascii="Times New Roman" w:hAnsi="Times New Roman"/>
                <w:lang w:val="ru-RU"/>
              </w:rPr>
              <w:t xml:space="preserve"> </w:t>
            </w:r>
            <w:proofErr w:type="spellStart"/>
            <w:r w:rsidRPr="005F0015">
              <w:rPr>
                <w:rFonts w:ascii="Times New Roman" w:hAnsi="Times New Roman"/>
                <w:lang w:val="ru-RU"/>
              </w:rPr>
              <w:t>достатніми</w:t>
            </w:r>
            <w:proofErr w:type="spellEnd"/>
            <w:r w:rsidRPr="005F0015">
              <w:rPr>
                <w:rFonts w:ascii="Times New Roman" w:hAnsi="Times New Roman"/>
                <w:lang w:val="ru-RU"/>
              </w:rPr>
              <w:t xml:space="preserve"> для </w:t>
            </w:r>
            <w:proofErr w:type="spellStart"/>
            <w:r w:rsidRPr="005F0015">
              <w:rPr>
                <w:rFonts w:ascii="Times New Roman" w:hAnsi="Times New Roman"/>
                <w:lang w:val="ru-RU"/>
              </w:rPr>
              <w:t>надання</w:t>
            </w:r>
            <w:proofErr w:type="spellEnd"/>
            <w:r w:rsidRPr="005F0015">
              <w:rPr>
                <w:rFonts w:ascii="Times New Roman" w:hAnsi="Times New Roman"/>
                <w:lang w:val="ru-RU"/>
              </w:rPr>
              <w:t xml:space="preserve"> </w:t>
            </w:r>
            <w:proofErr w:type="spellStart"/>
            <w:r w:rsidRPr="005F0015">
              <w:rPr>
                <w:rFonts w:ascii="Times New Roman" w:hAnsi="Times New Roman"/>
                <w:lang w:val="ru-RU"/>
              </w:rPr>
              <w:t>йому</w:t>
            </w:r>
            <w:proofErr w:type="spellEnd"/>
            <w:r w:rsidRPr="005F0015">
              <w:rPr>
                <w:rFonts w:ascii="Times New Roman" w:hAnsi="Times New Roman"/>
                <w:lang w:val="ru-RU"/>
              </w:rPr>
              <w:t xml:space="preserve"> </w:t>
            </w:r>
            <w:proofErr w:type="spellStart"/>
            <w:r w:rsidRPr="005F0015">
              <w:rPr>
                <w:rFonts w:ascii="Times New Roman" w:hAnsi="Times New Roman"/>
                <w:lang w:val="ru-RU"/>
              </w:rPr>
              <w:t>владних</w:t>
            </w:r>
            <w:proofErr w:type="spellEnd"/>
            <w:r w:rsidRPr="005F0015">
              <w:rPr>
                <w:rFonts w:ascii="Times New Roman" w:hAnsi="Times New Roman"/>
                <w:lang w:val="ru-RU"/>
              </w:rPr>
              <w:t xml:space="preserve"> </w:t>
            </w:r>
            <w:proofErr w:type="spellStart"/>
            <w:r w:rsidRPr="005F0015">
              <w:rPr>
                <w:rFonts w:ascii="Times New Roman" w:hAnsi="Times New Roman"/>
                <w:lang w:val="ru-RU"/>
              </w:rPr>
              <w:t>повноважень</w:t>
            </w:r>
            <w:proofErr w:type="spellEnd"/>
            <w:r w:rsidRPr="005F0015">
              <w:rPr>
                <w:rFonts w:ascii="Times New Roman" w:hAnsi="Times New Roman"/>
                <w:lang w:val="ru-RU"/>
              </w:rPr>
              <w:t xml:space="preserve">, </w:t>
            </w:r>
            <w:proofErr w:type="spellStart"/>
            <w:r w:rsidRPr="005F0015">
              <w:rPr>
                <w:rFonts w:ascii="Times New Roman" w:hAnsi="Times New Roman"/>
                <w:lang w:val="ru-RU"/>
              </w:rPr>
              <w:t>інвестор</w:t>
            </w:r>
            <w:proofErr w:type="spellEnd"/>
            <w:r w:rsidRPr="005F0015">
              <w:rPr>
                <w:rFonts w:ascii="Times New Roman" w:hAnsi="Times New Roman"/>
                <w:lang w:val="ru-RU"/>
              </w:rPr>
              <w:t xml:space="preserve"> </w:t>
            </w:r>
            <w:proofErr w:type="spellStart"/>
            <w:r w:rsidRPr="005F0015">
              <w:rPr>
                <w:rFonts w:ascii="Times New Roman" w:hAnsi="Times New Roman"/>
                <w:lang w:val="ru-RU"/>
              </w:rPr>
              <w:t>може</w:t>
            </w:r>
            <w:proofErr w:type="spellEnd"/>
            <w:r w:rsidRPr="005F0015">
              <w:rPr>
                <w:rFonts w:ascii="Times New Roman" w:hAnsi="Times New Roman"/>
                <w:lang w:val="ru-RU"/>
              </w:rPr>
              <w:t xml:space="preserve"> не </w:t>
            </w:r>
            <w:proofErr w:type="spellStart"/>
            <w:r w:rsidRPr="005F0015">
              <w:rPr>
                <w:rFonts w:ascii="Times New Roman" w:hAnsi="Times New Roman"/>
                <w:lang w:val="ru-RU"/>
              </w:rPr>
              <w:t>брати</w:t>
            </w:r>
            <w:proofErr w:type="spellEnd"/>
            <w:r w:rsidRPr="005F0015">
              <w:rPr>
                <w:rFonts w:ascii="Times New Roman" w:hAnsi="Times New Roman"/>
                <w:lang w:val="ru-RU"/>
              </w:rPr>
              <w:t xml:space="preserve"> до </w:t>
            </w:r>
            <w:proofErr w:type="spellStart"/>
            <w:r w:rsidRPr="005F0015">
              <w:rPr>
                <w:rFonts w:ascii="Times New Roman" w:hAnsi="Times New Roman"/>
                <w:lang w:val="ru-RU"/>
              </w:rPr>
              <w:t>уваги</w:t>
            </w:r>
            <w:proofErr w:type="spellEnd"/>
            <w:r w:rsidRPr="005F0015">
              <w:rPr>
                <w:rFonts w:ascii="Times New Roman" w:hAnsi="Times New Roman"/>
                <w:lang w:val="ru-RU"/>
              </w:rPr>
              <w:t>:</w:t>
            </w:r>
          </w:p>
        </w:tc>
      </w:tr>
      <w:tr w:rsidR="00273D5F" w:rsidRPr="00D07C97"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pStyle w:val="a3"/>
              <w:spacing w:line="276" w:lineRule="auto"/>
              <w:ind w:left="340"/>
              <w:rPr>
                <w:sz w:val="22"/>
                <w:szCs w:val="22"/>
              </w:rPr>
            </w:pPr>
            <w:proofErr w:type="spellStart"/>
            <w:r w:rsidRPr="005F0015">
              <w:rPr>
                <w:sz w:val="22"/>
                <w:szCs w:val="22"/>
              </w:rPr>
              <w:t>Якщо</w:t>
            </w:r>
            <w:proofErr w:type="spellEnd"/>
            <w:r w:rsidRPr="005F0015">
              <w:rPr>
                <w:sz w:val="22"/>
                <w:szCs w:val="22"/>
              </w:rPr>
              <w:t xml:space="preserve"> </w:t>
            </w:r>
            <w:proofErr w:type="spellStart"/>
            <w:r w:rsidRPr="005F0015">
              <w:rPr>
                <w:sz w:val="22"/>
                <w:szCs w:val="22"/>
              </w:rPr>
              <w:t>материнське</w:t>
            </w:r>
            <w:proofErr w:type="spellEnd"/>
            <w:r w:rsidRPr="005F0015">
              <w:rPr>
                <w:sz w:val="22"/>
                <w:szCs w:val="22"/>
              </w:rPr>
              <w:t xml:space="preserve"> </w:t>
            </w:r>
            <w:proofErr w:type="spellStart"/>
            <w:r w:rsidRPr="005F0015">
              <w:rPr>
                <w:sz w:val="22"/>
                <w:szCs w:val="22"/>
              </w:rPr>
              <w:t>підприємство</w:t>
            </w:r>
            <w:proofErr w:type="spellEnd"/>
            <w:r w:rsidRPr="005F0015">
              <w:rPr>
                <w:sz w:val="22"/>
                <w:szCs w:val="22"/>
              </w:rPr>
              <w:t xml:space="preserve"> </w:t>
            </w:r>
            <w:proofErr w:type="spellStart"/>
            <w:r w:rsidRPr="005F0015">
              <w:rPr>
                <w:sz w:val="22"/>
                <w:szCs w:val="22"/>
              </w:rPr>
              <w:t>втрачає</w:t>
            </w:r>
            <w:proofErr w:type="spellEnd"/>
            <w:r w:rsidRPr="005F0015">
              <w:rPr>
                <w:sz w:val="22"/>
                <w:szCs w:val="22"/>
              </w:rPr>
              <w:t xml:space="preserve"> контроль над </w:t>
            </w:r>
            <w:proofErr w:type="spellStart"/>
            <w:r w:rsidRPr="005F0015">
              <w:rPr>
                <w:sz w:val="22"/>
                <w:szCs w:val="22"/>
              </w:rPr>
              <w:t>дочірнім</w:t>
            </w:r>
            <w:proofErr w:type="spellEnd"/>
            <w:r w:rsidRPr="005F0015">
              <w:rPr>
                <w:sz w:val="22"/>
                <w:szCs w:val="22"/>
              </w:rPr>
              <w:t xml:space="preserve"> </w:t>
            </w:r>
            <w:proofErr w:type="spellStart"/>
            <w:r w:rsidRPr="005F0015">
              <w:rPr>
                <w:sz w:val="22"/>
                <w:szCs w:val="22"/>
              </w:rPr>
              <w:t>підприємством</w:t>
            </w:r>
            <w:proofErr w:type="spellEnd"/>
            <w:r w:rsidRPr="005F0015">
              <w:rPr>
                <w:sz w:val="22"/>
                <w:szCs w:val="22"/>
              </w:rPr>
              <w:t xml:space="preserve">, </w:t>
            </w:r>
            <w:proofErr w:type="spellStart"/>
            <w:r w:rsidRPr="005F0015">
              <w:rPr>
                <w:sz w:val="22"/>
                <w:szCs w:val="22"/>
              </w:rPr>
              <w:t>воно</w:t>
            </w:r>
            <w:proofErr w:type="spellEnd"/>
            <w:r w:rsidRPr="005F0015">
              <w:rPr>
                <w:sz w:val="22"/>
                <w:szCs w:val="22"/>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BB5A25"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 xml:space="preserve">Метою МСФЗ </w:t>
            </w:r>
            <w:r w:rsidRPr="005F0015">
              <w:rPr>
                <w:rFonts w:ascii="Times New Roman" w:hAnsi="Times New Roman"/>
                <w:lang w:val="en-US"/>
              </w:rPr>
              <w:t>10</w:t>
            </w:r>
            <w:r w:rsidRPr="005F0015">
              <w:rPr>
                <w:rFonts w:ascii="Times New Roman" w:hAnsi="Times New Roman"/>
              </w:rPr>
              <w:t xml:space="preserve"> є</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lang w:val="ru-RU"/>
              </w:rPr>
            </w:pPr>
            <w:r w:rsidRPr="005F0015">
              <w:rPr>
                <w:rFonts w:ascii="Times New Roman" w:hAnsi="Times New Roman"/>
              </w:rPr>
              <w:t xml:space="preserve">Сфера застосування МСФЗ </w:t>
            </w:r>
            <w:r w:rsidRPr="005F0015">
              <w:rPr>
                <w:rFonts w:ascii="Times New Roman" w:hAnsi="Times New Roman"/>
                <w:lang w:val="en-US"/>
              </w:rPr>
              <w:t>10</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lang w:val="ru-RU"/>
              </w:rPr>
            </w:pPr>
            <w:r w:rsidRPr="005F0015">
              <w:rPr>
                <w:rFonts w:ascii="Times New Roman" w:hAnsi="Times New Roman"/>
              </w:rPr>
              <w:t xml:space="preserve">Сфера застосування МСФЗ </w:t>
            </w:r>
            <w:r w:rsidRPr="005F0015">
              <w:rPr>
                <w:rFonts w:ascii="Times New Roman" w:hAnsi="Times New Roman"/>
                <w:lang w:val="ru-RU"/>
              </w:rPr>
              <w:t xml:space="preserve">10 </w:t>
            </w:r>
            <w:r w:rsidRPr="005F0015">
              <w:rPr>
                <w:rFonts w:ascii="Times New Roman" w:hAnsi="Times New Roman"/>
              </w:rPr>
              <w:t>поширюється на</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lang w:val="ru-RU"/>
              </w:rPr>
            </w:pPr>
            <w:r w:rsidRPr="005F0015">
              <w:rPr>
                <w:rFonts w:ascii="Times New Roman" w:hAnsi="Times New Roman"/>
                <w:bCs/>
                <w:iCs/>
                <w:color w:val="000000"/>
                <w:shd w:val="clear" w:color="auto" w:fill="FFFFFF"/>
              </w:rPr>
              <w:t>Особа, яка приймає рішення – це</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Група – це</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Дочірнє підприємство – це</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lang w:val="ru-RU"/>
              </w:rPr>
            </w:pPr>
            <w:r w:rsidRPr="005F0015">
              <w:rPr>
                <w:rFonts w:ascii="Times New Roman" w:hAnsi="Times New Roman"/>
                <w:bCs/>
                <w:iCs/>
                <w:color w:val="000000"/>
                <w:shd w:val="clear" w:color="auto" w:fill="FFFFFF"/>
              </w:rPr>
              <w:t>Материнське підприємство зобов'язане подавати консолідовану фінансову звітність, виключно якщо:</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lang w:val="ru-RU"/>
              </w:rPr>
            </w:pPr>
            <w:r w:rsidRPr="005F0015">
              <w:rPr>
                <w:rFonts w:ascii="Times New Roman" w:hAnsi="Times New Roman"/>
                <w:bCs/>
                <w:iCs/>
                <w:color w:val="000000"/>
                <w:shd w:val="clear" w:color="auto" w:fill="FFFFFF"/>
              </w:rPr>
              <w:t>Складаючи консолідовану фінансову звітність, суб'єкт господарювання</w:t>
            </w:r>
            <w:r w:rsidRPr="005F0015">
              <w:rPr>
                <w:rFonts w:ascii="Times New Roman" w:hAnsi="Times New Roman"/>
                <w:bCs/>
                <w:iCs/>
                <w:color w:val="000000"/>
                <w:shd w:val="clear" w:color="auto" w:fill="FFFFFF"/>
                <w:lang w:val="ru-RU"/>
              </w:rPr>
              <w:t>:</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bCs/>
                <w:iCs/>
                <w:color w:val="000000"/>
                <w:sz w:val="22"/>
                <w:szCs w:val="22"/>
                <w:shd w:val="clear" w:color="auto" w:fill="FFFFFF"/>
              </w:rPr>
            </w:pPr>
            <w:proofErr w:type="spellStart"/>
            <w:r w:rsidRPr="005F0015">
              <w:rPr>
                <w:bCs/>
                <w:iCs/>
                <w:color w:val="000000"/>
                <w:sz w:val="22"/>
                <w:szCs w:val="22"/>
                <w:shd w:val="clear" w:color="auto" w:fill="FFFFFF"/>
              </w:rPr>
              <w:t>Фінансову</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звітність</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материнського</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підприємства</w:t>
            </w:r>
            <w:proofErr w:type="spellEnd"/>
            <w:r w:rsidRPr="005F0015">
              <w:rPr>
                <w:bCs/>
                <w:iCs/>
                <w:color w:val="000000"/>
                <w:sz w:val="22"/>
                <w:szCs w:val="22"/>
                <w:shd w:val="clear" w:color="auto" w:fill="FFFFFF"/>
              </w:rPr>
              <w:t xml:space="preserve"> та </w:t>
            </w:r>
            <w:proofErr w:type="spellStart"/>
            <w:r w:rsidRPr="005F0015">
              <w:rPr>
                <w:bCs/>
                <w:iCs/>
                <w:color w:val="000000"/>
                <w:sz w:val="22"/>
                <w:szCs w:val="22"/>
                <w:shd w:val="clear" w:color="auto" w:fill="FFFFFF"/>
              </w:rPr>
              <w:t>його</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дочірніх</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підприємств</w:t>
            </w:r>
            <w:proofErr w:type="spellEnd"/>
            <w:r w:rsidRPr="005F0015">
              <w:rPr>
                <w:bCs/>
                <w:iCs/>
                <w:color w:val="000000"/>
                <w:sz w:val="22"/>
                <w:szCs w:val="22"/>
                <w:shd w:val="clear" w:color="auto" w:fill="FFFFFF"/>
              </w:rPr>
              <w:t xml:space="preserve">, яка </w:t>
            </w:r>
            <w:proofErr w:type="spellStart"/>
            <w:r w:rsidRPr="005F0015">
              <w:rPr>
                <w:bCs/>
                <w:iCs/>
                <w:color w:val="000000"/>
                <w:sz w:val="22"/>
                <w:szCs w:val="22"/>
                <w:shd w:val="clear" w:color="auto" w:fill="FFFFFF"/>
              </w:rPr>
              <w:t>використовується</w:t>
            </w:r>
            <w:proofErr w:type="spellEnd"/>
            <w:r w:rsidRPr="005F0015">
              <w:rPr>
                <w:bCs/>
                <w:iCs/>
                <w:color w:val="000000"/>
                <w:sz w:val="22"/>
                <w:szCs w:val="22"/>
                <w:shd w:val="clear" w:color="auto" w:fill="FFFFFF"/>
              </w:rPr>
              <w:t xml:space="preserve"> при </w:t>
            </w:r>
            <w:proofErr w:type="spellStart"/>
            <w:r w:rsidRPr="005F0015">
              <w:rPr>
                <w:bCs/>
                <w:iCs/>
                <w:color w:val="000000"/>
                <w:sz w:val="22"/>
                <w:szCs w:val="22"/>
                <w:shd w:val="clear" w:color="auto" w:fill="FFFFFF"/>
              </w:rPr>
              <w:t>складанні</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консолідованої</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фінансової</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звітності</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слід</w:t>
            </w:r>
            <w:proofErr w:type="spellEnd"/>
            <w:r w:rsidRPr="005F0015">
              <w:rPr>
                <w:bCs/>
                <w:iCs/>
                <w:color w:val="000000"/>
                <w:sz w:val="22"/>
                <w:szCs w:val="22"/>
                <w:shd w:val="clear" w:color="auto" w:fill="FFFFFF"/>
              </w:rPr>
              <w:t xml:space="preserve"> </w:t>
            </w:r>
            <w:proofErr w:type="spellStart"/>
            <w:r w:rsidRPr="005F0015">
              <w:rPr>
                <w:bCs/>
                <w:iCs/>
                <w:color w:val="000000"/>
                <w:sz w:val="22"/>
                <w:szCs w:val="22"/>
                <w:shd w:val="clear" w:color="auto" w:fill="FFFFFF"/>
              </w:rPr>
              <w:t>складати</w:t>
            </w:r>
            <w:proofErr w:type="spellEnd"/>
            <w:r w:rsidRPr="005F0015">
              <w:rPr>
                <w:bCs/>
                <w:iCs/>
                <w:color w:val="000000"/>
                <w:sz w:val="22"/>
                <w:szCs w:val="22"/>
                <w:shd w:val="clear" w:color="auto" w:fill="FFFFFF"/>
              </w:rPr>
              <w:t>:</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Якщо материнське підприємство втрачає контроль над дочірнім підприємством, воно</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Default="00273D5F" w:rsidP="002F63C9">
            <w:pPr>
              <w:spacing w:after="0"/>
              <w:ind w:left="340"/>
              <w:rPr>
                <w:rFonts w:ascii="Times New Roman" w:hAnsi="Times New Roman"/>
                <w:bCs/>
                <w:iCs/>
                <w:color w:val="000000"/>
                <w:shd w:val="clear" w:color="auto" w:fill="FFFFFF"/>
              </w:rPr>
            </w:pPr>
            <w:r w:rsidRPr="005F0015">
              <w:rPr>
                <w:rFonts w:ascii="Times New Roman" w:hAnsi="Times New Roman"/>
                <w:bCs/>
                <w:iCs/>
                <w:color w:val="000000"/>
                <w:shd w:val="clear" w:color="auto" w:fill="FFFFFF"/>
              </w:rPr>
              <w:t>Справедлива вартість інвестицій, збережених у колишньому дочірньому підприємстві на дату втрати контролю, розглядається як справедлива вартість при первісному визнані фінансового активу відповідно до</w:t>
            </w:r>
          </w:p>
          <w:p w:rsidR="00273D5F" w:rsidRPr="005F0015" w:rsidRDefault="00273D5F" w:rsidP="002F63C9">
            <w:pPr>
              <w:spacing w:after="0"/>
              <w:ind w:left="340"/>
              <w:rPr>
                <w:rFonts w:ascii="Times New Roman" w:hAnsi="Times New Roman"/>
              </w:rPr>
            </w:pPr>
          </w:p>
        </w:tc>
      </w:tr>
      <w:tr w:rsidR="00273D5F" w:rsidRPr="00D07C97"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Коли материнське підприємство проводить реорганізацію структури своєї групи шляхом створення нового суб'єкта господарювання у якості свого материнського підприємства в спосіб, який відповідає певним критеріям, крім</w:t>
            </w:r>
          </w:p>
        </w:tc>
      </w:tr>
      <w:tr w:rsidR="00273D5F" w:rsidRPr="00D07C97" w:rsidTr="0091139C">
        <w:tc>
          <w:tcPr>
            <w:tcW w:w="464" w:type="dxa"/>
            <w:vAlign w:val="center"/>
          </w:tcPr>
          <w:p w:rsidR="00273D5F" w:rsidRPr="00B92520"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У консолідованій фінансовій звітності слід розкривати таку інформацію</w:t>
            </w:r>
          </w:p>
        </w:tc>
      </w:tr>
      <w:tr w:rsidR="00273D5F" w:rsidRPr="00D07C97" w:rsidTr="0091139C">
        <w:tc>
          <w:tcPr>
            <w:tcW w:w="464" w:type="dxa"/>
            <w:vAlign w:val="center"/>
          </w:tcPr>
          <w:p w:rsidR="00273D5F" w:rsidRPr="00B92520" w:rsidRDefault="00273D5F" w:rsidP="00B92520">
            <w:pPr>
              <w:pStyle w:val="a3"/>
              <w:numPr>
                <w:ilvl w:val="0"/>
                <w:numId w:val="1"/>
              </w:numPr>
              <w:tabs>
                <w:tab w:val="left" w:pos="851"/>
              </w:tabs>
              <w:ind w:left="0" w:firstLine="0"/>
              <w:jc w:val="center"/>
              <w:rPr>
                <w:lang w:val="uk-UA"/>
              </w:rP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 xml:space="preserve">Сфера застосування МСФЗ </w:t>
            </w:r>
            <w:r w:rsidRPr="005F0015">
              <w:rPr>
                <w:rFonts w:ascii="Times New Roman" w:hAnsi="Times New Roman"/>
                <w:lang w:val="en-US"/>
              </w:rPr>
              <w:t>10</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lang w:val="ru-RU"/>
              </w:rPr>
              <w:t xml:space="preserve">При </w:t>
            </w:r>
            <w:proofErr w:type="spellStart"/>
            <w:r w:rsidRPr="005F0015">
              <w:rPr>
                <w:rFonts w:ascii="Times New Roman" w:hAnsi="Times New Roman"/>
                <w:lang w:val="ru-RU"/>
              </w:rPr>
              <w:t>складанні</w:t>
            </w:r>
            <w:proofErr w:type="spellEnd"/>
            <w:r w:rsidRPr="005F0015">
              <w:rPr>
                <w:rFonts w:ascii="Times New Roman" w:hAnsi="Times New Roman"/>
                <w:lang w:val="ru-RU"/>
              </w:rPr>
              <w:t xml:space="preserve"> </w:t>
            </w:r>
            <w:proofErr w:type="spellStart"/>
            <w:r w:rsidRPr="005F0015">
              <w:rPr>
                <w:rFonts w:ascii="Times New Roman" w:hAnsi="Times New Roman"/>
                <w:lang w:val="ru-RU"/>
              </w:rPr>
              <w:t>консолідованої</w:t>
            </w:r>
            <w:proofErr w:type="spellEnd"/>
            <w:r w:rsidRPr="005F0015">
              <w:rPr>
                <w:rFonts w:ascii="Times New Roman" w:hAnsi="Times New Roman"/>
                <w:lang w:val="ru-RU"/>
              </w:rPr>
              <w:t xml:space="preserve"> </w:t>
            </w:r>
            <w:proofErr w:type="spellStart"/>
            <w:r w:rsidRPr="005F0015">
              <w:rPr>
                <w:rFonts w:ascii="Times New Roman" w:hAnsi="Times New Roman"/>
                <w:lang w:val="ru-RU"/>
              </w:rPr>
              <w:t>фінансової</w:t>
            </w:r>
            <w:proofErr w:type="spellEnd"/>
            <w:r w:rsidRPr="005F0015">
              <w:rPr>
                <w:rFonts w:ascii="Times New Roman" w:hAnsi="Times New Roman"/>
                <w:lang w:val="ru-RU"/>
              </w:rPr>
              <w:t xml:space="preserve"> </w:t>
            </w:r>
            <w:proofErr w:type="spellStart"/>
            <w:r w:rsidRPr="005F0015">
              <w:rPr>
                <w:rFonts w:ascii="Times New Roman" w:hAnsi="Times New Roman"/>
                <w:lang w:val="ru-RU"/>
              </w:rPr>
              <w:t>звітності</w:t>
            </w:r>
            <w:proofErr w:type="spellEnd"/>
            <w:r w:rsidRPr="005F0015">
              <w:rPr>
                <w:rFonts w:ascii="Times New Roman" w:hAnsi="Times New Roman"/>
                <w:lang w:val="ru-RU"/>
              </w:rPr>
              <w:t xml:space="preserve"> не </w:t>
            </w:r>
            <w:proofErr w:type="spellStart"/>
            <w:r w:rsidRPr="005F0015">
              <w:rPr>
                <w:rFonts w:ascii="Times New Roman" w:hAnsi="Times New Roman"/>
                <w:lang w:val="ru-RU"/>
              </w:rPr>
              <w:t>підлягають</w:t>
            </w:r>
            <w:proofErr w:type="spellEnd"/>
            <w:r w:rsidRPr="005F0015">
              <w:rPr>
                <w:rFonts w:ascii="Times New Roman" w:hAnsi="Times New Roman"/>
                <w:lang w:val="ru-RU"/>
              </w:rPr>
              <w:t xml:space="preserve"> </w:t>
            </w:r>
            <w:proofErr w:type="spellStart"/>
            <w:r w:rsidRPr="005F0015">
              <w:rPr>
                <w:rFonts w:ascii="Times New Roman" w:hAnsi="Times New Roman"/>
                <w:lang w:val="ru-RU"/>
              </w:rPr>
              <w:t>виключенню</w:t>
            </w:r>
            <w:proofErr w:type="spellEnd"/>
            <w:r w:rsidRPr="005F0015">
              <w:rPr>
                <w:rFonts w:ascii="Times New Roman" w:hAnsi="Times New Roman"/>
                <w:lang w:val="ru-RU"/>
              </w:rPr>
              <w:t>:</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 xml:space="preserve">Метою МСФЗ </w:t>
            </w:r>
            <w:r w:rsidRPr="005F0015">
              <w:rPr>
                <w:rFonts w:ascii="Times New Roman" w:hAnsi="Times New Roman"/>
                <w:lang w:val="en-US"/>
              </w:rPr>
              <w:t>10</w:t>
            </w:r>
            <w:r w:rsidRPr="005F0015">
              <w:rPr>
                <w:rFonts w:ascii="Times New Roman" w:hAnsi="Times New Roman"/>
              </w:rPr>
              <w:t xml:space="preserve"> є:</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bCs/>
                <w:iCs/>
                <w:color w:val="000000"/>
                <w:shd w:val="clear" w:color="auto" w:fill="FFFFFF"/>
              </w:rPr>
              <w:t>Облікові вимоги до об'єднань бізнесу та їх впливу на консолідацію, в тому числі гудвіл, що виникає при об'єднанні бізнесу розглядається в:</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3"/>
              <w:spacing w:line="276" w:lineRule="auto"/>
              <w:ind w:left="340"/>
              <w:rPr>
                <w:bCs/>
                <w:iCs/>
                <w:color w:val="000000"/>
                <w:sz w:val="22"/>
                <w:szCs w:val="22"/>
                <w:shd w:val="clear" w:color="auto" w:fill="FFFFFF"/>
                <w:lang w:val="uk-UA"/>
              </w:rPr>
            </w:pPr>
            <w:r w:rsidRPr="005F0015">
              <w:rPr>
                <w:bCs/>
                <w:iCs/>
                <w:color w:val="000000"/>
                <w:sz w:val="22"/>
                <w:szCs w:val="22"/>
                <w:shd w:val="clear" w:color="auto" w:fill="FFFFFF"/>
                <w:lang w:val="uk-UA"/>
              </w:rPr>
              <w:t>Інвестор контролює об'єкт інвестування тоді і лише тоді, коли інвестор має:</w:t>
            </w:r>
          </w:p>
          <w:p w:rsidR="00273D5F" w:rsidRPr="005F0015" w:rsidRDefault="00273D5F" w:rsidP="002F63C9">
            <w:pPr>
              <w:spacing w:after="0"/>
              <w:ind w:left="340"/>
              <w:rPr>
                <w:rFonts w:ascii="Times New Roman" w:hAnsi="Times New Roman"/>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lang w:val="ru-RU"/>
              </w:rPr>
              <w:t xml:space="preserve">У </w:t>
            </w:r>
            <w:proofErr w:type="spellStart"/>
            <w:r w:rsidRPr="005F0015">
              <w:rPr>
                <w:rFonts w:ascii="Times New Roman" w:hAnsi="Times New Roman"/>
                <w:lang w:val="ru-RU"/>
              </w:rPr>
              <w:t>разі</w:t>
            </w:r>
            <w:proofErr w:type="spellEnd"/>
            <w:r w:rsidRPr="005F0015">
              <w:rPr>
                <w:rFonts w:ascii="Times New Roman" w:hAnsi="Times New Roman"/>
                <w:lang w:val="ru-RU"/>
              </w:rPr>
              <w:t xml:space="preserve"> </w:t>
            </w:r>
            <w:proofErr w:type="spellStart"/>
            <w:r w:rsidRPr="005F0015">
              <w:rPr>
                <w:rFonts w:ascii="Times New Roman" w:hAnsi="Times New Roman"/>
                <w:lang w:val="ru-RU"/>
              </w:rPr>
              <w:t>якщо</w:t>
            </w:r>
            <w:proofErr w:type="spellEnd"/>
            <w:r w:rsidRPr="005F0015">
              <w:rPr>
                <w:rFonts w:ascii="Times New Roman" w:hAnsi="Times New Roman"/>
                <w:lang w:val="ru-RU"/>
              </w:rPr>
              <w:t xml:space="preserve"> </w:t>
            </w:r>
            <w:proofErr w:type="spellStart"/>
            <w:r w:rsidRPr="005F0015">
              <w:rPr>
                <w:rFonts w:ascii="Times New Roman" w:hAnsi="Times New Roman"/>
                <w:lang w:val="ru-RU"/>
              </w:rPr>
              <w:t>дочірнє</w:t>
            </w:r>
            <w:proofErr w:type="spellEnd"/>
            <w:r w:rsidRPr="005F0015">
              <w:rPr>
                <w:rFonts w:ascii="Times New Roman" w:hAnsi="Times New Roman"/>
                <w:lang w:val="ru-RU"/>
              </w:rPr>
              <w:t xml:space="preserve"> </w:t>
            </w:r>
            <w:proofErr w:type="spellStart"/>
            <w:r w:rsidRPr="005F0015">
              <w:rPr>
                <w:rFonts w:ascii="Times New Roman" w:hAnsi="Times New Roman"/>
                <w:lang w:val="ru-RU"/>
              </w:rPr>
              <w:t>підприємство</w:t>
            </w:r>
            <w:proofErr w:type="spellEnd"/>
            <w:r w:rsidRPr="005F0015">
              <w:rPr>
                <w:rFonts w:ascii="Times New Roman" w:hAnsi="Times New Roman"/>
                <w:lang w:val="ru-RU"/>
              </w:rPr>
              <w:t xml:space="preserve"> </w:t>
            </w:r>
            <w:proofErr w:type="spellStart"/>
            <w:r w:rsidRPr="005F0015">
              <w:rPr>
                <w:rFonts w:ascii="Times New Roman" w:hAnsi="Times New Roman"/>
                <w:lang w:val="ru-RU"/>
              </w:rPr>
              <w:t>перестає</w:t>
            </w:r>
            <w:proofErr w:type="spellEnd"/>
            <w:r w:rsidRPr="005F0015">
              <w:rPr>
                <w:rFonts w:ascii="Times New Roman" w:hAnsi="Times New Roman"/>
                <w:lang w:val="ru-RU"/>
              </w:rPr>
              <w:t xml:space="preserve"> бути </w:t>
            </w:r>
            <w:proofErr w:type="spellStart"/>
            <w:r w:rsidRPr="005F0015">
              <w:rPr>
                <w:rFonts w:ascii="Times New Roman" w:hAnsi="Times New Roman"/>
                <w:lang w:val="ru-RU"/>
              </w:rPr>
              <w:t>контрольованим</w:t>
            </w:r>
            <w:proofErr w:type="spellEnd"/>
            <w:r w:rsidRPr="005F0015">
              <w:rPr>
                <w:rFonts w:ascii="Times New Roman" w:hAnsi="Times New Roman"/>
                <w:lang w:val="ru-RU"/>
              </w:rPr>
              <w:t xml:space="preserve">, </w:t>
            </w:r>
            <w:proofErr w:type="spellStart"/>
            <w:r w:rsidRPr="005F0015">
              <w:rPr>
                <w:rFonts w:ascii="Times New Roman" w:hAnsi="Times New Roman"/>
                <w:lang w:val="ru-RU"/>
              </w:rPr>
              <w:t>материнське</w:t>
            </w:r>
            <w:proofErr w:type="spellEnd"/>
            <w:r w:rsidRPr="005F0015">
              <w:rPr>
                <w:rFonts w:ascii="Times New Roman" w:hAnsi="Times New Roman"/>
                <w:lang w:val="ru-RU"/>
              </w:rPr>
              <w:t xml:space="preserve"> </w:t>
            </w:r>
            <w:proofErr w:type="spellStart"/>
            <w:r w:rsidRPr="005F0015">
              <w:rPr>
                <w:rFonts w:ascii="Times New Roman" w:hAnsi="Times New Roman"/>
                <w:lang w:val="ru-RU"/>
              </w:rPr>
              <w:t>підприємство</w:t>
            </w:r>
            <w:proofErr w:type="spellEnd"/>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4"/>
              <w:spacing w:line="276" w:lineRule="auto"/>
              <w:ind w:left="340"/>
              <w:rPr>
                <w:rFonts w:ascii="Times New Roman" w:hAnsi="Times New Roman" w:cs="Times New Roman"/>
                <w:lang w:val="uk-UA"/>
              </w:rPr>
            </w:pPr>
            <w:proofErr w:type="spellStart"/>
            <w:r w:rsidRPr="005F0015">
              <w:rPr>
                <w:rFonts w:ascii="Times New Roman" w:hAnsi="Times New Roman" w:cs="Times New Roman"/>
                <w:bCs/>
                <w:iCs/>
                <w:shd w:val="clear" w:color="auto" w:fill="FFFFFF"/>
              </w:rPr>
              <w:t>Материнське</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підприємство</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зобов'язане</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подавати</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консолідовану</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фінансову</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звітність</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виключно</w:t>
            </w:r>
            <w:proofErr w:type="spellEnd"/>
            <w:r w:rsidRPr="005F0015">
              <w:rPr>
                <w:rFonts w:ascii="Times New Roman" w:hAnsi="Times New Roman" w:cs="Times New Roman"/>
                <w:bCs/>
                <w:iCs/>
                <w:shd w:val="clear" w:color="auto" w:fill="FFFFFF"/>
              </w:rPr>
              <w:t xml:space="preserve"> </w:t>
            </w:r>
            <w:proofErr w:type="spellStart"/>
            <w:r w:rsidRPr="005F0015">
              <w:rPr>
                <w:rFonts w:ascii="Times New Roman" w:hAnsi="Times New Roman" w:cs="Times New Roman"/>
                <w:bCs/>
                <w:iCs/>
                <w:shd w:val="clear" w:color="auto" w:fill="FFFFFF"/>
              </w:rPr>
              <w:t>якщо</w:t>
            </w:r>
            <w:proofErr w:type="spellEnd"/>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pStyle w:val="a4"/>
              <w:spacing w:line="276" w:lineRule="auto"/>
              <w:ind w:left="340"/>
              <w:rPr>
                <w:rFonts w:ascii="Times New Roman" w:hAnsi="Times New Roman" w:cs="Times New Roman"/>
                <w:lang w:val="uk-UA"/>
              </w:rPr>
            </w:pPr>
            <w:proofErr w:type="spellStart"/>
            <w:r w:rsidRPr="005F0015">
              <w:rPr>
                <w:rFonts w:ascii="Times New Roman" w:hAnsi="Times New Roman" w:cs="Times New Roman"/>
              </w:rPr>
              <w:t>Консолідована</w:t>
            </w:r>
            <w:proofErr w:type="spellEnd"/>
            <w:r w:rsidRPr="005F0015">
              <w:rPr>
                <w:rFonts w:ascii="Times New Roman" w:hAnsi="Times New Roman" w:cs="Times New Roman"/>
              </w:rPr>
              <w:t xml:space="preserve"> </w:t>
            </w:r>
            <w:proofErr w:type="spellStart"/>
            <w:r w:rsidRPr="005F0015">
              <w:rPr>
                <w:rFonts w:ascii="Times New Roman" w:hAnsi="Times New Roman" w:cs="Times New Roman"/>
              </w:rPr>
              <w:t>фінансова</w:t>
            </w:r>
            <w:proofErr w:type="spellEnd"/>
            <w:r w:rsidRPr="005F0015">
              <w:rPr>
                <w:rFonts w:ascii="Times New Roman" w:hAnsi="Times New Roman" w:cs="Times New Roman"/>
              </w:rPr>
              <w:t xml:space="preserve"> </w:t>
            </w:r>
            <w:proofErr w:type="spellStart"/>
            <w:r w:rsidRPr="005F0015">
              <w:rPr>
                <w:rFonts w:ascii="Times New Roman" w:hAnsi="Times New Roman" w:cs="Times New Roman"/>
              </w:rPr>
              <w:t>звітність</w:t>
            </w:r>
            <w:proofErr w:type="spellEnd"/>
            <w:r w:rsidRPr="005F0015">
              <w:rPr>
                <w:rFonts w:ascii="Times New Roman" w:hAnsi="Times New Roman" w:cs="Times New Roman"/>
              </w:rPr>
              <w:t xml:space="preserve"> </w:t>
            </w:r>
            <w:proofErr w:type="spellStart"/>
            <w:r w:rsidRPr="005F0015">
              <w:rPr>
                <w:rFonts w:ascii="Times New Roman" w:hAnsi="Times New Roman" w:cs="Times New Roman"/>
              </w:rPr>
              <w:t>заповнюється</w:t>
            </w:r>
            <w:proofErr w:type="spellEnd"/>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У консолідованій фінансовій звітності насамперед зацікавлені:</w:t>
            </w:r>
          </w:p>
          <w:p w:rsidR="00273D5F" w:rsidRPr="005F0015" w:rsidRDefault="00273D5F" w:rsidP="002F63C9">
            <w:pPr>
              <w:spacing w:after="0"/>
              <w:ind w:left="340"/>
              <w:rPr>
                <w:rFonts w:ascii="Times New Roman" w:hAnsi="Times New Roman"/>
                <w:lang w:val="ru-RU"/>
              </w:rPr>
            </w:pP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Нерозподілений прибуток дочірнього підприємства після об’єднання до консолідованого балансу</w:t>
            </w:r>
          </w:p>
        </w:tc>
      </w:tr>
      <w:tr w:rsidR="00273D5F" w:rsidRPr="00D07C9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Гудвіл — це</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proofErr w:type="spellStart"/>
            <w:r w:rsidRPr="005F0015">
              <w:rPr>
                <w:rFonts w:ascii="Times New Roman" w:hAnsi="Times New Roman"/>
              </w:rPr>
              <w:t>Внутрішньогрупові</w:t>
            </w:r>
            <w:proofErr w:type="spellEnd"/>
            <w:r w:rsidRPr="005F0015">
              <w:rPr>
                <w:rFonts w:ascii="Times New Roman" w:hAnsi="Times New Roman"/>
              </w:rPr>
              <w:t xml:space="preserve"> операції — це</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proofErr w:type="spellStart"/>
            <w:r w:rsidRPr="005F0015">
              <w:rPr>
                <w:rFonts w:ascii="Times New Roman" w:hAnsi="Times New Roman"/>
              </w:rPr>
              <w:t>Внутрішньогрупове</w:t>
            </w:r>
            <w:proofErr w:type="spellEnd"/>
            <w:r w:rsidRPr="005F0015">
              <w:rPr>
                <w:rFonts w:ascii="Times New Roman" w:hAnsi="Times New Roman"/>
              </w:rPr>
              <w:t xml:space="preserve"> сальдо — це</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Які підприємства подають консолідовану фінансову звітність</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F0015" w:rsidRDefault="00273D5F" w:rsidP="002F63C9">
            <w:pPr>
              <w:spacing w:after="0"/>
              <w:ind w:left="340"/>
              <w:rPr>
                <w:rFonts w:ascii="Times New Roman" w:hAnsi="Times New Roman"/>
              </w:rPr>
            </w:pPr>
            <w:r w:rsidRPr="005F0015">
              <w:rPr>
                <w:rFonts w:ascii="Times New Roman" w:hAnsi="Times New Roman"/>
              </w:rPr>
              <w:t>Єдина облікова політика має застосовуватись</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 xml:space="preserve"> Для надання консолідованою фінансовою звітністю інформації про групу як єдину компанію необхідно, щоб:</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При складанні консолідованої фінансової звітності до неї не включаються:</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pStyle w:val="a4"/>
              <w:spacing w:line="276" w:lineRule="auto"/>
              <w:ind w:left="340"/>
              <w:rPr>
                <w:rFonts w:ascii="Times New Roman" w:hAnsi="Times New Roman" w:cs="Times New Roman"/>
                <w:sz w:val="24"/>
                <w:szCs w:val="24"/>
              </w:rPr>
            </w:pPr>
            <w:proofErr w:type="spellStart"/>
            <w:r w:rsidRPr="00E71E5F">
              <w:rPr>
                <w:rFonts w:ascii="Times New Roman" w:hAnsi="Times New Roman" w:cs="Times New Roman"/>
                <w:bCs/>
                <w:iCs/>
                <w:sz w:val="24"/>
                <w:szCs w:val="24"/>
              </w:rPr>
              <w:t>Розрив</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між</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звітними</w:t>
            </w:r>
            <w:proofErr w:type="spellEnd"/>
            <w:r w:rsidRPr="00E71E5F">
              <w:rPr>
                <w:rFonts w:ascii="Times New Roman" w:hAnsi="Times New Roman" w:cs="Times New Roman"/>
                <w:bCs/>
                <w:iCs/>
                <w:sz w:val="24"/>
                <w:szCs w:val="24"/>
              </w:rPr>
              <w:t xml:space="preserve"> датами </w:t>
            </w:r>
            <w:proofErr w:type="spellStart"/>
            <w:r w:rsidRPr="00E71E5F">
              <w:rPr>
                <w:rFonts w:ascii="Times New Roman" w:hAnsi="Times New Roman" w:cs="Times New Roman"/>
                <w:bCs/>
                <w:iCs/>
                <w:sz w:val="24"/>
                <w:szCs w:val="24"/>
              </w:rPr>
              <w:t>фінансової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звітності</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материнської</w:t>
            </w:r>
            <w:proofErr w:type="spellEnd"/>
            <w:r w:rsidRPr="00E71E5F">
              <w:rPr>
                <w:rFonts w:ascii="Times New Roman" w:hAnsi="Times New Roman" w:cs="Times New Roman"/>
                <w:bCs/>
                <w:iCs/>
                <w:sz w:val="24"/>
                <w:szCs w:val="24"/>
              </w:rPr>
              <w:t xml:space="preserve"> та </w:t>
            </w:r>
            <w:proofErr w:type="spellStart"/>
            <w:r w:rsidRPr="00E71E5F">
              <w:rPr>
                <w:rFonts w:ascii="Times New Roman" w:hAnsi="Times New Roman" w:cs="Times New Roman"/>
                <w:bCs/>
                <w:iCs/>
                <w:sz w:val="24"/>
                <w:szCs w:val="24"/>
              </w:rPr>
              <w:t>дочірньої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компанії</w:t>
            </w:r>
            <w:proofErr w:type="spellEnd"/>
            <w:r w:rsidRPr="00E71E5F">
              <w:rPr>
                <w:rFonts w:ascii="Times New Roman" w:hAnsi="Times New Roman" w:cs="Times New Roman"/>
                <w:bCs/>
                <w:iCs/>
                <w:sz w:val="24"/>
                <w:szCs w:val="24"/>
              </w:rPr>
              <w:t>:</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Балансова вартість інвестицій дочірньої компанії на дату складання балансу, коли вона у випадку невідповідності визначенню дочірньої компанії, розглядається в результаті як:</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pStyle w:val="a4"/>
              <w:spacing w:line="276" w:lineRule="auto"/>
              <w:ind w:left="340"/>
              <w:rPr>
                <w:rFonts w:ascii="Times New Roman" w:hAnsi="Times New Roman" w:cs="Times New Roman"/>
                <w:sz w:val="24"/>
                <w:szCs w:val="24"/>
              </w:rPr>
            </w:pPr>
            <w:proofErr w:type="spellStart"/>
            <w:r w:rsidRPr="00E71E5F">
              <w:rPr>
                <w:rFonts w:ascii="Times New Roman" w:hAnsi="Times New Roman" w:cs="Times New Roman"/>
                <w:bCs/>
                <w:iCs/>
                <w:sz w:val="24"/>
                <w:szCs w:val="24"/>
              </w:rPr>
              <w:t>Збитки</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які</w:t>
            </w:r>
            <w:proofErr w:type="spellEnd"/>
            <w:r w:rsidRPr="00E71E5F">
              <w:rPr>
                <w:rFonts w:ascii="Times New Roman" w:hAnsi="Times New Roman" w:cs="Times New Roman"/>
                <w:bCs/>
                <w:iCs/>
                <w:sz w:val="24"/>
                <w:szCs w:val="24"/>
              </w:rPr>
              <w:t xml:space="preserve"> належать до </w:t>
            </w:r>
            <w:proofErr w:type="spellStart"/>
            <w:r w:rsidRPr="00E71E5F">
              <w:rPr>
                <w:rFonts w:ascii="Times New Roman" w:hAnsi="Times New Roman" w:cs="Times New Roman"/>
                <w:bCs/>
                <w:iCs/>
                <w:sz w:val="24"/>
                <w:szCs w:val="24"/>
              </w:rPr>
              <w:t>частки</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меншості</w:t>
            </w:r>
            <w:proofErr w:type="spellEnd"/>
            <w:r w:rsidRPr="00E71E5F">
              <w:rPr>
                <w:rFonts w:ascii="Times New Roman" w:hAnsi="Times New Roman" w:cs="Times New Roman"/>
                <w:bCs/>
                <w:iCs/>
                <w:sz w:val="24"/>
                <w:szCs w:val="24"/>
              </w:rPr>
              <w:t xml:space="preserve"> у </w:t>
            </w:r>
            <w:proofErr w:type="spellStart"/>
            <w:r w:rsidRPr="00E71E5F">
              <w:rPr>
                <w:rFonts w:ascii="Times New Roman" w:hAnsi="Times New Roman" w:cs="Times New Roman"/>
                <w:bCs/>
                <w:iCs/>
                <w:sz w:val="24"/>
                <w:szCs w:val="24"/>
              </w:rPr>
              <w:t>консолідованій</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звітності</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дочірньої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компанії</w:t>
            </w:r>
            <w:proofErr w:type="spellEnd"/>
            <w:r w:rsidRPr="00E71E5F">
              <w:rPr>
                <w:rFonts w:ascii="Times New Roman" w:hAnsi="Times New Roman" w:cs="Times New Roman"/>
                <w:bCs/>
                <w:iCs/>
                <w:sz w:val="24"/>
                <w:szCs w:val="24"/>
              </w:rPr>
              <w:t>:</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pStyle w:val="a4"/>
              <w:spacing w:line="276" w:lineRule="auto"/>
              <w:ind w:left="340"/>
              <w:rPr>
                <w:rFonts w:ascii="Times New Roman" w:hAnsi="Times New Roman" w:cs="Times New Roman"/>
                <w:sz w:val="24"/>
                <w:szCs w:val="24"/>
              </w:rPr>
            </w:pPr>
            <w:proofErr w:type="spellStart"/>
            <w:r w:rsidRPr="00E71E5F">
              <w:rPr>
                <w:rFonts w:ascii="Times New Roman" w:hAnsi="Times New Roman" w:cs="Times New Roman"/>
                <w:bCs/>
                <w:iCs/>
                <w:sz w:val="24"/>
                <w:szCs w:val="24"/>
              </w:rPr>
              <w:t>Результати</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діяльності</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відчуженої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дочірньої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компанії</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включаються</w:t>
            </w:r>
            <w:proofErr w:type="spellEnd"/>
            <w:r w:rsidRPr="00E71E5F">
              <w:rPr>
                <w:rFonts w:ascii="Times New Roman" w:hAnsi="Times New Roman" w:cs="Times New Roman"/>
                <w:bCs/>
                <w:iCs/>
                <w:sz w:val="24"/>
                <w:szCs w:val="24"/>
              </w:rPr>
              <w:t xml:space="preserve"> в </w:t>
            </w:r>
            <w:proofErr w:type="spellStart"/>
            <w:r w:rsidRPr="00E71E5F">
              <w:rPr>
                <w:rFonts w:ascii="Times New Roman" w:hAnsi="Times New Roman" w:cs="Times New Roman"/>
                <w:bCs/>
                <w:iCs/>
                <w:sz w:val="24"/>
                <w:szCs w:val="24"/>
              </w:rPr>
              <w:t>консолідовану</w:t>
            </w:r>
            <w:proofErr w:type="spellEnd"/>
            <w:r w:rsidRPr="00E71E5F">
              <w:rPr>
                <w:rFonts w:ascii="Times New Roman" w:hAnsi="Times New Roman" w:cs="Times New Roman"/>
                <w:bCs/>
                <w:iCs/>
                <w:sz w:val="24"/>
                <w:szCs w:val="24"/>
              </w:rPr>
              <w:t xml:space="preserve"> </w:t>
            </w:r>
            <w:proofErr w:type="spellStart"/>
            <w:r w:rsidRPr="00E71E5F">
              <w:rPr>
                <w:rFonts w:ascii="Times New Roman" w:hAnsi="Times New Roman" w:cs="Times New Roman"/>
                <w:bCs/>
                <w:iCs/>
                <w:sz w:val="24"/>
                <w:szCs w:val="24"/>
              </w:rPr>
              <w:t>звітність</w:t>
            </w:r>
            <w:proofErr w:type="spellEnd"/>
            <w:r w:rsidRPr="00E71E5F">
              <w:rPr>
                <w:rFonts w:ascii="Times New Roman" w:hAnsi="Times New Roman" w:cs="Times New Roman"/>
                <w:bCs/>
                <w:iCs/>
                <w:sz w:val="24"/>
                <w:szCs w:val="24"/>
              </w:rPr>
              <w:t xml:space="preserve"> про </w:t>
            </w:r>
            <w:proofErr w:type="spellStart"/>
            <w:r w:rsidRPr="00E71E5F">
              <w:rPr>
                <w:rFonts w:ascii="Times New Roman" w:hAnsi="Times New Roman" w:cs="Times New Roman"/>
                <w:bCs/>
                <w:iCs/>
                <w:sz w:val="24"/>
                <w:szCs w:val="24"/>
              </w:rPr>
              <w:t>прибутки</w:t>
            </w:r>
            <w:proofErr w:type="spellEnd"/>
            <w:r w:rsidRPr="00E71E5F">
              <w:rPr>
                <w:rFonts w:ascii="Times New Roman" w:hAnsi="Times New Roman" w:cs="Times New Roman"/>
                <w:bCs/>
                <w:iCs/>
                <w:sz w:val="24"/>
                <w:szCs w:val="24"/>
              </w:rPr>
              <w:t xml:space="preserve"> і </w:t>
            </w:r>
            <w:proofErr w:type="spellStart"/>
            <w:r w:rsidRPr="00E71E5F">
              <w:rPr>
                <w:rFonts w:ascii="Times New Roman" w:hAnsi="Times New Roman" w:cs="Times New Roman"/>
                <w:bCs/>
                <w:iCs/>
                <w:sz w:val="24"/>
                <w:szCs w:val="24"/>
              </w:rPr>
              <w:t>збитки</w:t>
            </w:r>
            <w:proofErr w:type="spellEnd"/>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Група компаній – це:</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В окремій фінансовій звітності материнської компанії одним з методів обліку інвестицій в дочірні компанії, що включені в консолідовану фінансову звітність є:</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lang w:val="ru-RU"/>
              </w:rPr>
            </w:pPr>
            <w:r w:rsidRPr="00E71E5F">
              <w:rPr>
                <w:rFonts w:ascii="Times New Roman" w:hAnsi="Times New Roman"/>
                <w:bCs/>
                <w:iCs/>
                <w:sz w:val="24"/>
                <w:szCs w:val="24"/>
              </w:rPr>
              <w:t>Материнська компанія це:</w:t>
            </w:r>
          </w:p>
        </w:tc>
      </w:tr>
      <w:tr w:rsidR="00273D5F" w:rsidRPr="00B50E77"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widowControl w:val="0"/>
              <w:spacing w:line="264" w:lineRule="auto"/>
              <w:ind w:firstLine="567"/>
              <w:jc w:val="both"/>
              <w:rPr>
                <w:rFonts w:ascii="Times New Roman" w:hAnsi="Times New Roman"/>
                <w:bCs/>
                <w:iCs/>
                <w:sz w:val="24"/>
                <w:szCs w:val="24"/>
              </w:rPr>
            </w:pPr>
            <w:r w:rsidRPr="00E71E5F">
              <w:rPr>
                <w:rFonts w:ascii="Times New Roman" w:hAnsi="Times New Roman"/>
                <w:bCs/>
                <w:iCs/>
                <w:sz w:val="24"/>
                <w:szCs w:val="24"/>
              </w:rPr>
              <w:t>Частка меншості – це:</w:t>
            </w:r>
          </w:p>
          <w:p w:rsidR="00273D5F" w:rsidRPr="00E71E5F" w:rsidRDefault="00273D5F" w:rsidP="002F63C9">
            <w:pPr>
              <w:spacing w:after="0"/>
              <w:ind w:left="340"/>
              <w:rPr>
                <w:rFonts w:ascii="Times New Roman" w:hAnsi="Times New Roman"/>
                <w:sz w:val="24"/>
                <w:szCs w:val="24"/>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E71E5F" w:rsidRDefault="00273D5F" w:rsidP="002F63C9">
            <w:pPr>
              <w:spacing w:after="0"/>
              <w:ind w:left="340"/>
              <w:rPr>
                <w:rFonts w:ascii="Times New Roman" w:hAnsi="Times New Roman"/>
                <w:sz w:val="24"/>
                <w:szCs w:val="24"/>
              </w:rPr>
            </w:pPr>
            <w:r w:rsidRPr="00E71E5F">
              <w:rPr>
                <w:rFonts w:ascii="Times New Roman" w:hAnsi="Times New Roman"/>
                <w:bCs/>
                <w:iCs/>
                <w:sz w:val="24"/>
                <w:szCs w:val="24"/>
              </w:rPr>
              <w:t>Частка меншості у фінансовій звітності групи:</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spacing w:after="0"/>
              <w:ind w:left="340"/>
              <w:rPr>
                <w:rFonts w:ascii="Times New Roman" w:hAnsi="Times New Roman"/>
                <w:lang w:val="ru-RU"/>
              </w:rPr>
            </w:pPr>
            <w:r w:rsidRPr="00563454">
              <w:rPr>
                <w:rFonts w:ascii="Times New Roman" w:hAnsi="Times New Roman"/>
                <w:bCs/>
                <w:iCs/>
              </w:rPr>
              <w:t>Контроль – це:</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widowControl w:val="0"/>
              <w:spacing w:line="264" w:lineRule="auto"/>
              <w:ind w:firstLine="567"/>
              <w:jc w:val="both"/>
              <w:rPr>
                <w:rFonts w:ascii="Times New Roman" w:hAnsi="Times New Roman"/>
                <w:bCs/>
                <w:iCs/>
              </w:rPr>
            </w:pPr>
            <w:r w:rsidRPr="00563454">
              <w:rPr>
                <w:rFonts w:ascii="Times New Roman" w:hAnsi="Times New Roman"/>
                <w:bCs/>
                <w:iCs/>
              </w:rPr>
              <w:t>Справедлива вартість це:</w:t>
            </w:r>
          </w:p>
          <w:p w:rsidR="00273D5F" w:rsidRPr="00563454"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widowControl w:val="0"/>
              <w:spacing w:line="264" w:lineRule="auto"/>
              <w:ind w:firstLine="567"/>
              <w:jc w:val="both"/>
              <w:rPr>
                <w:rFonts w:ascii="Times New Roman" w:hAnsi="Times New Roman"/>
                <w:bCs/>
                <w:iCs/>
              </w:rPr>
            </w:pPr>
            <w:r w:rsidRPr="00563454">
              <w:rPr>
                <w:rFonts w:ascii="Times New Roman" w:hAnsi="Times New Roman"/>
                <w:bCs/>
                <w:iCs/>
              </w:rPr>
              <w:t>Асоційована компанія – це:</w:t>
            </w:r>
          </w:p>
          <w:p w:rsidR="00273D5F" w:rsidRPr="00563454" w:rsidRDefault="00273D5F" w:rsidP="002F63C9">
            <w:pPr>
              <w:pStyle w:val="a4"/>
              <w:spacing w:line="276" w:lineRule="auto"/>
              <w:ind w:left="340"/>
              <w:rPr>
                <w:rFonts w:ascii="Times New Roman" w:hAnsi="Times New Roman" w:cs="Times New Roman"/>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spacing w:after="0"/>
              <w:ind w:left="340"/>
              <w:rPr>
                <w:rFonts w:ascii="Times New Roman" w:hAnsi="Times New Roman"/>
                <w:lang w:val="ru-RU"/>
              </w:rPr>
            </w:pPr>
            <w:r w:rsidRPr="00563454">
              <w:rPr>
                <w:rFonts w:ascii="Times New Roman" w:hAnsi="Times New Roman"/>
                <w:bCs/>
                <w:iCs/>
              </w:rPr>
              <w:t>Консолідована фінансова звітність відображає фінансові показники групи компаній:</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pStyle w:val="a4"/>
              <w:spacing w:line="276" w:lineRule="auto"/>
              <w:ind w:left="340"/>
              <w:rPr>
                <w:rFonts w:ascii="Times New Roman" w:hAnsi="Times New Roman" w:cs="Times New Roman"/>
              </w:rPr>
            </w:pPr>
            <w:r w:rsidRPr="00563454">
              <w:rPr>
                <w:rFonts w:ascii="Times New Roman" w:hAnsi="Times New Roman" w:cs="Times New Roman"/>
                <w:bCs/>
                <w:iCs/>
              </w:rPr>
              <w:t xml:space="preserve"> </w:t>
            </w:r>
            <w:proofErr w:type="spellStart"/>
            <w:r w:rsidRPr="00563454">
              <w:rPr>
                <w:rFonts w:ascii="Times New Roman" w:hAnsi="Times New Roman" w:cs="Times New Roman"/>
                <w:bCs/>
                <w:iCs/>
              </w:rPr>
              <w:t>Діяльність</w:t>
            </w:r>
            <w:proofErr w:type="spellEnd"/>
            <w:r w:rsidRPr="00563454">
              <w:rPr>
                <w:rFonts w:ascii="Times New Roman" w:hAnsi="Times New Roman" w:cs="Times New Roman"/>
                <w:bCs/>
                <w:iCs/>
              </w:rPr>
              <w:t xml:space="preserve"> </w:t>
            </w:r>
            <w:proofErr w:type="spellStart"/>
            <w:r w:rsidRPr="00563454">
              <w:rPr>
                <w:rFonts w:ascii="Times New Roman" w:hAnsi="Times New Roman" w:cs="Times New Roman"/>
                <w:bCs/>
                <w:iCs/>
              </w:rPr>
              <w:t>компанії</w:t>
            </w:r>
            <w:proofErr w:type="spellEnd"/>
            <w:r w:rsidRPr="00563454">
              <w:rPr>
                <w:rFonts w:ascii="Times New Roman" w:hAnsi="Times New Roman" w:cs="Times New Roman"/>
                <w:bCs/>
                <w:iCs/>
              </w:rPr>
              <w:t xml:space="preserve">, за </w:t>
            </w:r>
            <w:proofErr w:type="spellStart"/>
            <w:r w:rsidRPr="00563454">
              <w:rPr>
                <w:rFonts w:ascii="Times New Roman" w:hAnsi="Times New Roman" w:cs="Times New Roman"/>
                <w:bCs/>
                <w:iCs/>
              </w:rPr>
              <w:t>якою</w:t>
            </w:r>
            <w:proofErr w:type="spellEnd"/>
            <w:r w:rsidRPr="00563454">
              <w:rPr>
                <w:rFonts w:ascii="Times New Roman" w:hAnsi="Times New Roman" w:cs="Times New Roman"/>
                <w:bCs/>
                <w:iCs/>
              </w:rPr>
              <w:t xml:space="preserve"> повинна </w:t>
            </w:r>
            <w:proofErr w:type="spellStart"/>
            <w:r w:rsidRPr="00563454">
              <w:rPr>
                <w:rFonts w:ascii="Times New Roman" w:hAnsi="Times New Roman" w:cs="Times New Roman"/>
                <w:bCs/>
                <w:iCs/>
              </w:rPr>
              <w:t>здійснюватись</w:t>
            </w:r>
            <w:proofErr w:type="spellEnd"/>
            <w:r w:rsidRPr="00563454">
              <w:rPr>
                <w:rFonts w:ascii="Times New Roman" w:hAnsi="Times New Roman" w:cs="Times New Roman"/>
                <w:bCs/>
                <w:iCs/>
              </w:rPr>
              <w:t xml:space="preserve"> </w:t>
            </w:r>
            <w:proofErr w:type="spellStart"/>
            <w:r w:rsidRPr="00563454">
              <w:rPr>
                <w:rFonts w:ascii="Times New Roman" w:hAnsi="Times New Roman" w:cs="Times New Roman"/>
                <w:bCs/>
                <w:iCs/>
              </w:rPr>
              <w:t>консолідація</w:t>
            </w:r>
            <w:proofErr w:type="spellEnd"/>
            <w:r w:rsidRPr="00563454">
              <w:rPr>
                <w:rFonts w:ascii="Times New Roman" w:hAnsi="Times New Roman" w:cs="Times New Roman"/>
                <w:bCs/>
                <w:iCs/>
              </w:rPr>
              <w:t xml:space="preserve"> </w:t>
            </w:r>
            <w:proofErr w:type="spellStart"/>
            <w:r w:rsidRPr="00563454">
              <w:rPr>
                <w:rFonts w:ascii="Times New Roman" w:hAnsi="Times New Roman" w:cs="Times New Roman"/>
                <w:bCs/>
                <w:iCs/>
              </w:rPr>
              <w:t>передбачає</w:t>
            </w:r>
            <w:proofErr w:type="spellEnd"/>
            <w:r w:rsidRPr="00563454">
              <w:rPr>
                <w:rFonts w:ascii="Times New Roman" w:hAnsi="Times New Roman" w:cs="Times New Roman"/>
                <w:bCs/>
                <w:iCs/>
              </w:rPr>
              <w:t>:</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pStyle w:val="a4"/>
              <w:spacing w:line="276" w:lineRule="auto"/>
              <w:ind w:left="340"/>
              <w:rPr>
                <w:rFonts w:ascii="Times New Roman" w:hAnsi="Times New Roman" w:cs="Times New Roman"/>
              </w:rPr>
            </w:pPr>
            <w:proofErr w:type="spellStart"/>
            <w:r w:rsidRPr="00563454">
              <w:rPr>
                <w:rFonts w:ascii="Times New Roman" w:hAnsi="Times New Roman" w:cs="Times New Roman"/>
                <w:bCs/>
                <w:iCs/>
              </w:rPr>
              <w:t>Консолідація</w:t>
            </w:r>
            <w:proofErr w:type="spellEnd"/>
            <w:r w:rsidRPr="00563454">
              <w:rPr>
                <w:rFonts w:ascii="Times New Roman" w:hAnsi="Times New Roman" w:cs="Times New Roman"/>
                <w:bCs/>
                <w:iCs/>
              </w:rPr>
              <w:t xml:space="preserve"> проводиться у</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spacing w:after="0"/>
              <w:ind w:left="340"/>
              <w:rPr>
                <w:rFonts w:ascii="Times New Roman" w:hAnsi="Times New Roman"/>
                <w:lang w:val="ru-RU"/>
              </w:rPr>
            </w:pPr>
            <w:r w:rsidRPr="00563454">
              <w:rPr>
                <w:rFonts w:ascii="Times New Roman" w:hAnsi="Times New Roman"/>
                <w:bCs/>
                <w:iCs/>
              </w:rPr>
              <w:t>Коли вартість чистих активів перевищує їх ціну при купівлі, то це:</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widowControl w:val="0"/>
              <w:spacing w:line="264" w:lineRule="auto"/>
              <w:ind w:firstLine="567"/>
              <w:jc w:val="both"/>
              <w:rPr>
                <w:rFonts w:ascii="Times New Roman" w:hAnsi="Times New Roman"/>
                <w:bCs/>
                <w:iCs/>
              </w:rPr>
            </w:pPr>
            <w:r w:rsidRPr="00563454">
              <w:rPr>
                <w:rFonts w:ascii="Times New Roman" w:hAnsi="Times New Roman"/>
                <w:bCs/>
                <w:iCs/>
              </w:rPr>
              <w:t>Гудвіл, що виник при консолідації:</w:t>
            </w:r>
          </w:p>
          <w:p w:rsidR="00273D5F" w:rsidRPr="00563454" w:rsidRDefault="00273D5F" w:rsidP="002F63C9">
            <w:pPr>
              <w:spacing w:after="0"/>
              <w:ind w:left="340"/>
              <w:rPr>
                <w:rFonts w:ascii="Times New Roman" w:hAnsi="Times New Roman"/>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spacing w:after="0"/>
              <w:ind w:left="340"/>
              <w:rPr>
                <w:rFonts w:ascii="Times New Roman" w:hAnsi="Times New Roman"/>
                <w:lang w:val="ru-RU"/>
              </w:rPr>
            </w:pPr>
            <w:r w:rsidRPr="00563454">
              <w:rPr>
                <w:rFonts w:ascii="Times New Roman" w:hAnsi="Times New Roman"/>
                <w:bCs/>
                <w:iCs/>
              </w:rPr>
              <w:t>Робота з консолідації полягає у:</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563454" w:rsidRDefault="00273D5F" w:rsidP="002F63C9">
            <w:pPr>
              <w:widowControl w:val="0"/>
              <w:spacing w:line="264" w:lineRule="auto"/>
              <w:ind w:firstLine="567"/>
              <w:jc w:val="both"/>
              <w:rPr>
                <w:rFonts w:ascii="Times New Roman" w:hAnsi="Times New Roman"/>
                <w:bCs/>
                <w:iCs/>
              </w:rPr>
            </w:pPr>
            <w:r w:rsidRPr="00563454">
              <w:rPr>
                <w:rFonts w:ascii="Times New Roman" w:hAnsi="Times New Roman"/>
                <w:bCs/>
                <w:iCs/>
              </w:rPr>
              <w:t>Дочірнім є підприємство:</w:t>
            </w:r>
          </w:p>
          <w:p w:rsidR="00273D5F" w:rsidRPr="00563454"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563454" w:rsidRDefault="00273D5F" w:rsidP="002F63C9">
            <w:pPr>
              <w:spacing w:after="0"/>
              <w:ind w:left="340"/>
              <w:rPr>
                <w:rFonts w:ascii="Times New Roman" w:hAnsi="Times New Roman"/>
              </w:rPr>
            </w:pPr>
            <w:r w:rsidRPr="00563454">
              <w:rPr>
                <w:rFonts w:ascii="Times New Roman" w:hAnsi="Times New Roman"/>
                <w:bCs/>
                <w:iCs/>
              </w:rPr>
              <w:t>У консолідованих фінансових звітах не слід розкривати інформацію про:</w:t>
            </w:r>
          </w:p>
        </w:tc>
      </w:tr>
      <w:tr w:rsidR="00273D5F" w:rsidRPr="00E61BD1"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325265" w:rsidRDefault="00273D5F" w:rsidP="002F63C9">
            <w:pPr>
              <w:ind w:left="360"/>
              <w:rPr>
                <w:rFonts w:ascii="Times New Roman" w:hAnsi="Times New Roman"/>
                <w:bCs/>
              </w:rPr>
            </w:pPr>
            <w:r w:rsidRPr="00325265">
              <w:rPr>
                <w:rFonts w:ascii="Times New Roman" w:hAnsi="Times New Roman"/>
                <w:bCs/>
              </w:rPr>
              <w:t>К</w:t>
            </w:r>
            <w:r w:rsidRPr="00325265">
              <w:rPr>
                <w:rFonts w:ascii="Times New Roman" w:hAnsi="Times New Roman"/>
                <w:bCs/>
                <w:shd w:val="clear" w:color="auto" w:fill="FFFFFF"/>
              </w:rPr>
              <w:t>онсолідована фінансова звітність – це</w:t>
            </w:r>
          </w:p>
          <w:p w:rsidR="00273D5F" w:rsidRPr="00325265"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proofErr w:type="spellStart"/>
            <w:r w:rsidRPr="00325265">
              <w:rPr>
                <w:sz w:val="22"/>
                <w:szCs w:val="22"/>
                <w:shd w:val="clear" w:color="auto" w:fill="FFFFFF"/>
              </w:rPr>
              <w:t>Згідно</w:t>
            </w:r>
            <w:proofErr w:type="spellEnd"/>
            <w:r w:rsidRPr="00325265">
              <w:rPr>
                <w:sz w:val="22"/>
                <w:szCs w:val="22"/>
                <w:shd w:val="clear" w:color="auto" w:fill="FFFFFF"/>
              </w:rPr>
              <w:t xml:space="preserve"> МСФЗ 10, </w:t>
            </w:r>
            <w:proofErr w:type="spellStart"/>
            <w:r w:rsidRPr="00325265">
              <w:rPr>
                <w:sz w:val="22"/>
                <w:szCs w:val="22"/>
                <w:shd w:val="clear" w:color="auto" w:fill="FFFFFF"/>
              </w:rPr>
              <w:t>застосовується</w:t>
            </w:r>
            <w:proofErr w:type="spellEnd"/>
            <w:r w:rsidRPr="00325265">
              <w:rPr>
                <w:sz w:val="22"/>
                <w:szCs w:val="22"/>
                <w:shd w:val="clear" w:color="auto" w:fill="FFFFFF"/>
              </w:rPr>
              <w:t xml:space="preserve"> до:</w:t>
            </w:r>
          </w:p>
          <w:p w:rsidR="00273D5F" w:rsidRPr="00325265"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ind w:left="360"/>
              <w:rPr>
                <w:rStyle w:val="rvts44"/>
                <w:sz w:val="22"/>
                <w:szCs w:val="22"/>
              </w:rPr>
            </w:pPr>
            <w:proofErr w:type="spellStart"/>
            <w:r w:rsidRPr="00325265">
              <w:rPr>
                <w:bCs/>
                <w:sz w:val="22"/>
                <w:szCs w:val="22"/>
                <w:shd w:val="clear" w:color="auto" w:fill="FFFFFF"/>
              </w:rPr>
              <w:t>Інвестор</w:t>
            </w:r>
            <w:proofErr w:type="spellEnd"/>
            <w:r w:rsidRPr="00325265">
              <w:rPr>
                <w:bCs/>
                <w:sz w:val="22"/>
                <w:szCs w:val="22"/>
                <w:shd w:val="clear" w:color="auto" w:fill="FFFFFF"/>
              </w:rPr>
              <w:t xml:space="preserve"> </w:t>
            </w:r>
            <w:proofErr w:type="spellStart"/>
            <w:r w:rsidRPr="00325265">
              <w:rPr>
                <w:bCs/>
                <w:sz w:val="22"/>
                <w:szCs w:val="22"/>
                <w:shd w:val="clear" w:color="auto" w:fill="FFFFFF"/>
              </w:rPr>
              <w:t>контролює</w:t>
            </w:r>
            <w:proofErr w:type="spellEnd"/>
            <w:r w:rsidRPr="00325265">
              <w:rPr>
                <w:bCs/>
                <w:sz w:val="22"/>
                <w:szCs w:val="22"/>
                <w:shd w:val="clear" w:color="auto" w:fill="FFFFFF"/>
              </w:rPr>
              <w:t xml:space="preserve"> </w:t>
            </w:r>
            <w:proofErr w:type="spellStart"/>
            <w:r w:rsidRPr="00325265">
              <w:rPr>
                <w:bCs/>
                <w:sz w:val="22"/>
                <w:szCs w:val="22"/>
                <w:shd w:val="clear" w:color="auto" w:fill="FFFFFF"/>
              </w:rPr>
              <w:t>об'єкт</w:t>
            </w:r>
            <w:proofErr w:type="spellEnd"/>
            <w:r w:rsidRPr="00325265">
              <w:rPr>
                <w:bCs/>
                <w:sz w:val="22"/>
                <w:szCs w:val="22"/>
                <w:shd w:val="clear" w:color="auto" w:fill="FFFFFF"/>
              </w:rPr>
              <w:t xml:space="preserve"> </w:t>
            </w:r>
            <w:proofErr w:type="spellStart"/>
            <w:r w:rsidRPr="00325265">
              <w:rPr>
                <w:bCs/>
                <w:sz w:val="22"/>
                <w:szCs w:val="22"/>
                <w:shd w:val="clear" w:color="auto" w:fill="FFFFFF"/>
              </w:rPr>
              <w:t>інвестування</w:t>
            </w:r>
            <w:proofErr w:type="spellEnd"/>
            <w:r w:rsidRPr="00325265">
              <w:rPr>
                <w:bCs/>
                <w:sz w:val="22"/>
                <w:szCs w:val="22"/>
                <w:shd w:val="clear" w:color="auto" w:fill="FFFFFF"/>
              </w:rPr>
              <w:t xml:space="preserve">, </w:t>
            </w:r>
            <w:proofErr w:type="spellStart"/>
            <w:r w:rsidRPr="00325265">
              <w:rPr>
                <w:bCs/>
                <w:sz w:val="22"/>
                <w:szCs w:val="22"/>
                <w:shd w:val="clear" w:color="auto" w:fill="FFFFFF"/>
              </w:rPr>
              <w:t>якщо</w:t>
            </w:r>
            <w:proofErr w:type="spellEnd"/>
            <w:r w:rsidRPr="00325265">
              <w:rPr>
                <w:bCs/>
                <w:sz w:val="22"/>
                <w:szCs w:val="22"/>
                <w:shd w:val="clear" w:color="auto" w:fill="FFFFFF"/>
              </w:rPr>
              <w:t>:</w:t>
            </w:r>
          </w:p>
          <w:p w:rsidR="00273D5F" w:rsidRPr="00325265" w:rsidRDefault="00273D5F" w:rsidP="002F63C9">
            <w:pPr>
              <w:pStyle w:val="a4"/>
              <w:spacing w:line="276" w:lineRule="auto"/>
              <w:ind w:left="340"/>
              <w:rPr>
                <w:rFonts w:ascii="Times New Roman" w:hAnsi="Times New Roman" w:cs="Times New Roman"/>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lang w:val="ru-RU"/>
              </w:rPr>
            </w:pPr>
            <w:r w:rsidRPr="00325265">
              <w:rPr>
                <w:rFonts w:ascii="Times New Roman" w:hAnsi="Times New Roman"/>
                <w:shd w:val="clear" w:color="auto" w:fill="FFFFFF"/>
              </w:rPr>
              <w:t>Якщо материнське підприємство втрачає контроль над дочірнім підприємством, то материнське підприємство:</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r w:rsidRPr="00325265">
              <w:rPr>
                <w:bCs/>
                <w:sz w:val="22"/>
                <w:szCs w:val="22"/>
                <w:lang w:eastAsia="en-US"/>
              </w:rPr>
              <w:t xml:space="preserve">Особа, яка </w:t>
            </w:r>
            <w:proofErr w:type="spellStart"/>
            <w:r w:rsidRPr="00325265">
              <w:rPr>
                <w:bCs/>
                <w:sz w:val="22"/>
                <w:szCs w:val="22"/>
                <w:lang w:eastAsia="en-US"/>
              </w:rPr>
              <w:t>приймає</w:t>
            </w:r>
            <w:proofErr w:type="spellEnd"/>
            <w:r w:rsidRPr="00325265">
              <w:rPr>
                <w:bCs/>
                <w:sz w:val="22"/>
                <w:szCs w:val="22"/>
                <w:lang w:eastAsia="en-US"/>
              </w:rPr>
              <w:t xml:space="preserve"> </w:t>
            </w:r>
            <w:proofErr w:type="spellStart"/>
            <w:r w:rsidRPr="00325265">
              <w:rPr>
                <w:bCs/>
                <w:sz w:val="22"/>
                <w:szCs w:val="22"/>
                <w:lang w:eastAsia="en-US"/>
              </w:rPr>
              <w:t>рішення</w:t>
            </w:r>
            <w:proofErr w:type="spellEnd"/>
            <w:r w:rsidRPr="00325265">
              <w:rPr>
                <w:bCs/>
                <w:sz w:val="22"/>
                <w:szCs w:val="22"/>
                <w:lang w:eastAsia="en-US"/>
              </w:rPr>
              <w:t xml:space="preserve"> – </w:t>
            </w:r>
            <w:proofErr w:type="spellStart"/>
            <w:r w:rsidRPr="00325265">
              <w:rPr>
                <w:bCs/>
                <w:sz w:val="22"/>
                <w:szCs w:val="22"/>
                <w:lang w:eastAsia="en-US"/>
              </w:rPr>
              <w:t>це</w:t>
            </w:r>
            <w:proofErr w:type="spellEnd"/>
            <w:r w:rsidRPr="00325265">
              <w:rPr>
                <w:sz w:val="22"/>
                <w:szCs w:val="22"/>
                <w:shd w:val="clear" w:color="auto" w:fill="FFFFFF"/>
              </w:rPr>
              <w:t>:</w:t>
            </w:r>
          </w:p>
          <w:p w:rsidR="00273D5F" w:rsidRPr="00325265" w:rsidRDefault="00273D5F" w:rsidP="002F63C9">
            <w:pPr>
              <w:pStyle w:val="a4"/>
              <w:spacing w:line="276" w:lineRule="auto"/>
              <w:ind w:left="340"/>
              <w:rPr>
                <w:rFonts w:ascii="Times New Roman" w:hAnsi="Times New Roman" w:cs="Times New Roman"/>
              </w:rPr>
            </w:pPr>
          </w:p>
        </w:tc>
      </w:tr>
      <w:tr w:rsidR="00273D5F" w:rsidRPr="00E61BD1"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r w:rsidRPr="00325265">
              <w:rPr>
                <w:sz w:val="22"/>
                <w:szCs w:val="22"/>
                <w:shd w:val="clear" w:color="auto" w:fill="FFFFFF"/>
              </w:rPr>
              <w:t xml:space="preserve">Прикладами прав </w:t>
            </w:r>
            <w:proofErr w:type="spellStart"/>
            <w:r w:rsidRPr="00325265">
              <w:rPr>
                <w:sz w:val="22"/>
                <w:szCs w:val="22"/>
                <w:shd w:val="clear" w:color="auto" w:fill="FFFFFF"/>
              </w:rPr>
              <w:t>захисту</w:t>
            </w:r>
            <w:proofErr w:type="spellEnd"/>
            <w:r w:rsidRPr="00325265">
              <w:rPr>
                <w:sz w:val="22"/>
                <w:szCs w:val="22"/>
                <w:shd w:val="clear" w:color="auto" w:fill="FFFFFF"/>
              </w:rPr>
              <w:t xml:space="preserve"> </w:t>
            </w:r>
            <w:proofErr w:type="spellStart"/>
            <w:r w:rsidRPr="00325265">
              <w:rPr>
                <w:sz w:val="22"/>
                <w:szCs w:val="22"/>
                <w:shd w:val="clear" w:color="auto" w:fill="FFFFFF"/>
              </w:rPr>
              <w:t>інтересів</w:t>
            </w:r>
            <w:proofErr w:type="spellEnd"/>
            <w:r w:rsidRPr="00325265">
              <w:rPr>
                <w:sz w:val="22"/>
                <w:szCs w:val="22"/>
                <w:shd w:val="clear" w:color="auto" w:fill="FFFFFF"/>
              </w:rPr>
              <w:t xml:space="preserve"> </w:t>
            </w:r>
            <w:proofErr w:type="spellStart"/>
            <w:r w:rsidRPr="00325265">
              <w:rPr>
                <w:sz w:val="22"/>
                <w:szCs w:val="22"/>
                <w:shd w:val="clear" w:color="auto" w:fill="FFFFFF"/>
              </w:rPr>
              <w:t>інвесторів</w:t>
            </w:r>
            <w:proofErr w:type="spellEnd"/>
            <w:r w:rsidRPr="00325265">
              <w:rPr>
                <w:sz w:val="22"/>
                <w:szCs w:val="22"/>
                <w:shd w:val="clear" w:color="auto" w:fill="FFFFFF"/>
              </w:rPr>
              <w:t xml:space="preserve">, </w:t>
            </w:r>
            <w:proofErr w:type="spellStart"/>
            <w:r w:rsidRPr="00325265">
              <w:rPr>
                <w:sz w:val="22"/>
                <w:szCs w:val="22"/>
                <w:shd w:val="clear" w:color="auto" w:fill="FFFFFF"/>
              </w:rPr>
              <w:t>зокрема</w:t>
            </w:r>
            <w:proofErr w:type="spellEnd"/>
            <w:r w:rsidRPr="00325265">
              <w:rPr>
                <w:sz w:val="22"/>
                <w:szCs w:val="22"/>
                <w:shd w:val="clear" w:color="auto" w:fill="FFFFFF"/>
              </w:rPr>
              <w:t>, є:</w:t>
            </w:r>
          </w:p>
          <w:p w:rsidR="00273D5F" w:rsidRPr="00325265" w:rsidRDefault="00273D5F" w:rsidP="002F63C9">
            <w:pPr>
              <w:pStyle w:val="a4"/>
              <w:spacing w:line="276" w:lineRule="auto"/>
              <w:ind w:left="340"/>
              <w:rPr>
                <w:rFonts w:ascii="Times New Roman" w:hAnsi="Times New Roman" w:cs="Times New Roman"/>
              </w:rPr>
            </w:pPr>
          </w:p>
        </w:tc>
      </w:tr>
      <w:tr w:rsidR="00273D5F" w:rsidRPr="00E61BD1"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proofErr w:type="spellStart"/>
            <w:r w:rsidRPr="00325265">
              <w:rPr>
                <w:sz w:val="22"/>
                <w:szCs w:val="22"/>
                <w:shd w:val="clear" w:color="auto" w:fill="FFFFFF"/>
              </w:rPr>
              <w:t>Оцінюючи</w:t>
            </w:r>
            <w:proofErr w:type="spellEnd"/>
            <w:r w:rsidRPr="00325265">
              <w:rPr>
                <w:sz w:val="22"/>
                <w:szCs w:val="22"/>
                <w:shd w:val="clear" w:color="auto" w:fill="FFFFFF"/>
              </w:rPr>
              <w:t xml:space="preserve">, </w:t>
            </w:r>
            <w:proofErr w:type="spellStart"/>
            <w:r w:rsidRPr="00325265">
              <w:rPr>
                <w:sz w:val="22"/>
                <w:szCs w:val="22"/>
                <w:shd w:val="clear" w:color="auto" w:fill="FFFFFF"/>
              </w:rPr>
              <w:t>чи</w:t>
            </w:r>
            <w:proofErr w:type="spellEnd"/>
            <w:r w:rsidRPr="00325265">
              <w:rPr>
                <w:sz w:val="22"/>
                <w:szCs w:val="22"/>
                <w:shd w:val="clear" w:color="auto" w:fill="FFFFFF"/>
              </w:rPr>
              <w:t xml:space="preserve"> є права голосу </w:t>
            </w:r>
            <w:proofErr w:type="spellStart"/>
            <w:r w:rsidRPr="00325265">
              <w:rPr>
                <w:sz w:val="22"/>
                <w:szCs w:val="22"/>
                <w:shd w:val="clear" w:color="auto" w:fill="FFFFFF"/>
              </w:rPr>
              <w:t>інвестора</w:t>
            </w:r>
            <w:proofErr w:type="spellEnd"/>
            <w:r w:rsidRPr="00325265">
              <w:rPr>
                <w:sz w:val="22"/>
                <w:szCs w:val="22"/>
                <w:shd w:val="clear" w:color="auto" w:fill="FFFFFF"/>
              </w:rPr>
              <w:t xml:space="preserve"> </w:t>
            </w:r>
            <w:proofErr w:type="spellStart"/>
            <w:r w:rsidRPr="00325265">
              <w:rPr>
                <w:sz w:val="22"/>
                <w:szCs w:val="22"/>
                <w:shd w:val="clear" w:color="auto" w:fill="FFFFFF"/>
              </w:rPr>
              <w:t>достатніми</w:t>
            </w:r>
            <w:proofErr w:type="spellEnd"/>
            <w:r w:rsidRPr="00325265">
              <w:rPr>
                <w:sz w:val="22"/>
                <w:szCs w:val="22"/>
                <w:shd w:val="clear" w:color="auto" w:fill="FFFFFF"/>
              </w:rPr>
              <w:t xml:space="preserve"> для </w:t>
            </w:r>
            <w:proofErr w:type="spellStart"/>
            <w:r w:rsidRPr="00325265">
              <w:rPr>
                <w:sz w:val="22"/>
                <w:szCs w:val="22"/>
                <w:shd w:val="clear" w:color="auto" w:fill="FFFFFF"/>
              </w:rPr>
              <w:t>надання</w:t>
            </w:r>
            <w:proofErr w:type="spellEnd"/>
            <w:r w:rsidRPr="00325265">
              <w:rPr>
                <w:sz w:val="22"/>
                <w:szCs w:val="22"/>
                <w:shd w:val="clear" w:color="auto" w:fill="FFFFFF"/>
              </w:rPr>
              <w:t xml:space="preserve"> </w:t>
            </w:r>
            <w:proofErr w:type="spellStart"/>
            <w:r w:rsidRPr="00325265">
              <w:rPr>
                <w:sz w:val="22"/>
                <w:szCs w:val="22"/>
                <w:shd w:val="clear" w:color="auto" w:fill="FFFFFF"/>
              </w:rPr>
              <w:t>йому</w:t>
            </w:r>
            <w:proofErr w:type="spellEnd"/>
            <w:r w:rsidRPr="00325265">
              <w:rPr>
                <w:sz w:val="22"/>
                <w:szCs w:val="22"/>
                <w:shd w:val="clear" w:color="auto" w:fill="FFFFFF"/>
              </w:rPr>
              <w:t xml:space="preserve"> </w:t>
            </w:r>
            <w:proofErr w:type="spellStart"/>
            <w:r w:rsidRPr="00325265">
              <w:rPr>
                <w:sz w:val="22"/>
                <w:szCs w:val="22"/>
                <w:shd w:val="clear" w:color="auto" w:fill="FFFFFF"/>
              </w:rPr>
              <w:t>владних</w:t>
            </w:r>
            <w:proofErr w:type="spellEnd"/>
            <w:r w:rsidRPr="00325265">
              <w:rPr>
                <w:sz w:val="22"/>
                <w:szCs w:val="22"/>
                <w:shd w:val="clear" w:color="auto" w:fill="FFFFFF"/>
              </w:rPr>
              <w:t xml:space="preserve"> </w:t>
            </w:r>
            <w:proofErr w:type="spellStart"/>
            <w:r w:rsidRPr="00325265">
              <w:rPr>
                <w:sz w:val="22"/>
                <w:szCs w:val="22"/>
                <w:shd w:val="clear" w:color="auto" w:fill="FFFFFF"/>
              </w:rPr>
              <w:t>повноважень</w:t>
            </w:r>
            <w:proofErr w:type="spellEnd"/>
            <w:r w:rsidRPr="00325265">
              <w:rPr>
                <w:sz w:val="22"/>
                <w:szCs w:val="22"/>
                <w:shd w:val="clear" w:color="auto" w:fill="FFFFFF"/>
              </w:rPr>
              <w:t xml:space="preserve">, </w:t>
            </w:r>
            <w:proofErr w:type="spellStart"/>
            <w:r w:rsidRPr="00325265">
              <w:rPr>
                <w:sz w:val="22"/>
                <w:szCs w:val="22"/>
                <w:shd w:val="clear" w:color="auto" w:fill="FFFFFF"/>
              </w:rPr>
              <w:t>інвестор</w:t>
            </w:r>
            <w:proofErr w:type="spellEnd"/>
            <w:r w:rsidRPr="00325265">
              <w:rPr>
                <w:sz w:val="22"/>
                <w:szCs w:val="22"/>
                <w:shd w:val="clear" w:color="auto" w:fill="FFFFFF"/>
              </w:rPr>
              <w:t xml:space="preserve"> не </w:t>
            </w:r>
            <w:proofErr w:type="spellStart"/>
            <w:r w:rsidRPr="00325265">
              <w:rPr>
                <w:sz w:val="22"/>
                <w:szCs w:val="22"/>
                <w:shd w:val="clear" w:color="auto" w:fill="FFFFFF"/>
              </w:rPr>
              <w:t>враховує</w:t>
            </w:r>
            <w:proofErr w:type="spellEnd"/>
            <w:r w:rsidRPr="00325265">
              <w:rPr>
                <w:sz w:val="22"/>
                <w:szCs w:val="22"/>
                <w:shd w:val="clear" w:color="auto" w:fill="FFFFFF"/>
              </w:rPr>
              <w:t xml:space="preserve"> </w:t>
            </w:r>
            <w:proofErr w:type="spellStart"/>
            <w:r w:rsidRPr="00325265">
              <w:rPr>
                <w:sz w:val="22"/>
                <w:szCs w:val="22"/>
                <w:shd w:val="clear" w:color="auto" w:fill="FFFFFF"/>
              </w:rPr>
              <w:t>обставину</w:t>
            </w:r>
            <w:proofErr w:type="spellEnd"/>
            <w:r w:rsidRPr="00325265">
              <w:rPr>
                <w:sz w:val="22"/>
                <w:szCs w:val="22"/>
                <w:shd w:val="clear" w:color="auto" w:fill="FFFFFF"/>
              </w:rPr>
              <w:t>:</w:t>
            </w:r>
          </w:p>
          <w:p w:rsidR="00273D5F" w:rsidRPr="00325265"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r w:rsidRPr="00325265">
              <w:rPr>
                <w:rStyle w:val="rvts48"/>
                <w:bCs/>
                <w:iCs/>
                <w:sz w:val="22"/>
                <w:szCs w:val="22"/>
                <w:shd w:val="clear" w:color="auto" w:fill="FFFFFF"/>
              </w:rPr>
              <w:t xml:space="preserve">Прикладом доходу </w:t>
            </w:r>
            <w:proofErr w:type="gramStart"/>
            <w:r w:rsidRPr="00325265">
              <w:rPr>
                <w:rStyle w:val="rvts48"/>
                <w:bCs/>
                <w:iCs/>
                <w:sz w:val="22"/>
                <w:szCs w:val="22"/>
                <w:shd w:val="clear" w:color="auto" w:fill="FFFFFF"/>
              </w:rPr>
              <w:t>Не</w:t>
            </w:r>
            <w:proofErr w:type="gramEnd"/>
            <w:r w:rsidRPr="00325265">
              <w:rPr>
                <w:rStyle w:val="rvts48"/>
                <w:bCs/>
                <w:iCs/>
                <w:sz w:val="22"/>
                <w:szCs w:val="22"/>
                <w:shd w:val="clear" w:color="auto" w:fill="FFFFFF"/>
              </w:rPr>
              <w:t xml:space="preserve"> є:</w:t>
            </w:r>
          </w:p>
          <w:p w:rsidR="00273D5F" w:rsidRPr="00325265"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rPr>
                <w:sz w:val="22"/>
                <w:szCs w:val="22"/>
              </w:rPr>
            </w:pPr>
            <w:proofErr w:type="spellStart"/>
            <w:r w:rsidRPr="00325265">
              <w:rPr>
                <w:sz w:val="22"/>
                <w:szCs w:val="22"/>
                <w:shd w:val="clear" w:color="auto" w:fill="FFFFFF"/>
              </w:rPr>
              <w:t>Суб'єкт</w:t>
            </w:r>
            <w:proofErr w:type="spellEnd"/>
            <w:r w:rsidRPr="00325265">
              <w:rPr>
                <w:sz w:val="22"/>
                <w:szCs w:val="22"/>
                <w:shd w:val="clear" w:color="auto" w:fill="FFFFFF"/>
              </w:rPr>
              <w:t xml:space="preserve"> </w:t>
            </w:r>
            <w:proofErr w:type="spellStart"/>
            <w:r w:rsidRPr="00325265">
              <w:rPr>
                <w:sz w:val="22"/>
                <w:szCs w:val="22"/>
                <w:shd w:val="clear" w:color="auto" w:fill="FFFFFF"/>
              </w:rPr>
              <w:t>господарювання</w:t>
            </w:r>
            <w:proofErr w:type="spellEnd"/>
            <w:r w:rsidRPr="00325265">
              <w:rPr>
                <w:sz w:val="22"/>
                <w:szCs w:val="22"/>
                <w:shd w:val="clear" w:color="auto" w:fill="FFFFFF"/>
              </w:rPr>
              <w:t xml:space="preserve"> </w:t>
            </w:r>
            <w:proofErr w:type="spellStart"/>
            <w:r w:rsidRPr="00325265">
              <w:rPr>
                <w:sz w:val="22"/>
                <w:szCs w:val="22"/>
                <w:shd w:val="clear" w:color="auto" w:fill="FFFFFF"/>
              </w:rPr>
              <w:t>включає</w:t>
            </w:r>
            <w:proofErr w:type="spellEnd"/>
            <w:r w:rsidRPr="00325265">
              <w:rPr>
                <w:sz w:val="22"/>
                <w:szCs w:val="22"/>
                <w:shd w:val="clear" w:color="auto" w:fill="FFFFFF"/>
              </w:rPr>
              <w:t xml:space="preserve"> </w:t>
            </w:r>
            <w:proofErr w:type="spellStart"/>
            <w:r w:rsidRPr="00325265">
              <w:rPr>
                <w:sz w:val="22"/>
                <w:szCs w:val="22"/>
                <w:shd w:val="clear" w:color="auto" w:fill="FFFFFF"/>
              </w:rPr>
              <w:t>дохід</w:t>
            </w:r>
            <w:proofErr w:type="spellEnd"/>
            <w:r w:rsidRPr="00325265">
              <w:rPr>
                <w:sz w:val="22"/>
                <w:szCs w:val="22"/>
                <w:shd w:val="clear" w:color="auto" w:fill="FFFFFF"/>
              </w:rPr>
              <w:t xml:space="preserve"> та </w:t>
            </w:r>
            <w:proofErr w:type="spellStart"/>
            <w:r w:rsidRPr="00325265">
              <w:rPr>
                <w:sz w:val="22"/>
                <w:szCs w:val="22"/>
                <w:shd w:val="clear" w:color="auto" w:fill="FFFFFF"/>
              </w:rPr>
              <w:t>витрати</w:t>
            </w:r>
            <w:proofErr w:type="spellEnd"/>
            <w:r w:rsidRPr="00325265">
              <w:rPr>
                <w:sz w:val="22"/>
                <w:szCs w:val="22"/>
                <w:shd w:val="clear" w:color="auto" w:fill="FFFFFF"/>
              </w:rPr>
              <w:t xml:space="preserve"> </w:t>
            </w:r>
            <w:proofErr w:type="spellStart"/>
            <w:r w:rsidRPr="00325265">
              <w:rPr>
                <w:sz w:val="22"/>
                <w:szCs w:val="22"/>
                <w:shd w:val="clear" w:color="auto" w:fill="FFFFFF"/>
              </w:rPr>
              <w:t>дочірнього</w:t>
            </w:r>
            <w:proofErr w:type="spellEnd"/>
            <w:r w:rsidRPr="00325265">
              <w:rPr>
                <w:sz w:val="22"/>
                <w:szCs w:val="22"/>
                <w:shd w:val="clear" w:color="auto" w:fill="FFFFFF"/>
              </w:rPr>
              <w:t xml:space="preserve"> </w:t>
            </w:r>
            <w:proofErr w:type="spellStart"/>
            <w:r w:rsidRPr="00325265">
              <w:rPr>
                <w:sz w:val="22"/>
                <w:szCs w:val="22"/>
                <w:shd w:val="clear" w:color="auto" w:fill="FFFFFF"/>
              </w:rPr>
              <w:t>підприємства</w:t>
            </w:r>
            <w:proofErr w:type="spellEnd"/>
            <w:r w:rsidRPr="00325265">
              <w:rPr>
                <w:sz w:val="22"/>
                <w:szCs w:val="22"/>
                <w:shd w:val="clear" w:color="auto" w:fill="FFFFFF"/>
              </w:rPr>
              <w:t xml:space="preserve"> у </w:t>
            </w:r>
            <w:proofErr w:type="spellStart"/>
            <w:r w:rsidRPr="00325265">
              <w:rPr>
                <w:sz w:val="22"/>
                <w:szCs w:val="22"/>
                <w:shd w:val="clear" w:color="auto" w:fill="FFFFFF"/>
              </w:rPr>
              <w:t>консолідовану</w:t>
            </w:r>
            <w:proofErr w:type="spellEnd"/>
            <w:r w:rsidRPr="00325265">
              <w:rPr>
                <w:sz w:val="22"/>
                <w:szCs w:val="22"/>
                <w:shd w:val="clear" w:color="auto" w:fill="FFFFFF"/>
              </w:rPr>
              <w:t xml:space="preserve"> </w:t>
            </w:r>
            <w:proofErr w:type="spellStart"/>
            <w:r w:rsidRPr="00325265">
              <w:rPr>
                <w:sz w:val="22"/>
                <w:szCs w:val="22"/>
                <w:shd w:val="clear" w:color="auto" w:fill="FFFFFF"/>
              </w:rPr>
              <w:t>фінансову</w:t>
            </w:r>
            <w:proofErr w:type="spellEnd"/>
            <w:r w:rsidRPr="00325265">
              <w:rPr>
                <w:sz w:val="22"/>
                <w:szCs w:val="22"/>
                <w:shd w:val="clear" w:color="auto" w:fill="FFFFFF"/>
              </w:rPr>
              <w:t xml:space="preserve"> </w:t>
            </w:r>
            <w:proofErr w:type="spellStart"/>
            <w:r w:rsidRPr="00325265">
              <w:rPr>
                <w:sz w:val="22"/>
                <w:szCs w:val="22"/>
                <w:shd w:val="clear" w:color="auto" w:fill="FFFFFF"/>
              </w:rPr>
              <w:t>звітність</w:t>
            </w:r>
            <w:proofErr w:type="spellEnd"/>
            <w:r w:rsidRPr="00325265">
              <w:rPr>
                <w:sz w:val="22"/>
                <w:szCs w:val="22"/>
                <w:shd w:val="clear" w:color="auto" w:fill="FFFFFF"/>
              </w:rPr>
              <w:t xml:space="preserve"> з</w:t>
            </w:r>
            <w:r w:rsidRPr="00325265">
              <w:rPr>
                <w:iCs/>
                <w:sz w:val="22"/>
                <w:szCs w:val="22"/>
              </w:rPr>
              <w:t>:</w:t>
            </w:r>
          </w:p>
          <w:p w:rsidR="00273D5F" w:rsidRPr="00325265" w:rsidRDefault="00273D5F" w:rsidP="002F63C9">
            <w:pPr>
              <w:spacing w:after="0"/>
              <w:ind w:left="340"/>
              <w:rPr>
                <w:rFonts w:ascii="Times New Roman" w:hAnsi="Times New Roman"/>
                <w:lang w:val="ru-RU"/>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proofErr w:type="spellStart"/>
            <w:r w:rsidRPr="00325265">
              <w:rPr>
                <w:sz w:val="22"/>
                <w:szCs w:val="22"/>
                <w:shd w:val="clear" w:color="auto" w:fill="FFFFFF"/>
              </w:rPr>
              <w:t>Суб'єкт</w:t>
            </w:r>
            <w:proofErr w:type="spellEnd"/>
            <w:r w:rsidRPr="00325265">
              <w:rPr>
                <w:sz w:val="22"/>
                <w:szCs w:val="22"/>
                <w:shd w:val="clear" w:color="auto" w:fill="FFFFFF"/>
              </w:rPr>
              <w:t xml:space="preserve"> </w:t>
            </w:r>
            <w:proofErr w:type="spellStart"/>
            <w:r w:rsidRPr="00325265">
              <w:rPr>
                <w:sz w:val="22"/>
                <w:szCs w:val="22"/>
                <w:shd w:val="clear" w:color="auto" w:fill="FFFFFF"/>
              </w:rPr>
              <w:t>господарювання</w:t>
            </w:r>
            <w:proofErr w:type="spellEnd"/>
            <w:r w:rsidRPr="00325265">
              <w:rPr>
                <w:sz w:val="22"/>
                <w:szCs w:val="22"/>
                <w:shd w:val="clear" w:color="auto" w:fill="FFFFFF"/>
              </w:rPr>
              <w:t xml:space="preserve"> </w:t>
            </w:r>
            <w:proofErr w:type="spellStart"/>
            <w:r w:rsidRPr="00325265">
              <w:rPr>
                <w:sz w:val="22"/>
                <w:szCs w:val="22"/>
                <w:shd w:val="clear" w:color="auto" w:fill="FFFFFF"/>
              </w:rPr>
              <w:t>застосовує</w:t>
            </w:r>
            <w:proofErr w:type="spellEnd"/>
            <w:r w:rsidRPr="00325265">
              <w:rPr>
                <w:sz w:val="22"/>
                <w:szCs w:val="22"/>
                <w:shd w:val="clear" w:color="auto" w:fill="FFFFFF"/>
              </w:rPr>
              <w:t xml:space="preserve"> МСФЗ 10 для </w:t>
            </w:r>
            <w:proofErr w:type="spellStart"/>
            <w:r w:rsidRPr="00325265">
              <w:rPr>
                <w:sz w:val="22"/>
                <w:szCs w:val="22"/>
                <w:shd w:val="clear" w:color="auto" w:fill="FFFFFF"/>
              </w:rPr>
              <w:t>річних</w:t>
            </w:r>
            <w:proofErr w:type="spellEnd"/>
            <w:r w:rsidRPr="00325265">
              <w:rPr>
                <w:sz w:val="22"/>
                <w:szCs w:val="22"/>
                <w:shd w:val="clear" w:color="auto" w:fill="FFFFFF"/>
              </w:rPr>
              <w:t xml:space="preserve"> </w:t>
            </w:r>
            <w:proofErr w:type="spellStart"/>
            <w:r w:rsidRPr="00325265">
              <w:rPr>
                <w:sz w:val="22"/>
                <w:szCs w:val="22"/>
                <w:shd w:val="clear" w:color="auto" w:fill="FFFFFF"/>
              </w:rPr>
              <w:t>періодів</w:t>
            </w:r>
            <w:proofErr w:type="spellEnd"/>
            <w:r w:rsidRPr="00325265">
              <w:rPr>
                <w:sz w:val="22"/>
                <w:szCs w:val="22"/>
                <w:shd w:val="clear" w:color="auto" w:fill="FFFFFF"/>
              </w:rPr>
              <w:t xml:space="preserve">, </w:t>
            </w:r>
            <w:proofErr w:type="spellStart"/>
            <w:r w:rsidRPr="00325265">
              <w:rPr>
                <w:sz w:val="22"/>
                <w:szCs w:val="22"/>
                <w:shd w:val="clear" w:color="auto" w:fill="FFFFFF"/>
              </w:rPr>
              <w:t>які</w:t>
            </w:r>
            <w:proofErr w:type="spellEnd"/>
            <w:r w:rsidRPr="00325265">
              <w:rPr>
                <w:sz w:val="22"/>
                <w:szCs w:val="22"/>
                <w:shd w:val="clear" w:color="auto" w:fill="FFFFFF"/>
              </w:rPr>
              <w:t xml:space="preserve"> </w:t>
            </w:r>
            <w:proofErr w:type="spellStart"/>
            <w:r w:rsidRPr="00325265">
              <w:rPr>
                <w:sz w:val="22"/>
                <w:szCs w:val="22"/>
                <w:shd w:val="clear" w:color="auto" w:fill="FFFFFF"/>
              </w:rPr>
              <w:t>починаються</w:t>
            </w:r>
            <w:proofErr w:type="spellEnd"/>
            <w:r w:rsidRPr="00325265">
              <w:rPr>
                <w:sz w:val="22"/>
                <w:szCs w:val="22"/>
                <w:shd w:val="clear" w:color="auto" w:fill="FFFFFF"/>
              </w:rPr>
              <w:t xml:space="preserve"> з:</w:t>
            </w:r>
          </w:p>
          <w:p w:rsidR="00273D5F" w:rsidRPr="00325265" w:rsidRDefault="00273D5F" w:rsidP="002F63C9">
            <w:pPr>
              <w:spacing w:after="0"/>
              <w:ind w:left="340"/>
              <w:rPr>
                <w:rFonts w:ascii="Times New Roman" w:hAnsi="Times New Roman"/>
                <w:lang w:val="ru-RU"/>
              </w:rPr>
            </w:pPr>
          </w:p>
        </w:tc>
      </w:tr>
      <w:tr w:rsidR="00273D5F" w:rsidRPr="001B3C1A" w:rsidTr="0091139C">
        <w:tc>
          <w:tcPr>
            <w:tcW w:w="464" w:type="dxa"/>
            <w:vAlign w:val="center"/>
          </w:tcPr>
          <w:p w:rsidR="00273D5F" w:rsidRPr="001B61F6" w:rsidRDefault="00273D5F" w:rsidP="00B92520">
            <w:pPr>
              <w:pStyle w:val="a3"/>
              <w:numPr>
                <w:ilvl w:val="0"/>
                <w:numId w:val="1"/>
              </w:numPr>
              <w:tabs>
                <w:tab w:val="left" w:pos="851"/>
              </w:tabs>
              <w:ind w:left="0" w:firstLine="0"/>
              <w:jc w:val="center"/>
              <w:rPr>
                <w:lang w:val="uk-UA"/>
              </w:rP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proofErr w:type="spellStart"/>
            <w:r w:rsidRPr="00325265">
              <w:rPr>
                <w:bCs/>
                <w:sz w:val="22"/>
                <w:szCs w:val="22"/>
                <w:lang w:eastAsia="en-US"/>
              </w:rPr>
              <w:t>Дочірнє</w:t>
            </w:r>
            <w:proofErr w:type="spellEnd"/>
            <w:r w:rsidRPr="00325265">
              <w:rPr>
                <w:bCs/>
                <w:sz w:val="22"/>
                <w:szCs w:val="22"/>
                <w:lang w:eastAsia="en-US"/>
              </w:rPr>
              <w:t xml:space="preserve"> </w:t>
            </w:r>
            <w:proofErr w:type="spellStart"/>
            <w:r w:rsidRPr="00325265">
              <w:rPr>
                <w:bCs/>
                <w:sz w:val="22"/>
                <w:szCs w:val="22"/>
                <w:lang w:eastAsia="en-US"/>
              </w:rPr>
              <w:t>підприємство</w:t>
            </w:r>
            <w:proofErr w:type="spellEnd"/>
            <w:r w:rsidRPr="00325265">
              <w:rPr>
                <w:bCs/>
                <w:sz w:val="22"/>
                <w:szCs w:val="22"/>
                <w:lang w:eastAsia="en-US"/>
              </w:rPr>
              <w:t xml:space="preserve"> – </w:t>
            </w:r>
            <w:proofErr w:type="spellStart"/>
            <w:r w:rsidRPr="00325265">
              <w:rPr>
                <w:bCs/>
                <w:sz w:val="22"/>
                <w:szCs w:val="22"/>
                <w:lang w:eastAsia="en-US"/>
              </w:rPr>
              <w:t>це</w:t>
            </w:r>
            <w:proofErr w:type="spellEnd"/>
            <w:r w:rsidRPr="00325265">
              <w:rPr>
                <w:bCs/>
                <w:sz w:val="22"/>
                <w:szCs w:val="22"/>
                <w:lang w:eastAsia="en-US"/>
              </w:rPr>
              <w:t>:</w:t>
            </w:r>
          </w:p>
          <w:p w:rsidR="00273D5F" w:rsidRPr="00325265" w:rsidRDefault="00273D5F" w:rsidP="002F63C9">
            <w:pPr>
              <w:spacing w:after="0"/>
              <w:ind w:left="340"/>
              <w:rPr>
                <w:rFonts w:ascii="Times New Roman" w:hAnsi="Times New Roman"/>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rPr>
              <w:t>Різниця між датою фінансової звітності дочірнього підприємства та датою консолідованої фінансової звітності не повинна бути більшою ніж:</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shd w:val="clear" w:color="auto" w:fill="FFFFFF"/>
              </w:rPr>
              <w:t>Первісна оцінка інвестором наявності контролю або свого статусу як принципала або агента:</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shd w:val="clear" w:color="auto" w:fill="FFFFFF"/>
              </w:rPr>
              <w:t>МСФЗ 10 замінює вимоги щодо консолідованої фінансової звітності, викладені в </w:t>
            </w:r>
            <w:hyperlink r:id="rId5" w:tgtFrame="_blank" w:history="1">
              <w:r w:rsidRPr="00325265">
                <w:rPr>
                  <w:rStyle w:val="a5"/>
                  <w:rFonts w:ascii="Times New Roman" w:hAnsi="Times New Roman"/>
                  <w:shd w:val="clear" w:color="auto" w:fill="FFFFFF"/>
                </w:rPr>
                <w:t>МСБО 27</w:t>
              </w:r>
            </w:hyperlink>
            <w:r w:rsidRPr="00325265">
              <w:rPr>
                <w:rFonts w:ascii="Times New Roman" w:hAnsi="Times New Roman"/>
                <w:shd w:val="clear" w:color="auto" w:fill="FFFFFF"/>
              </w:rPr>
              <w:t> зміненому у:</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pStyle w:val="rvps2"/>
              <w:shd w:val="clear" w:color="auto" w:fill="FFFFFF"/>
              <w:spacing w:before="0" w:beforeAutospacing="0" w:after="150" w:afterAutospacing="0"/>
              <w:ind w:left="360"/>
              <w:rPr>
                <w:sz w:val="22"/>
                <w:szCs w:val="22"/>
              </w:rPr>
            </w:pPr>
            <w:proofErr w:type="spellStart"/>
            <w:r w:rsidRPr="00325265">
              <w:rPr>
                <w:bCs/>
                <w:sz w:val="22"/>
                <w:szCs w:val="22"/>
                <w:shd w:val="clear" w:color="auto" w:fill="FFFFFF"/>
              </w:rPr>
              <w:t>Материнське</w:t>
            </w:r>
            <w:proofErr w:type="spellEnd"/>
            <w:r w:rsidRPr="00325265">
              <w:rPr>
                <w:bCs/>
                <w:sz w:val="22"/>
                <w:szCs w:val="22"/>
                <w:shd w:val="clear" w:color="auto" w:fill="FFFFFF"/>
              </w:rPr>
              <w:t xml:space="preserve"> </w:t>
            </w:r>
            <w:proofErr w:type="spellStart"/>
            <w:r w:rsidRPr="00325265">
              <w:rPr>
                <w:bCs/>
                <w:sz w:val="22"/>
                <w:szCs w:val="22"/>
                <w:shd w:val="clear" w:color="auto" w:fill="FFFFFF"/>
              </w:rPr>
              <w:t>підприємство</w:t>
            </w:r>
            <w:proofErr w:type="spellEnd"/>
            <w:r w:rsidRPr="00325265">
              <w:rPr>
                <w:sz w:val="22"/>
                <w:szCs w:val="22"/>
              </w:rPr>
              <w:t xml:space="preserve"> – </w:t>
            </w:r>
            <w:proofErr w:type="spellStart"/>
            <w:r w:rsidRPr="00325265">
              <w:rPr>
                <w:sz w:val="22"/>
                <w:szCs w:val="22"/>
              </w:rPr>
              <w:t>це</w:t>
            </w:r>
            <w:proofErr w:type="spellEnd"/>
            <w:r w:rsidRPr="00325265">
              <w:rPr>
                <w:sz w:val="22"/>
                <w:szCs w:val="22"/>
              </w:rPr>
              <w:t>:</w:t>
            </w:r>
          </w:p>
          <w:p w:rsidR="00273D5F" w:rsidRPr="00325265" w:rsidRDefault="00273D5F" w:rsidP="002F63C9">
            <w:pPr>
              <w:spacing w:after="0"/>
              <w:ind w:left="340"/>
              <w:rPr>
                <w:rFonts w:ascii="Times New Roman" w:hAnsi="Times New Roman"/>
              </w:rPr>
            </w:pP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shd w:val="clear" w:color="auto" w:fill="FFFFFF"/>
              </w:rPr>
              <w:t>Чим вищий рівень ризику або прав інвестора щодо змінних результатів діяльності об'єкта інвестування, тим</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bCs/>
              </w:rPr>
              <w:t>Група</w:t>
            </w:r>
            <w:r w:rsidRPr="00325265">
              <w:rPr>
                <w:rFonts w:ascii="Times New Roman" w:hAnsi="Times New Roman"/>
                <w:shd w:val="clear" w:color="auto" w:fill="FFFFFF"/>
              </w:rPr>
              <w:t> –це</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shd w:val="clear" w:color="auto" w:fill="FFFFFF"/>
              </w:rPr>
              <w:t xml:space="preserve">Особа, яка приймає рішення, не є агентом лише тому, що вигоду від рішень, які вона </w:t>
            </w:r>
            <w:r w:rsidRPr="00325265">
              <w:rPr>
                <w:rFonts w:ascii="Times New Roman" w:hAnsi="Times New Roman"/>
                <w:shd w:val="clear" w:color="auto" w:fill="FFFFFF"/>
              </w:rPr>
              <w:lastRenderedPageBreak/>
              <w:t>приймає, можуть мати:</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Style w:val="rvts44"/>
                <w:rFonts w:ascii="Times New Roman" w:hAnsi="Times New Roman"/>
                <w:bCs/>
                <w:shd w:val="clear" w:color="auto" w:fill="FFFFFF"/>
              </w:rPr>
              <w:t>Права захисту інтересів інвесторів – це:</w:t>
            </w:r>
            <w:r w:rsidRPr="00325265">
              <w:rPr>
                <w:rFonts w:ascii="Times New Roman" w:hAnsi="Times New Roman"/>
                <w:shd w:val="clear" w:color="auto" w:fill="FFFFFF"/>
              </w:rPr>
              <w:t> </w:t>
            </w:r>
          </w:p>
        </w:tc>
      </w:tr>
      <w:tr w:rsidR="00273D5F" w:rsidRPr="00E61BD1" w:rsidTr="0091139C">
        <w:tc>
          <w:tcPr>
            <w:tcW w:w="464" w:type="dxa"/>
            <w:vAlign w:val="center"/>
          </w:tcPr>
          <w:p w:rsidR="00273D5F" w:rsidRPr="008B018B" w:rsidRDefault="00273D5F" w:rsidP="00B92520">
            <w:pPr>
              <w:pStyle w:val="a3"/>
              <w:numPr>
                <w:ilvl w:val="0"/>
                <w:numId w:val="1"/>
              </w:numPr>
              <w:tabs>
                <w:tab w:val="left" w:pos="851"/>
              </w:tabs>
              <w:ind w:left="0" w:firstLine="0"/>
              <w:jc w:val="center"/>
            </w:pPr>
          </w:p>
        </w:tc>
        <w:tc>
          <w:tcPr>
            <w:tcW w:w="9214" w:type="dxa"/>
          </w:tcPr>
          <w:p w:rsidR="00273D5F" w:rsidRPr="00325265" w:rsidRDefault="00273D5F" w:rsidP="002F63C9">
            <w:pPr>
              <w:spacing w:after="0"/>
              <w:ind w:left="340"/>
              <w:rPr>
                <w:rFonts w:ascii="Times New Roman" w:hAnsi="Times New Roman"/>
              </w:rPr>
            </w:pPr>
            <w:r w:rsidRPr="00325265">
              <w:rPr>
                <w:rFonts w:ascii="Times New Roman" w:hAnsi="Times New Roman"/>
                <w:bCs/>
                <w:shd w:val="clear" w:color="auto" w:fill="FFFFFF"/>
              </w:rPr>
              <w:t>Права відсторонення – це:</w:t>
            </w:r>
          </w:p>
        </w:tc>
      </w:tr>
    </w:tbl>
    <w:p w:rsidR="003743BA" w:rsidRPr="00B92520" w:rsidRDefault="003743BA">
      <w:pPr>
        <w:rPr>
          <w:lang w:val="ru-RU"/>
        </w:rPr>
      </w:pPr>
    </w:p>
    <w:sectPr w:rsidR="003743BA" w:rsidRPr="00B92520" w:rsidSect="007149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42B7"/>
    <w:multiLevelType w:val="hybridMultilevel"/>
    <w:tmpl w:val="3ECA4702"/>
    <w:lvl w:ilvl="0" w:tplc="AA76FF7C">
      <w:start w:val="1"/>
      <w:numFmt w:val="decimal"/>
      <w:lvlText w:val="%1"/>
      <w:lvlJc w:val="left"/>
      <w:pPr>
        <w:ind w:left="502"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B3"/>
    <w:rsid w:val="0012112F"/>
    <w:rsid w:val="00121FB3"/>
    <w:rsid w:val="00140CAC"/>
    <w:rsid w:val="00273D5F"/>
    <w:rsid w:val="003743BA"/>
    <w:rsid w:val="00714985"/>
    <w:rsid w:val="007B4FF3"/>
    <w:rsid w:val="0091139C"/>
    <w:rsid w:val="009362B8"/>
    <w:rsid w:val="00B92520"/>
    <w:rsid w:val="00BB5A25"/>
    <w:rsid w:val="00C8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D130-3CC0-464A-A6DF-5A5A191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52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2">
    <w:name w:val="Основний текст (2) + Напівжирний"/>
    <w:basedOn w:val="a0"/>
    <w:rsid w:val="00B925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a4">
    <w:name w:val="Основний текст"/>
    <w:rsid w:val="00BB5A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character" w:customStyle="1" w:styleId="rvts9">
    <w:name w:val="rvts9"/>
    <w:basedOn w:val="a0"/>
    <w:rsid w:val="00BB5A25"/>
  </w:style>
  <w:style w:type="paragraph" w:customStyle="1" w:styleId="rvps2">
    <w:name w:val="rvps2"/>
    <w:basedOn w:val="a"/>
    <w:rsid w:val="00273D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273D5F"/>
  </w:style>
  <w:style w:type="character" w:customStyle="1" w:styleId="rvts48">
    <w:name w:val="rvts48"/>
    <w:basedOn w:val="a0"/>
    <w:rsid w:val="00273D5F"/>
  </w:style>
  <w:style w:type="character" w:styleId="a5">
    <w:name w:val="Hyperlink"/>
    <w:uiPriority w:val="99"/>
    <w:unhideWhenUsed/>
    <w:rsid w:val="00273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929_0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4051</Words>
  <Characters>2310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Аляб'єва Дарина Олександрівна</dc:creator>
  <cp:lastModifiedBy>Чижевська Л В</cp:lastModifiedBy>
  <cp:revision>2</cp:revision>
  <dcterms:created xsi:type="dcterms:W3CDTF">2020-09-30T06:55:00Z</dcterms:created>
  <dcterms:modified xsi:type="dcterms:W3CDTF">2020-09-30T06:55:00Z</dcterms:modified>
</cp:coreProperties>
</file>