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5B" w:rsidRPr="0061045B" w:rsidRDefault="0061045B" w:rsidP="0061045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2. Валютний курс</w:t>
      </w:r>
    </w:p>
    <w:p w:rsidR="0061045B" w:rsidRPr="0061045B" w:rsidRDefault="0061045B" w:rsidP="0061045B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>2.1. Поняття, види та чинники формування валютного курсу.</w:t>
      </w:r>
    </w:p>
    <w:p w:rsidR="0061045B" w:rsidRPr="0061045B" w:rsidRDefault="0061045B" w:rsidP="0061045B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>2.2. Режими валютних курсів.</w:t>
      </w:r>
    </w:p>
    <w:p w:rsidR="0061045B" w:rsidRPr="0061045B" w:rsidRDefault="0061045B" w:rsidP="0061045B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>2.3. Крос-курс та порядок його розрахунку.</w:t>
      </w:r>
    </w:p>
    <w:p w:rsidR="0061045B" w:rsidRDefault="0061045B" w:rsidP="0061045B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>2.4. Валютна позиція банків.</w:t>
      </w:r>
    </w:p>
    <w:p w:rsidR="0061045B" w:rsidRDefault="0061045B" w:rsidP="0061045B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2.1. Поняття, види та чинники формування валютного курсу.</w:t>
      </w:r>
    </w:p>
    <w:p w:rsid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64680" w:rsidRPr="005E4333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Валютний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курс</w:t>
      </w:r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необхідний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для</w:t>
      </w:r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64680" w:rsidRPr="00464680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•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взаємного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обміну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валютами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при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торгівлі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товарами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послугами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при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русі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капіталів</w:t>
      </w:r>
      <w:proofErr w:type="spellEnd"/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і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9E422C">
        <w:rPr>
          <w:rFonts w:ascii="Times New Roman" w:eastAsia="Times New Roman" w:hAnsi="Times New Roman" w:cs="Times New Roman" w:hint="eastAsia"/>
          <w:b/>
          <w:sz w:val="28"/>
          <w:szCs w:val="20"/>
        </w:rPr>
        <w:t>кредитів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Експортер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обмінює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виручену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іноземну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національну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тому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що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інших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країн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можуть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обертатися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як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законний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купівельний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платіжний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засіб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території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даної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держави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Імпортер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обмінює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національну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іноземну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для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оплати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товарів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куплених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рубежем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Боржник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здобуває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іноземну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національну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для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погашення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заборгованості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виплати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відсотків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зовнішніми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позиками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64680" w:rsidRPr="00464680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•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порівняння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цін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світових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і</w:t>
      </w:r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національних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ринків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також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вартісних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показників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різних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країн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виражених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національних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іноземних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валютах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1045B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•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періодичного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переоцінювання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рахунків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в</w:t>
      </w:r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іноземній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валюті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фірм</w:t>
      </w:r>
      <w:proofErr w:type="spellEnd"/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і</w:t>
      </w:r>
      <w:r w:rsidRPr="005E43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5E4333">
        <w:rPr>
          <w:rFonts w:ascii="Times New Roman" w:eastAsia="Times New Roman" w:hAnsi="Times New Roman" w:cs="Times New Roman" w:hint="eastAsia"/>
          <w:b/>
          <w:sz w:val="28"/>
          <w:szCs w:val="20"/>
        </w:rPr>
        <w:t>банків</w:t>
      </w:r>
      <w:proofErr w:type="spellEnd"/>
    </w:p>
    <w:p w:rsid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Валютний курс </w:t>
      </w: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– це ціна грошової одиниці однієї країни, </w:t>
      </w:r>
      <w:r w:rsidR="007915A9"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виражена в грошовій одиниці іншої держави</w:t>
      </w:r>
      <w:r w:rsidRPr="0061045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Одними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найважливіших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понять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які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використовуються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валютному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ринку</w:t>
      </w:r>
      <w:proofErr w:type="gram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є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реальний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і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номінальний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Реальний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курс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можна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визначити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як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відношення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цін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товарів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двох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країн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узятих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у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відповідній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валюті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Номінальний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курс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показує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обмінний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діє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даний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момент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валютному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ринку</w:t>
      </w:r>
      <w:proofErr w:type="gram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країни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курс,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що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підтримує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постійний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паритет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купівельної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сили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—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це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такий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номінальний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при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якому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реальний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незмінний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Крім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реального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валютного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курсу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розрахованого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на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базі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відносини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цін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можна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використовувати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цей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самий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показник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але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з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іншою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базою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Наприклад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коли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приймають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неї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відношення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вартості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робочої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сили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в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двох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 w:hint="eastAsia"/>
          <w:sz w:val="28"/>
          <w:szCs w:val="20"/>
        </w:rPr>
        <w:t>країнах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045B" w:rsidRDefault="00464680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6468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1339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>Розрізняють</w:t>
      </w:r>
      <w:proofErr w:type="spellEnd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>основні</w:t>
      </w:r>
      <w:proofErr w:type="spellEnd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>чинники</w:t>
      </w:r>
      <w:proofErr w:type="spellEnd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>впливу</w:t>
      </w:r>
      <w:proofErr w:type="spellEnd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</w:t>
      </w:r>
      <w:proofErr w:type="spellStart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валютний</w:t>
      </w:r>
      <w:proofErr w:type="spellEnd"/>
      <w:r w:rsidRPr="00610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курс: 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структурні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відображають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стан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економіки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емітента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чинять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довгостроковий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вплив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становлять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основу валютного курсу; </w:t>
      </w:r>
    </w:p>
    <w:p w:rsidR="0061045B" w:rsidRP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>кон’юнктурні</w:t>
      </w:r>
      <w:proofErr w:type="spellEnd"/>
      <w:r w:rsidRPr="0061045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мають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короткостроковий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61045B">
        <w:rPr>
          <w:rFonts w:ascii="Times New Roman" w:eastAsia="Times New Roman" w:hAnsi="Times New Roman" w:cs="Times New Roman"/>
          <w:sz w:val="28"/>
          <w:szCs w:val="20"/>
        </w:rPr>
        <w:t>спекулятивний</w:t>
      </w:r>
      <w:proofErr w:type="spellEnd"/>
      <w:r w:rsidRPr="0061045B">
        <w:rPr>
          <w:rFonts w:ascii="Times New Roman" w:eastAsia="Times New Roman" w:hAnsi="Times New Roman" w:cs="Times New Roman"/>
          <w:sz w:val="28"/>
          <w:szCs w:val="20"/>
        </w:rPr>
        <w:t xml:space="preserve"> характер (табл. 1.1). </w:t>
      </w:r>
    </w:p>
    <w:p w:rsidR="0061045B" w:rsidRDefault="0061045B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045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244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80" w:rsidRPr="00464680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lastRenderedPageBreak/>
        <w:t>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банківській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практиці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прийняте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таке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позначення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курсів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одна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інша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Наприклад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долара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США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української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гривні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позначається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>USD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>/UAN.</w:t>
      </w:r>
    </w:p>
    <w:p w:rsidR="00464680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цьому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позначенні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ліворуч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ставлять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базу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котирування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базова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яку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вимірюють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праворуч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—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валюту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котирування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котирувальна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—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чим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вимірюють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Наприклад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курс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USD/UAN = 5,0236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визначає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кількість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котирувальної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одиницю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базової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валюти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в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даному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разі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5,0236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українських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гривень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за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один</w:t>
      </w:r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американський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64680">
        <w:rPr>
          <w:rFonts w:ascii="Times New Roman" w:eastAsia="Times New Roman" w:hAnsi="Times New Roman" w:cs="Times New Roman" w:hint="eastAsia"/>
          <w:sz w:val="28"/>
          <w:szCs w:val="20"/>
        </w:rPr>
        <w:t>долар</w:t>
      </w:r>
      <w:proofErr w:type="spellEnd"/>
      <w:r w:rsidRPr="00464680">
        <w:rPr>
          <w:rFonts w:ascii="Times New Roman" w:eastAsia="Times New Roman" w:hAnsi="Times New Roman" w:cs="Times New Roman"/>
          <w:sz w:val="28"/>
          <w:szCs w:val="20"/>
        </w:rPr>
        <w:t>):</w:t>
      </w:r>
    </w:p>
    <w:p w:rsidR="00464680" w:rsidRDefault="00464680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6468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562475" cy="1000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ВАЛЮТНЕ КОТИРУВАННЯ (</w:t>
      </w:r>
      <w:proofErr w:type="spellStart"/>
      <w:r w:rsidRPr="007915A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currency</w:t>
      </w:r>
      <w:proofErr w:type="spellEnd"/>
      <w:r w:rsidRPr="007915A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proofErr w:type="spellStart"/>
      <w:r w:rsidRPr="007915A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quoting</w:t>
      </w:r>
      <w:proofErr w:type="spellEnd"/>
      <w:r w:rsidRPr="007915A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) – </w:t>
      </w: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визначення валютних курсів. Повне </w:t>
      </w:r>
      <w:proofErr w:type="spellStart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В.к</w:t>
      </w:r>
      <w:proofErr w:type="spellEnd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. означає, що встановлюється курс покупця (</w:t>
      </w:r>
      <w:proofErr w:type="spellStart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bid</w:t>
      </w:r>
      <w:proofErr w:type="spellEnd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) і продавця (</w:t>
      </w:r>
      <w:proofErr w:type="spellStart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offer</w:t>
      </w:r>
      <w:proofErr w:type="spellEnd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).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У світовій практиці розрізняють пряме та зворотне котирування. У разі прямого котирування зазначають, скільком національним грошовим одиницям дорівнює одиниця (1, 10, 100, 1000 од.) іноземної валюти. У разі зворотного котирування – навпаки, скільком одиницям іноземної валюти дорівнює одиниця (1, 10, 100, 1000 од.) національної валюти.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Офіційні котирування гривні до іноземних валют Національний банк України встановлює як суму в гривні за 10, 100, 1000 і 10000 одиниць іноземної валюти.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Коли кажуть, що за умови котирування USD/UAH курс гривні підвищився, то це означає, що він був, наприклад, 8,00 грн., а став 8,10 грн. за 1 </w:t>
      </w:r>
      <w:proofErr w:type="spellStart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дол</w:t>
      </w:r>
      <w:proofErr w:type="spellEnd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. США. При цьому купівельна спроможність гривні знизилася, а долара – зросла.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разі, коли курс гривні був 8,10 грн. за 1 </w:t>
      </w:r>
      <w:proofErr w:type="spellStart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дол</w:t>
      </w:r>
      <w:proofErr w:type="spellEnd"/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., а став 8,00, кажуть, що він знизився. При цьому купівельна спроможність гривні зросла.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>При визначені та записі валютних курсів розрізняють валюту котирування і базу котирування. Валютою котирування є та іноземна валюта, курс якої визначають, а базою – валюта, з якою порівнюють дану грошову одиницю. Наприклад, у записі USD/UAH долар США є базою котирування, а гривня – валютою котирування.</w:t>
      </w:r>
    </w:p>
    <w:p w:rsidR="007915A9" w:rsidRPr="007915A9" w:rsidRDefault="007915A9" w:rsidP="007915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практиці частіше за все базою котирування є долар США. Однак для окремих валют – англійського фунта стерлінгів (GBP), євро (EUR), </w:t>
      </w:r>
      <w:r w:rsidRPr="007915A9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австралійського (AUD) і новозеландського доларів (NZD), долар США завжди є валютою котирування.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E422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Валютне котирування</w:t>
      </w:r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фіксування курсу національної грошової одиниці стосовно іноземних грошових одиниць.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Повне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передбачає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встановлення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покупця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(сторона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і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продавця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(сторона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ask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)).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Bid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курс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купівлі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(курс продажу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маркет-мейкером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A7F45" w:rsidRP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Offer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(</w:t>
      </w:r>
      <w:proofErr w:type="spellStart"/>
      <w:proofErr w:type="gram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ask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)</w:t>
      </w:r>
      <w:proofErr w:type="gram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курс продажу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(курс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купівлі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маркет-мейкером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(тип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учасника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ринку).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. EUR/USD = 0,9956(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)/0,9960(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EUR/USD = 0,9956/60 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сторона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завжди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менша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>Наприклад</w:t>
      </w:r>
      <w:proofErr w:type="spellEnd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, курс </w:t>
      </w:r>
      <w:proofErr w:type="spellStart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>гривні</w:t>
      </w:r>
      <w:proofErr w:type="spellEnd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>долара</w:t>
      </w:r>
      <w:proofErr w:type="spellEnd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США </w:t>
      </w:r>
      <w:proofErr w:type="spellStart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>записують</w:t>
      </w:r>
      <w:proofErr w:type="spellEnd"/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: </w:t>
      </w:r>
    </w:p>
    <w:p w:rsidR="00EA7F45" w:rsidRP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USD/UAН = 7,9733 – 7,9788.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Різниця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котируваннями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на покупку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ліво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і продаж (право)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називається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>спред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E422C">
        <w:rPr>
          <w:rFonts w:ascii="Times New Roman" w:eastAsia="Times New Roman" w:hAnsi="Times New Roman" w:cs="Times New Roman"/>
          <w:b/>
          <w:sz w:val="28"/>
          <w:szCs w:val="20"/>
        </w:rPr>
        <w:t>маржа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Валютні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дилери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зазвичай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один одному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лише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дві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останні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цифри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(до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десятків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пунктів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>Маржа у даному прикладі становить 55 пунктів. Останні цифри написання валютного курсу називаються піп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>рір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>) або «пункт»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>point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  <w:lang w:val="uk-UA"/>
        </w:rPr>
        <w:t>) – це можливий найменший розмір зміни курсу валюти.</w:t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Спред 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є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прибутком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банку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проведених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операцій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клієнтами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іншими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банками. Спред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може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розглядатися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як «плата за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».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завжди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купує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дешевше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продає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дорожче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EA7F45">
        <w:rPr>
          <w:rFonts w:ascii="Times New Roman" w:eastAsia="Times New Roman" w:hAnsi="Times New Roman" w:cs="Times New Roman"/>
          <w:sz w:val="28"/>
          <w:szCs w:val="20"/>
        </w:rPr>
        <w:t>На ринку</w:t>
      </w:r>
      <w:proofErr w:type="gram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завжди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є два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типи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учасників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market-maker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 і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маркет-тейкери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market-taker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як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їх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називають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маркет-юзери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market-user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Маркет-мейкер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активний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учасник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ринку,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який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зв’язує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покупців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виставляє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курси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 і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диктує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умови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Маркет-тейкер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пасивний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учасник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ринку,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запитує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і слабо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впливає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ситуацію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EA7F45">
        <w:rPr>
          <w:rFonts w:ascii="Times New Roman" w:eastAsia="Times New Roman" w:hAnsi="Times New Roman" w:cs="Times New Roman"/>
          <w:sz w:val="28"/>
          <w:szCs w:val="20"/>
        </w:rPr>
        <w:t>на ринку</w:t>
      </w:r>
      <w:proofErr w:type="gram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його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діяльність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залежить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маркер-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мейкера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Проте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якщо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маркет-тейкерів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великі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капітали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то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коректують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Маркет-тейкер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завжди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перебуває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більш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невигідному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становищі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порівняно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маркет-мейкером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він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завжди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купує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дорожче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продає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її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дешевше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Курси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установлюють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тобто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яка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кількість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відповідає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одиниці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При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здійсненні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угоди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дуже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важливо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визначити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з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якою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валютою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працюєте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– з базовою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 валютою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A7F45" w:rsidRP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lastRenderedPageBreak/>
        <w:t>Якщо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говорите,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купуєте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USD/JPY, то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значить,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купуєте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 і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продаєте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японську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єну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 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базова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валюта). Коли в новинах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передають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почав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дорожчати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GBP/JPY, то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всі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знають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англійський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фунт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стерлінгів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подорожчав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відносно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японської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єни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Якщо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ж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необхідно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укласти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угоду в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сумі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то в переговорах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слід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вказати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A7F45" w:rsidRP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Розрізняють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такі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види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1.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Пряме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визначає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певну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кількість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одиницю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іноземної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Так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склалося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історично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практично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всі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прирівнюються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американського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певна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кількість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за 1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США. 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вигляді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прямого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офіційно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установлюються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курси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більшості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світу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: USD/UAN, USD/JPY/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USD/UAN = 7,973300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означає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1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дорівнює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7,9733 грн.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A7F45">
        <w:rPr>
          <w:rFonts w:ascii="Times New Roman" w:eastAsia="Times New Roman" w:hAnsi="Times New Roman" w:cs="Times New Roman"/>
          <w:sz w:val="28"/>
          <w:szCs w:val="20"/>
        </w:rPr>
        <w:t>На ринку</w:t>
      </w:r>
      <w:proofErr w:type="gram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Forex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курси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основних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розглядають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як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 до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тобто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 є базовою валютою практично для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всіх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свідчить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про роль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американської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як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загальновизнаної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й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найпоширенішої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розрахункової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одиниці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використовуваної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міжнародній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торгівлі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A7F45" w:rsidRDefault="00EA7F45" w:rsidP="00EA7F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2.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Непряме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 (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зворотне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) </w:t>
      </w:r>
      <w:proofErr w:type="spellStart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визначає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певну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кількість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іноземної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одиницю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0290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45" w:rsidRDefault="00EA7F45" w:rsidP="0046468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У непрямому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котируванні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США є валютою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інша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 xml:space="preserve"> валюта – базою </w:t>
      </w:r>
      <w:proofErr w:type="spellStart"/>
      <w:r w:rsidRPr="00EA7F45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A7F4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64680" w:rsidRDefault="00464680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64680" w:rsidRPr="00464680" w:rsidRDefault="00464680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46468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2.2. Режими валютних курсів.</w:t>
      </w:r>
    </w:p>
    <w:p w:rsidR="00464680" w:rsidRPr="00464680" w:rsidRDefault="00464680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міжнародній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практиці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використовують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такі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сучасні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режими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валютних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фіксовані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плаваючі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змішані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1.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Фіксований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валютний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курс 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встановлені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урядом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постійні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фіксовані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пропорції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обміну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іноземну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навпаки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lastRenderedPageBreak/>
        <w:t>Він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передбачає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наявність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певного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зареєстрованого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офіційного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) паритету,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який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підтримують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органи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державного валютного контролю.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2. Режим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вільно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плаваючих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називають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ФЛОАТИНГОМ</w:t>
      </w: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Плаваючий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валютний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курс </w:t>
      </w: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формується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6E5BE6">
        <w:rPr>
          <w:rFonts w:ascii="Times New Roman" w:eastAsia="Times New Roman" w:hAnsi="Times New Roman" w:cs="Times New Roman"/>
          <w:sz w:val="28"/>
          <w:szCs w:val="20"/>
        </w:rPr>
        <w:t>на валютному ринку</w:t>
      </w:r>
      <w:proofErr w:type="gram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під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впливом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попиту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пропозиції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в свою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чергу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залежить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стану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балансу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співвідношення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відсоткових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ставок і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темпів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інфляції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очікувань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учасників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ринку,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офіційних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валютних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інтервенцій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8733F" w:rsidRDefault="006E5BE6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умови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введення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обмежень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режим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вільно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плаваючих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називають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БРУДНИМ ФЛОАТИНГОМ,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КЕРОВАНИМ</w:t>
      </w:r>
      <w:r w:rsidR="00D8733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ПЛАВАННЯМ. </w:t>
      </w:r>
    </w:p>
    <w:p w:rsidR="00464680" w:rsidRDefault="006E5BE6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Більшість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країн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світу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політиці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курсоутворення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орієнтується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саме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кероване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плавання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валютних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Змішані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режими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валютних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запроваджуються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з метою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стимулювання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стримування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певних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видів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напрямів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зовнішньоекономічної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діяльності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фінансово-кредитної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політики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держави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(табл. 1.2).</w:t>
      </w:r>
    </w:p>
    <w:p w:rsidR="00DC5341" w:rsidRDefault="00DC5341" w:rsidP="00DC534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C5341">
        <w:rPr>
          <w:noProof/>
          <w:lang w:eastAsia="ru-RU"/>
        </w:rPr>
        <w:drawing>
          <wp:inline distT="0" distB="0" distL="0" distR="0" wp14:anchorId="40D80225" wp14:editId="562FF21B">
            <wp:extent cx="5467350" cy="5114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41" w:rsidRDefault="00DC5341" w:rsidP="00DC534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C5341">
        <w:rPr>
          <w:noProof/>
          <w:lang w:eastAsia="ru-RU"/>
        </w:rPr>
        <w:lastRenderedPageBreak/>
        <w:drawing>
          <wp:inline distT="0" distB="0" distL="0" distR="0" wp14:anchorId="7500C554" wp14:editId="26DDF0F5">
            <wp:extent cx="5372100" cy="5695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80" w:rsidRDefault="006E5BE6" w:rsidP="006E5BE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E5BE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6010275" cy="7185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72" cy="72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80" w:rsidRDefault="006E5BE6" w:rsidP="006E5BE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E5BE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91225" cy="650601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38" cy="65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80" w:rsidRDefault="00464680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1.4.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Крос-курси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та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їх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розрахунки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з валютами </w:t>
      </w:r>
      <w:proofErr w:type="gramStart"/>
      <w:r w:rsidRPr="006E5BE6">
        <w:rPr>
          <w:rFonts w:ascii="Times New Roman" w:eastAsia="Times New Roman" w:hAnsi="Times New Roman" w:cs="Times New Roman"/>
          <w:sz w:val="28"/>
          <w:szCs w:val="20"/>
        </w:rPr>
        <w:t>на ринку</w:t>
      </w:r>
      <w:proofErr w:type="gram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Forex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здійснюються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тільки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доларом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США.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Можна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також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проводити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єнами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проти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австралійського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>-курс (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cross-rates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) 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курс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обміну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двома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валютами, за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винятком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США. </w:t>
      </w:r>
    </w:p>
    <w:p w:rsidR="006E5BE6" w:rsidRPr="000F4593" w:rsidRDefault="006E5BE6" w:rsidP="000F459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До числа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найбільш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активних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міжнародних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ринків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конверсійних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операцій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щодо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крос-курсів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належать: фунт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стерлінгів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японської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єни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GBP/JPY,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євро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японської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єни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EUR/JPY,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євро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швейцарського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франка EUR/CHF. В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Україні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ринок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крос-курсів</w:t>
      </w:r>
      <w:proofErr w:type="spellEnd"/>
      <w:r w:rsidR="000F459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представлено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всього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кількома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валютами: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англійський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фунт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української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гривні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GBP/UAH,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карбованець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Росії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української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гривні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RUR/UAH,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євро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української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гривні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EUR/UAH. На жаль,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визначення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lastRenderedPageBreak/>
        <w:t>інших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валют до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гривні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в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Україні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не проводиться через те,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практично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всі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торговельні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контракти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укладаються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у </w:t>
      </w:r>
      <w:proofErr w:type="spellStart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>доларах</w:t>
      </w:r>
      <w:proofErr w:type="spellEnd"/>
      <w:r w:rsidRPr="006E5BE6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США.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Крос-курси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валют </w:t>
      </w: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вторинний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показник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Вони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розраховуються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через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основні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відносно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Деякі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екзотичні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можуть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узагалі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мати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одна з одною і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продаються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тільки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через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США.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Існують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три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способи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розрахунку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крос-курсів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з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урахуванням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того,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чи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є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валют до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прямим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чи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непрямим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• два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прямі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•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пряме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непряме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• два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зворотні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Розрахунок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для валют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прямим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США (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є базою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обох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валют).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Існує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правило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розрахунку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цього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-курсу: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 для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слід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розділити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сторону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виступає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крос-курсі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на сторону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крос-курсі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служить базою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 для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розділити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сторону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виступає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крос-курсі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на сторону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крос-курсі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служить базою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4019D" w:rsidRDefault="00E4019D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704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Розрахунок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для валют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прямим та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непрямим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котируванням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США, де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є базою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однієї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з валют.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Існує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правило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розрахунку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-курсу з прямим та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непрямим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>котируванням</w:t>
      </w:r>
      <w:proofErr w:type="spellEnd"/>
      <w:r w:rsidRPr="006E5B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 </w:t>
      </w:r>
    </w:p>
    <w:p w:rsidR="006E5BE6" w:rsidRPr="006E5BE6" w:rsidRDefault="006E5BE6" w:rsidP="006E5B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 для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лівої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-курсу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слід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помножити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доларових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курсів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E5BE6">
        <w:rPr>
          <w:rFonts w:ascii="Times New Roman" w:eastAsia="Times New Roman" w:hAnsi="Times New Roman" w:cs="Times New Roman"/>
          <w:sz w:val="28"/>
          <w:szCs w:val="20"/>
        </w:rPr>
        <w:t>цих</w:t>
      </w:r>
      <w:proofErr w:type="spellEnd"/>
      <w:r w:rsidRPr="006E5BE6">
        <w:rPr>
          <w:rFonts w:ascii="Times New Roman" w:eastAsia="Times New Roman" w:hAnsi="Times New Roman" w:cs="Times New Roman"/>
          <w:sz w:val="28"/>
          <w:szCs w:val="20"/>
        </w:rPr>
        <w:t xml:space="preserve"> валют; </w:t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- для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правої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слід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помножити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доларових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курсів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валют. </w:t>
      </w:r>
    </w:p>
    <w:p w:rsidR="0061045B" w:rsidRDefault="00E4019D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Розрахунок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-курсу для валют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непрямим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котируванням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долара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США, де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долар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є валютою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обох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валют. </w:t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даному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разі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існує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правило: </w:t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для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-курсу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слід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розділити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сторону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на сторону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- для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одержання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сторони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крос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-курсу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розділити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сторону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offer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базової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на сторону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bid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котирування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4019D" w:rsidRDefault="00E4019D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619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9D" w:rsidRDefault="00E4019D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1.5.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банків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банку (VP)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показник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характеризує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валютний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ризик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банку;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співвідношення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різниця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сумою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вимог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сумою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самій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285875" cy="352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Активи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позабалансові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вимоги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(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Av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)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обліковуються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певний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день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тобто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є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розпорядженні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банку на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цей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час,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банк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одержить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майбутньому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купівля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угодами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форвард,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ф’ючерс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опціон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майбутні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надходження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вигляді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доходу). 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Балансові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позабалансові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зобов’язання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(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Lv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)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це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банку на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певний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день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перед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клієнтами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контрагентами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банку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майбутньому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(продаж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угодами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форвард,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ф’ючерс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опціон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майбутні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збитки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61045B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відкрита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сума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вимог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певній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збігається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сумою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пасивів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)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цій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самій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Відкрита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містить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додатковий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ризик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разі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зміни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валютного курсу.</w:t>
      </w:r>
    </w:p>
    <w:p w:rsidR="00E4019D" w:rsidRDefault="00E4019D" w:rsidP="006104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133475" cy="285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Валютна позиція відкрита (чиста) довга </w:t>
      </w:r>
      <w:r w:rsidRPr="00E4019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– сума активів та позабалансових вимог перевищує суму балансових і позабалансових зобов’язань (пасивів) у кожній іноземній валюті. </w:t>
      </w:r>
    </w:p>
    <w:p w:rsidR="00E4019D" w:rsidRP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E4019D">
        <w:rPr>
          <w:rFonts w:ascii="Times New Roman" w:eastAsia="Times New Roman" w:hAnsi="Times New Roman" w:cs="Times New Roman"/>
          <w:sz w:val="28"/>
          <w:szCs w:val="20"/>
        </w:rPr>
        <w:t>Av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&gt;</w:t>
      </w:r>
      <w:proofErr w:type="gram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Lv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показник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позиції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має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знак «+» 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Банк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такою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позицією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може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зазнати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втрат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разі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підвищення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відносно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відкрита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(чиста) коротка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сума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перевищує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суму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вимог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кожній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79057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показник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позиції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має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знак «-». Банк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такою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позицією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може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зазнати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додаткових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втрат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разі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підвищення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курсу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валюти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відносно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національної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Валютна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позиція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>закрита</w:t>
      </w:r>
      <w:proofErr w:type="spellEnd"/>
      <w:r w:rsidRPr="00E401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– сума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вимог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збігається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сумою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позабалансових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зобов’язань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кожній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іноземній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4019D">
        <w:rPr>
          <w:rFonts w:ascii="Times New Roman" w:eastAsia="Times New Roman" w:hAnsi="Times New Roman" w:cs="Times New Roman"/>
          <w:sz w:val="28"/>
          <w:szCs w:val="20"/>
        </w:rPr>
        <w:t>валюті</w:t>
      </w:r>
      <w:proofErr w:type="spellEnd"/>
      <w:r w:rsidRPr="00E4019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4019D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1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6677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9D" w:rsidRDefault="007166D0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Укладено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за:</w:t>
      </w:r>
      <w:bookmarkStart w:id="0" w:name="_GoBack"/>
      <w:bookmarkEnd w:id="0"/>
    </w:p>
    <w:p w:rsidR="007166D0" w:rsidRPr="007166D0" w:rsidRDefault="00E4019D" w:rsidP="007166D0">
      <w:pPr>
        <w:numPr>
          <w:ilvl w:val="0"/>
          <w:numId w:val="1"/>
        </w:numPr>
        <w:tabs>
          <w:tab w:val="clear" w:pos="720"/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1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Бездітко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Ю. М. Валютне регулювання [Текст]: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Ю. М.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Бездітко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О.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Мануйленко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 А.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Херсон: </w:t>
      </w:r>
      <w:proofErr w:type="spellStart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Олді</w:t>
      </w:r>
      <w:proofErr w:type="spellEnd"/>
      <w:r w:rsidR="007166D0"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-плюс, 2009. – 272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Боринець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Я. Міжнародні валютно-фінансові відносини [Текст]: підручник / С. Я.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Боринець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5-те вид.,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й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Т-во «Знання», 2008. – 582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Валютне регулювання та контроль [Текст]: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О. В.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Боришкевич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ред.) [та ін.]. – К: КНЕУ, 2008. – 400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Віднійчук-Вірван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А. Міжнародні розрахунки і валютні операції [Текст]: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Л. А.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Віднійчук-Вірван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Л.: Магнолія, 2007. – 214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Глущенко С.В. Монетарна політика: теоретико-методологічні аспекти 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С. В. Глущенко. - К. 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НаУКМА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2017 .-64 с</w:t>
      </w:r>
      <w:r w:rsidRPr="00716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кредитно-розрахункові та валютні операції [текст] 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К. Ф. Ковальчук, Д . Є.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Козенков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Ю. Г. Момот. - К. : "Центр учбової літератури", 2013. - 150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Кривов’яз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Т. В. Міжнародні кредитно-розрахункові операції в банках [Текст]: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Т. В.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Кривов’яз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І.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Сивульський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2009. – 327 с.</w:t>
      </w:r>
    </w:p>
    <w:p w:rsidR="007166D0" w:rsidRPr="007166D0" w:rsidRDefault="007166D0" w:rsidP="007166D0">
      <w:pPr>
        <w:numPr>
          <w:ilvl w:val="0"/>
          <w:numId w:val="1"/>
        </w:numPr>
        <w:tabs>
          <w:tab w:val="left" w:pos="1116"/>
        </w:tabs>
        <w:spacing w:after="0" w:line="276" w:lineRule="auto"/>
        <w:ind w:left="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Руденко, Л. В. Міжнародні кредитно-розрахункові та валютні операції [Текст]: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Л. В. Руденко. – Вид. 2-ге,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71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ЦУЛ, 2007. – 632 с.</w:t>
      </w:r>
    </w:p>
    <w:p w:rsidR="00E4019D" w:rsidRPr="007166D0" w:rsidRDefault="00E4019D" w:rsidP="00E401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13DE" w:rsidRDefault="00C913DE"/>
    <w:sectPr w:rsidR="00C9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7CC3"/>
    <w:multiLevelType w:val="hybridMultilevel"/>
    <w:tmpl w:val="0304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3"/>
    <w:rsid w:val="000F4593"/>
    <w:rsid w:val="00464680"/>
    <w:rsid w:val="005E4333"/>
    <w:rsid w:val="0061045B"/>
    <w:rsid w:val="006E5BE6"/>
    <w:rsid w:val="007166D0"/>
    <w:rsid w:val="007915A9"/>
    <w:rsid w:val="007954C3"/>
    <w:rsid w:val="00807C1A"/>
    <w:rsid w:val="009E422C"/>
    <w:rsid w:val="00C913DE"/>
    <w:rsid w:val="00C961B7"/>
    <w:rsid w:val="00D8733F"/>
    <w:rsid w:val="00DC5341"/>
    <w:rsid w:val="00E4019D"/>
    <w:rsid w:val="00E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ADEB-D743-4E7F-A0B9-B123676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12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2018-03-05T03:04:00Z</dcterms:created>
  <dcterms:modified xsi:type="dcterms:W3CDTF">2021-02-17T09:16:00Z</dcterms:modified>
</cp:coreProperties>
</file>