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48" w:rsidRPr="00043548" w:rsidRDefault="00043548" w:rsidP="0004354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3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 1. Сутність та організаційні засади валютної політики</w:t>
      </w:r>
    </w:p>
    <w:p w:rsidR="00043548" w:rsidRPr="00043548" w:rsidRDefault="00043548" w:rsidP="0004354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  <w:r w:rsidRPr="00043548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>1.1. Поняття валютної політики, її цілі та елементи.</w:t>
      </w:r>
    </w:p>
    <w:p w:rsidR="00043548" w:rsidRPr="00043548" w:rsidRDefault="00043548" w:rsidP="0004354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  <w:r w:rsidRPr="00043548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>1.2. Інституційні засади реалізації валютної політики.</w:t>
      </w:r>
    </w:p>
    <w:p w:rsidR="00043548" w:rsidRPr="00043548" w:rsidRDefault="001F026A" w:rsidP="0004354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>1.3</w:t>
      </w:r>
      <w:r w:rsidR="00043548" w:rsidRPr="00043548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>. Поняття та елементи світової та національної валютних систем.</w:t>
      </w:r>
    </w:p>
    <w:p w:rsidR="00043548" w:rsidRPr="00043548" w:rsidRDefault="00043548" w:rsidP="00043548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>1.5</w:t>
      </w:r>
      <w:r w:rsidRPr="00043548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>. Етапи становлення світової валютної системи.</w:t>
      </w:r>
    </w:p>
    <w:p w:rsidR="00A421C8" w:rsidRDefault="00A421C8" w:rsidP="00A421C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</w:p>
    <w:p w:rsidR="00A421C8" w:rsidRPr="00A421C8" w:rsidRDefault="00A421C8" w:rsidP="00A421C8">
      <w:pPr>
        <w:spacing w:after="0" w:line="288" w:lineRule="auto"/>
        <w:ind w:left="720" w:firstLine="36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uk-UA" w:eastAsia="ru-RU"/>
        </w:rPr>
      </w:pPr>
      <w:r w:rsidRPr="00A421C8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uk-UA" w:eastAsia="ru-RU"/>
        </w:rPr>
        <w:t>1.1. </w:t>
      </w:r>
      <w:r w:rsidR="00043548" w:rsidRPr="00043548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uk-UA" w:eastAsia="ru-RU"/>
        </w:rPr>
        <w:t>Поняття валютної політики, її цілі та елементи</w:t>
      </w:r>
      <w:r w:rsidRPr="00A421C8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uk-UA" w:eastAsia="ru-RU"/>
        </w:rPr>
        <w:t>.</w:t>
      </w:r>
    </w:p>
    <w:p w:rsidR="00043548" w:rsidRPr="00390977" w:rsidRDefault="00043548" w:rsidP="0004354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ВАЛЮТНА ПОЛІТИКА (</w:t>
      </w:r>
      <w:proofErr w:type="spellStart"/>
      <w:r w:rsidRPr="00043548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foreign</w:t>
      </w:r>
      <w:proofErr w:type="spellEnd"/>
      <w:r w:rsidRPr="00390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43548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exchange</w:t>
      </w:r>
      <w:proofErr w:type="spellEnd"/>
      <w:r w:rsidRPr="00390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43548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policy</w:t>
      </w:r>
      <w:proofErr w:type="spellEnd"/>
      <w:r w:rsidRPr="00390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сукупність економічних, правових та організаційних заходів, що здійснюються центральним банком та іншими органами державного регулювання щодо діючих у державі валютних взаємовідносин між суб’єктами господарювання, домашніми господарствами та органами державного управління.</w:t>
      </w:r>
    </w:p>
    <w:p w:rsidR="00043548" w:rsidRPr="009D6D55" w:rsidRDefault="00043548" w:rsidP="0004354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Метою розробки та реалізації </w:t>
      </w:r>
      <w:proofErr w:type="spellStart"/>
      <w:r w:rsidRPr="009D6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В.п</w:t>
      </w:r>
      <w:proofErr w:type="spellEnd"/>
      <w:r w:rsidRPr="009D6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D6D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є підтримка макроекономічної рівноваги в країні, забезпечення стійкого економічного зростання, підтримка цінової стабільності, рівноваги платіжного балансу тощо.</w:t>
      </w:r>
    </w:p>
    <w:p w:rsidR="00390977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Усі цілі валютної політики поділяються на дві групи: стратегічні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тактичні.</w:t>
      </w:r>
    </w:p>
    <w:p w:rsidR="00390977" w:rsidRPr="00390977" w:rsidRDefault="00390977" w:rsidP="00390977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6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DB2397F" wp14:editId="7954825E">
            <wp:extent cx="5940425" cy="43630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77" w:rsidRPr="00390977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Вибір пріоритетів серед стратегічних і тактичних цілей валютної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політики визначається:</w:t>
      </w:r>
    </w:p>
    <w:p w:rsidR="00390977" w:rsidRPr="00390977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рівнем розвитку ринкових відносин;</w:t>
      </w:r>
    </w:p>
    <w:p w:rsidR="00390977" w:rsidRPr="00390977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участю країни у світовій економіці;</w:t>
      </w:r>
    </w:p>
    <w:p w:rsidR="00390977" w:rsidRPr="00390977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3) ступенем лібералізації валютних відносин;</w:t>
      </w:r>
    </w:p>
    <w:p w:rsidR="00390977" w:rsidRPr="00390977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4) рівнем розвитку кредитної системи.</w:t>
      </w:r>
    </w:p>
    <w:p w:rsidR="00390977" w:rsidRPr="00390977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Зміст валютної політики передбача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є виділення у її складі кількох </w:t>
      </w: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елементів.</w:t>
      </w:r>
    </w:p>
    <w:p w:rsidR="00390977" w:rsidRPr="00390977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Елементи валютної політики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це ті конкретні сфери валютних </w:t>
      </w: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відносин, на які спрямовуються регулятивні функції держави. Основними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елементами валютної політики є:</w:t>
      </w:r>
    </w:p>
    <w:p w:rsidR="00390977" w:rsidRPr="00390977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регулювання валютного курсу;</w:t>
      </w:r>
    </w:p>
    <w:p w:rsidR="00390977" w:rsidRPr="00390977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управління платіжним балансом країни;</w:t>
      </w:r>
    </w:p>
    <w:p w:rsidR="00390977" w:rsidRPr="00390977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3) валютні обмеження, тобто регламентація валютних операцій;</w:t>
      </w:r>
    </w:p>
    <w:p w:rsidR="00390977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9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4) управління офіційними золотовалютними резервами країни;</w:t>
      </w:r>
    </w:p>
    <w:p w:rsidR="006657E6" w:rsidRDefault="00A9614C" w:rsidP="00A421C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6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5743575" cy="448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77" w:rsidRDefault="00390977" w:rsidP="00A421C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0977" w:rsidRPr="00390977" w:rsidRDefault="00390977" w:rsidP="00390977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uk-UA" w:eastAsia="ru-RU"/>
        </w:rPr>
      </w:pPr>
      <w:r w:rsidRPr="00390977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uk-UA" w:eastAsia="ru-RU"/>
        </w:rPr>
        <w:lastRenderedPageBreak/>
        <w:t>1.2.  Інституційні засади реалізації валютної політики.</w:t>
      </w:r>
    </w:p>
    <w:p w:rsidR="00390977" w:rsidRPr="00AE3F5D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F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Інституційні засади валютної політики представляють собою систему</w:t>
      </w:r>
      <w:r w:rsidR="00AE3F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3F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суб‘єктів та об‘єктів валютного регулювання у їх тісній взаємодії та</w:t>
      </w:r>
      <w:r w:rsidR="00AE3F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3F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взаємозв’язку</w:t>
      </w:r>
    </w:p>
    <w:p w:rsidR="00390977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444B3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Валютне</w:t>
      </w:r>
      <w:proofErr w:type="spellEnd"/>
      <w:r w:rsidRPr="00E444B3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444B3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регулювання</w:t>
      </w:r>
      <w:proofErr w:type="spellEnd"/>
      <w:r w:rsidRPr="00E444B3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це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діяльність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Національного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банку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України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в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установлених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законом</w:t>
      </w:r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випадках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Кабінету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Міністрів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України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спрямована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регламентацію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здійснення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валютних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операцій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суб’єктами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валютних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операцій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уповноваженими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установами</w:t>
      </w:r>
      <w:proofErr w:type="spellEnd"/>
      <w:r w:rsidRPr="00E444B3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90977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spellStart"/>
      <w:r w:rsidRPr="00CE464A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уб’єкти</w:t>
      </w:r>
      <w:proofErr w:type="spellEnd"/>
      <w:r w:rsidRPr="00CE464A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валютних</w:t>
      </w:r>
      <w:proofErr w:type="spellEnd"/>
      <w:r w:rsidRPr="00CE464A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операцій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резиденти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 (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або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нерезиденти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які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здійснюють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валютні</w:t>
      </w:r>
      <w:proofErr w:type="spellEnd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464A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операції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D6D55" w:rsidRDefault="009D6D55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уповноважені установи</w:t>
      </w:r>
      <w:r w:rsidRPr="009D6D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банки, небанківські фінансові установи та оператори поштового зв’язку, які отримали ліцензію Національного банку України</w:t>
      </w:r>
    </w:p>
    <w:p w:rsidR="00390977" w:rsidRPr="009D0832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0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Валютна операція</w:t>
      </w:r>
      <w:r w:rsidRPr="009D08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операція, що має хоча б одну з таких ознак:</w:t>
      </w:r>
    </w:p>
    <w:p w:rsidR="00390977" w:rsidRPr="009D0832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08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а) операція, пов’язана з переходом права власності на валютні цінності та (або) права вимоги і пов’язаних з цим зобов’язань, предметом яких є валютні цінності, між резидентами, нерезидентами, а також резидентами і нерезидентами, крім операцій, що здійснюються між резидентами, якщо такими валютними цінностями є національна валюта;</w:t>
      </w:r>
    </w:p>
    <w:p w:rsidR="00390977" w:rsidRPr="009D0832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08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б) торгівля валютними цінностями;</w:t>
      </w:r>
    </w:p>
    <w:p w:rsidR="00390977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08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в) транскордонний переказ валютних цінностей та транскордонне переміщення валютних цінностей;</w:t>
      </w:r>
    </w:p>
    <w:p w:rsidR="00390977" w:rsidRPr="00CE464A" w:rsidRDefault="00390977" w:rsidP="0039097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0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Валютні цінності</w:t>
      </w:r>
      <w:r w:rsidRPr="009D08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національна валюта (гривня), іноземна валюта та банківські метали</w:t>
      </w:r>
      <w:r w:rsidR="00AE3F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F2E25" w:rsidRPr="00AE3F5D" w:rsidRDefault="003F2E25" w:rsidP="00A421C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Об’єктами </w:t>
      </w:r>
      <w:r w:rsidRPr="00AE3F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валютного регулювання є процеси і явища валютних відносин: валютний курс національної грошової одиниці, операції з валютою і валютними цінностями.</w:t>
      </w:r>
    </w:p>
    <w:p w:rsidR="00AE3F5D" w:rsidRDefault="00497D0C" w:rsidP="00A421C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7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AE3F5D" w:rsidRPr="00497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алютний нагляд</w:t>
      </w:r>
      <w:r w:rsidR="00AE3F5D" w:rsidRPr="00AE3F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система заходів, спрямованих на забезпечення дотримання суб’єктами валютних операцій і уповноваженими установами валютного законодавства</w:t>
      </w:r>
    </w:p>
    <w:p w:rsidR="00B934A7" w:rsidRPr="00B934A7" w:rsidRDefault="00B934A7" w:rsidP="003E5435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34A7" w:rsidRPr="00B934A7" w:rsidRDefault="00B934A7" w:rsidP="00B934A7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uk-UA" w:eastAsia="ru-RU"/>
        </w:rPr>
      </w:pPr>
      <w:r w:rsidRPr="00B934A7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uk-UA" w:eastAsia="ru-RU"/>
        </w:rPr>
        <w:t>1.3. Інститути, які здійснюють валютне регулювання і валютний контроль в Україні і їх повноваження.</w:t>
      </w:r>
    </w:p>
    <w:p w:rsidR="00B934A7" w:rsidRPr="00B934A7" w:rsidRDefault="00B934A7" w:rsidP="003E5435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1FD1" w:rsidRPr="00051FD1" w:rsidRDefault="00051FD1" w:rsidP="006657E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136"/>
      <w:bookmarkEnd w:id="0"/>
      <w:proofErr w:type="spellStart"/>
      <w:r w:rsidRPr="00051FD1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Повноваження</w:t>
      </w:r>
      <w:proofErr w:type="spellEnd"/>
      <w:r w:rsidRPr="00051FD1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НБУ </w:t>
      </w:r>
      <w:r w:rsidRPr="00051FD1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proofErr w:type="spellStart"/>
      <w:r w:rsidRPr="00051FD1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сфері</w:t>
      </w:r>
      <w:proofErr w:type="spellEnd"/>
      <w:r w:rsidRPr="00051FD1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валютного </w:t>
      </w:r>
      <w:proofErr w:type="spellStart"/>
      <w:r w:rsidRPr="00051FD1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регулювання</w:t>
      </w:r>
      <w:proofErr w:type="spellEnd"/>
      <w:r w:rsidRPr="00051FD1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нагляду</w:t>
      </w:r>
    </w:p>
    <w:p w:rsidR="00051FD1" w:rsidRDefault="00051FD1" w:rsidP="006657E6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Національний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діє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уповноважена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державна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установа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застосуванні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валютне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регулювання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валютний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нагляд.</w:t>
      </w:r>
    </w:p>
    <w:p w:rsidR="00051FD1" w:rsidRDefault="00051FD1" w:rsidP="006657E6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компетенції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Національного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банку у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сфері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валютного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регулювання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нагляду</w:t>
      </w:r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належать:</w:t>
      </w:r>
    </w:p>
    <w:p w:rsidR="00051FD1" w:rsidRDefault="00051FD1" w:rsidP="006657E6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видання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нормативно-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правових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актів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валютних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операцій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51FD1" w:rsidRDefault="00051FD1" w:rsidP="006657E6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видача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переоформлення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зупинення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поновлення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відкликання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анулювання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ліцензій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валютних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операцій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валютного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нагляду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Закону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"Про валюту і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валютні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операції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";</w:t>
      </w:r>
    </w:p>
    <w:p w:rsidR="00051FD1" w:rsidRDefault="00051FD1" w:rsidP="006657E6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лімітів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відкритої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валютної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позиції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банків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купують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продають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іноземну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валюту;</w:t>
      </w:r>
    </w:p>
    <w:p w:rsidR="00051FD1" w:rsidRPr="00051FD1" w:rsidRDefault="00051FD1" w:rsidP="00051FD1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запровадження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Закону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"Про валюту і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валютні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операції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";</w:t>
      </w:r>
    </w:p>
    <w:p w:rsidR="00051FD1" w:rsidRDefault="00051FD1" w:rsidP="00051FD1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застосовування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порушення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валютного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банків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небанківських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фінансових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операторів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поштового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зв’язку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отримали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ліцензію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валютних</w:t>
      </w:r>
      <w:proofErr w:type="spellEnd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51FD1" w:rsidRPr="00D1696E" w:rsidRDefault="00051FD1" w:rsidP="00051FD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D1696E">
        <w:rPr>
          <w:color w:val="000000"/>
          <w:sz w:val="28"/>
          <w:szCs w:val="28"/>
        </w:rPr>
        <w:t>Національний</w:t>
      </w:r>
      <w:proofErr w:type="spellEnd"/>
      <w:r w:rsidRPr="00D1696E">
        <w:rPr>
          <w:color w:val="000000"/>
          <w:sz w:val="28"/>
          <w:szCs w:val="28"/>
        </w:rPr>
        <w:t xml:space="preserve"> банк проводить </w:t>
      </w:r>
      <w:proofErr w:type="spellStart"/>
      <w:r w:rsidRPr="00D1696E">
        <w:rPr>
          <w:color w:val="000000"/>
          <w:sz w:val="28"/>
          <w:szCs w:val="28"/>
        </w:rPr>
        <w:t>дисконтну</w:t>
      </w:r>
      <w:proofErr w:type="spellEnd"/>
      <w:r w:rsidRPr="00D1696E">
        <w:rPr>
          <w:color w:val="000000"/>
          <w:sz w:val="28"/>
          <w:szCs w:val="28"/>
        </w:rPr>
        <w:t xml:space="preserve"> та </w:t>
      </w:r>
      <w:proofErr w:type="spellStart"/>
      <w:r w:rsidRPr="00D1696E">
        <w:rPr>
          <w:color w:val="000000"/>
          <w:sz w:val="28"/>
          <w:szCs w:val="28"/>
        </w:rPr>
        <w:t>девізну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валютну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політику</w:t>
      </w:r>
      <w:proofErr w:type="spellEnd"/>
      <w:r w:rsidRPr="00D1696E">
        <w:rPr>
          <w:color w:val="000000"/>
          <w:sz w:val="28"/>
          <w:szCs w:val="28"/>
        </w:rPr>
        <w:t xml:space="preserve"> і </w:t>
      </w:r>
      <w:proofErr w:type="spellStart"/>
      <w:r w:rsidRPr="00D1696E">
        <w:rPr>
          <w:color w:val="000000"/>
          <w:sz w:val="28"/>
          <w:szCs w:val="28"/>
        </w:rPr>
        <w:t>застосовує</w:t>
      </w:r>
      <w:proofErr w:type="spellEnd"/>
      <w:r w:rsidRPr="00D1696E">
        <w:rPr>
          <w:color w:val="000000"/>
          <w:sz w:val="28"/>
          <w:szCs w:val="28"/>
        </w:rPr>
        <w:t xml:space="preserve"> в </w:t>
      </w:r>
      <w:proofErr w:type="spellStart"/>
      <w:r w:rsidRPr="00D1696E">
        <w:rPr>
          <w:color w:val="000000"/>
          <w:sz w:val="28"/>
          <w:szCs w:val="28"/>
        </w:rPr>
        <w:t>необхідних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випадках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валютні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обмеження</w:t>
      </w:r>
      <w:proofErr w:type="spellEnd"/>
      <w:r w:rsidRPr="00D1696E">
        <w:rPr>
          <w:color w:val="000000"/>
          <w:sz w:val="28"/>
          <w:szCs w:val="28"/>
        </w:rPr>
        <w:t>.</w:t>
      </w:r>
    </w:p>
    <w:p w:rsidR="00051FD1" w:rsidRPr="00D1696E" w:rsidRDefault="00051FD1" w:rsidP="00051FD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" w:name="n549"/>
      <w:bookmarkEnd w:id="1"/>
      <w:proofErr w:type="spellStart"/>
      <w:r w:rsidRPr="00D1696E">
        <w:rPr>
          <w:color w:val="000000"/>
          <w:sz w:val="28"/>
          <w:szCs w:val="28"/>
        </w:rPr>
        <w:t>Національний</w:t>
      </w:r>
      <w:proofErr w:type="spellEnd"/>
      <w:r w:rsidRPr="00D1696E">
        <w:rPr>
          <w:color w:val="000000"/>
          <w:sz w:val="28"/>
          <w:szCs w:val="28"/>
        </w:rPr>
        <w:t xml:space="preserve"> банк </w:t>
      </w:r>
      <w:proofErr w:type="spellStart"/>
      <w:r w:rsidRPr="00D1696E">
        <w:rPr>
          <w:color w:val="000000"/>
          <w:sz w:val="28"/>
          <w:szCs w:val="28"/>
        </w:rPr>
        <w:t>здійснює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дисконтну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валютну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політику</w:t>
      </w:r>
      <w:proofErr w:type="spellEnd"/>
      <w:r w:rsidRPr="00D1696E">
        <w:rPr>
          <w:color w:val="000000"/>
          <w:sz w:val="28"/>
          <w:szCs w:val="28"/>
        </w:rPr>
        <w:t xml:space="preserve">, </w:t>
      </w:r>
      <w:proofErr w:type="spellStart"/>
      <w:r w:rsidRPr="00D1696E">
        <w:rPr>
          <w:color w:val="000000"/>
          <w:sz w:val="28"/>
          <w:szCs w:val="28"/>
        </w:rPr>
        <w:t>змінюючи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облікову</w:t>
      </w:r>
      <w:proofErr w:type="spellEnd"/>
      <w:r w:rsidRPr="00D1696E">
        <w:rPr>
          <w:color w:val="000000"/>
          <w:sz w:val="28"/>
          <w:szCs w:val="28"/>
        </w:rPr>
        <w:t xml:space="preserve"> ставку </w:t>
      </w:r>
      <w:proofErr w:type="spellStart"/>
      <w:r w:rsidRPr="00D1696E">
        <w:rPr>
          <w:color w:val="000000"/>
          <w:sz w:val="28"/>
          <w:szCs w:val="28"/>
        </w:rPr>
        <w:t>Національного</w:t>
      </w:r>
      <w:proofErr w:type="spellEnd"/>
      <w:r w:rsidRPr="00D1696E">
        <w:rPr>
          <w:color w:val="000000"/>
          <w:sz w:val="28"/>
          <w:szCs w:val="28"/>
        </w:rPr>
        <w:t xml:space="preserve"> банку для </w:t>
      </w:r>
      <w:proofErr w:type="spellStart"/>
      <w:r w:rsidRPr="00D1696E">
        <w:rPr>
          <w:color w:val="000000"/>
          <w:sz w:val="28"/>
          <w:szCs w:val="28"/>
        </w:rPr>
        <w:t>регулювання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руху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капіталу</w:t>
      </w:r>
      <w:proofErr w:type="spellEnd"/>
      <w:r w:rsidRPr="00D1696E">
        <w:rPr>
          <w:color w:val="000000"/>
          <w:sz w:val="28"/>
          <w:szCs w:val="28"/>
        </w:rPr>
        <w:t xml:space="preserve"> та </w:t>
      </w:r>
      <w:proofErr w:type="spellStart"/>
      <w:r w:rsidRPr="00D1696E">
        <w:rPr>
          <w:color w:val="000000"/>
          <w:sz w:val="28"/>
          <w:szCs w:val="28"/>
        </w:rPr>
        <w:t>балансування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платіжних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зобов'язань</w:t>
      </w:r>
      <w:proofErr w:type="spellEnd"/>
      <w:r w:rsidRPr="00D1696E">
        <w:rPr>
          <w:color w:val="000000"/>
          <w:sz w:val="28"/>
          <w:szCs w:val="28"/>
        </w:rPr>
        <w:t xml:space="preserve">, а </w:t>
      </w:r>
      <w:proofErr w:type="spellStart"/>
      <w:r w:rsidRPr="00D1696E">
        <w:rPr>
          <w:color w:val="000000"/>
          <w:sz w:val="28"/>
          <w:szCs w:val="28"/>
        </w:rPr>
        <w:t>також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коригування</w:t>
      </w:r>
      <w:proofErr w:type="spellEnd"/>
      <w:r w:rsidRPr="00D1696E">
        <w:rPr>
          <w:color w:val="000000"/>
          <w:sz w:val="28"/>
          <w:szCs w:val="28"/>
        </w:rPr>
        <w:t xml:space="preserve"> курсу </w:t>
      </w:r>
      <w:proofErr w:type="spellStart"/>
      <w:r w:rsidRPr="00D1696E">
        <w:rPr>
          <w:color w:val="000000"/>
          <w:sz w:val="28"/>
          <w:szCs w:val="28"/>
        </w:rPr>
        <w:t>грошової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одиниці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України</w:t>
      </w:r>
      <w:proofErr w:type="spellEnd"/>
      <w:r w:rsidRPr="00D1696E">
        <w:rPr>
          <w:color w:val="000000"/>
          <w:sz w:val="28"/>
          <w:szCs w:val="28"/>
        </w:rPr>
        <w:t xml:space="preserve"> до </w:t>
      </w:r>
      <w:proofErr w:type="spellStart"/>
      <w:r w:rsidRPr="00D1696E">
        <w:rPr>
          <w:color w:val="000000"/>
          <w:sz w:val="28"/>
          <w:szCs w:val="28"/>
        </w:rPr>
        <w:t>іноземних</w:t>
      </w:r>
      <w:proofErr w:type="spellEnd"/>
      <w:r w:rsidRPr="00D1696E">
        <w:rPr>
          <w:color w:val="000000"/>
          <w:sz w:val="28"/>
          <w:szCs w:val="28"/>
        </w:rPr>
        <w:t xml:space="preserve"> валют.</w:t>
      </w:r>
    </w:p>
    <w:p w:rsidR="00051FD1" w:rsidRPr="00D1696E" w:rsidRDefault="00051FD1" w:rsidP="00051FD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" w:name="n550"/>
      <w:bookmarkEnd w:id="2"/>
      <w:proofErr w:type="spellStart"/>
      <w:r w:rsidRPr="00D1696E">
        <w:rPr>
          <w:color w:val="000000"/>
          <w:sz w:val="28"/>
          <w:szCs w:val="28"/>
        </w:rPr>
        <w:t>Національний</w:t>
      </w:r>
      <w:proofErr w:type="spellEnd"/>
      <w:r w:rsidRPr="00D1696E">
        <w:rPr>
          <w:color w:val="000000"/>
          <w:sz w:val="28"/>
          <w:szCs w:val="28"/>
        </w:rPr>
        <w:t xml:space="preserve"> банк </w:t>
      </w:r>
      <w:proofErr w:type="spellStart"/>
      <w:r w:rsidRPr="00D1696E">
        <w:rPr>
          <w:color w:val="000000"/>
          <w:sz w:val="28"/>
          <w:szCs w:val="28"/>
        </w:rPr>
        <w:t>здійснює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девізну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валютну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політику</w:t>
      </w:r>
      <w:proofErr w:type="spellEnd"/>
      <w:r w:rsidRPr="00D1696E">
        <w:rPr>
          <w:color w:val="000000"/>
          <w:sz w:val="28"/>
          <w:szCs w:val="28"/>
        </w:rPr>
        <w:t xml:space="preserve"> на </w:t>
      </w:r>
      <w:proofErr w:type="spellStart"/>
      <w:r w:rsidRPr="00D1696E">
        <w:rPr>
          <w:color w:val="000000"/>
          <w:sz w:val="28"/>
          <w:szCs w:val="28"/>
        </w:rPr>
        <w:t>підставі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регулювання</w:t>
      </w:r>
      <w:proofErr w:type="spellEnd"/>
      <w:r w:rsidRPr="00D1696E">
        <w:rPr>
          <w:color w:val="000000"/>
          <w:sz w:val="28"/>
          <w:szCs w:val="28"/>
        </w:rPr>
        <w:t xml:space="preserve"> курсу </w:t>
      </w:r>
      <w:proofErr w:type="spellStart"/>
      <w:r w:rsidRPr="00D1696E">
        <w:rPr>
          <w:color w:val="000000"/>
          <w:sz w:val="28"/>
          <w:szCs w:val="28"/>
        </w:rPr>
        <w:t>грошової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одиниці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України</w:t>
      </w:r>
      <w:proofErr w:type="spellEnd"/>
      <w:r w:rsidRPr="00D1696E">
        <w:rPr>
          <w:color w:val="000000"/>
          <w:sz w:val="28"/>
          <w:szCs w:val="28"/>
        </w:rPr>
        <w:t xml:space="preserve"> до </w:t>
      </w:r>
      <w:proofErr w:type="spellStart"/>
      <w:r w:rsidRPr="00D1696E">
        <w:rPr>
          <w:color w:val="000000"/>
          <w:sz w:val="28"/>
          <w:szCs w:val="28"/>
        </w:rPr>
        <w:t>іноземних</w:t>
      </w:r>
      <w:proofErr w:type="spellEnd"/>
      <w:r w:rsidRPr="00D1696E">
        <w:rPr>
          <w:color w:val="000000"/>
          <w:sz w:val="28"/>
          <w:szCs w:val="28"/>
        </w:rPr>
        <w:t xml:space="preserve"> валют шляхом </w:t>
      </w:r>
      <w:proofErr w:type="spellStart"/>
      <w:r w:rsidRPr="00D1696E">
        <w:rPr>
          <w:color w:val="000000"/>
          <w:sz w:val="28"/>
          <w:szCs w:val="28"/>
        </w:rPr>
        <w:t>купівлі</w:t>
      </w:r>
      <w:proofErr w:type="spellEnd"/>
      <w:r w:rsidRPr="00D1696E">
        <w:rPr>
          <w:color w:val="000000"/>
          <w:sz w:val="28"/>
          <w:szCs w:val="28"/>
        </w:rPr>
        <w:t xml:space="preserve"> та продажу </w:t>
      </w:r>
      <w:proofErr w:type="spellStart"/>
      <w:r w:rsidRPr="00D1696E">
        <w:rPr>
          <w:color w:val="000000"/>
          <w:sz w:val="28"/>
          <w:szCs w:val="28"/>
        </w:rPr>
        <w:t>іноземної</w:t>
      </w:r>
      <w:proofErr w:type="spellEnd"/>
      <w:r w:rsidRPr="00D1696E">
        <w:rPr>
          <w:color w:val="000000"/>
          <w:sz w:val="28"/>
          <w:szCs w:val="28"/>
        </w:rPr>
        <w:t xml:space="preserve"> </w:t>
      </w:r>
      <w:proofErr w:type="spellStart"/>
      <w:r w:rsidRPr="00D1696E">
        <w:rPr>
          <w:color w:val="000000"/>
          <w:sz w:val="28"/>
          <w:szCs w:val="28"/>
        </w:rPr>
        <w:t>валюти</w:t>
      </w:r>
      <w:proofErr w:type="spellEnd"/>
      <w:r w:rsidRPr="00D1696E">
        <w:rPr>
          <w:color w:val="000000"/>
          <w:sz w:val="28"/>
          <w:szCs w:val="28"/>
        </w:rPr>
        <w:t xml:space="preserve"> на </w:t>
      </w:r>
      <w:proofErr w:type="spellStart"/>
      <w:r w:rsidRPr="00D1696E">
        <w:rPr>
          <w:color w:val="000000"/>
          <w:sz w:val="28"/>
          <w:szCs w:val="28"/>
        </w:rPr>
        <w:t>фінансових</w:t>
      </w:r>
      <w:proofErr w:type="spellEnd"/>
      <w:r w:rsidRPr="00D1696E">
        <w:rPr>
          <w:color w:val="000000"/>
          <w:sz w:val="28"/>
          <w:szCs w:val="28"/>
        </w:rPr>
        <w:t xml:space="preserve"> ринках.</w:t>
      </w:r>
    </w:p>
    <w:p w:rsidR="006657E6" w:rsidRPr="00D1696E" w:rsidRDefault="006657E6" w:rsidP="00E13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1696E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Кабінет</w:t>
      </w:r>
      <w:proofErr w:type="spellEnd"/>
      <w:r w:rsidRPr="00D1696E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1696E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Міністрів</w:t>
      </w:r>
      <w:proofErr w:type="spellEnd"/>
      <w:r w:rsidRPr="00D1696E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1696E">
        <w:rPr>
          <w:rFonts w:ascii="Times New Roman" w:eastAsia="Times New Roman" w:hAnsi="Times New Roman" w:cs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України</w:t>
      </w:r>
      <w:proofErr w:type="spellEnd"/>
      <w:r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proofErr w:type="spellStart"/>
      <w:r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сфері</w:t>
      </w:r>
      <w:proofErr w:type="spellEnd"/>
      <w:r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валютного </w:t>
      </w:r>
      <w:proofErr w:type="spellStart"/>
      <w:r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регулювання</w:t>
      </w:r>
      <w:proofErr w:type="spellEnd"/>
      <w:r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6657E6" w:rsidRPr="00D1696E" w:rsidRDefault="00D23B72" w:rsidP="00E13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o137"/>
      <w:bookmarkEnd w:id="3"/>
      <w:r w:rsidRPr="00D1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визначає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подає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затвердження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Верховної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Ради 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України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ліміт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зовнішнього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державного боргу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України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</w:p>
    <w:p w:rsidR="006657E6" w:rsidRPr="00D1696E" w:rsidRDefault="00D23B72" w:rsidP="00E13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o138"/>
      <w:bookmarkEnd w:id="4"/>
      <w:r w:rsidRPr="00D1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бере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участь у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складанні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платіжного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балансу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України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</w:p>
    <w:p w:rsidR="006657E6" w:rsidRPr="00D1696E" w:rsidRDefault="00D23B72" w:rsidP="00E13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" w:name="o139"/>
      <w:bookmarkEnd w:id="5"/>
      <w:r w:rsidRPr="00D1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забезпечує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виконання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бюджетної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та 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податкової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політики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в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частині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що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стосується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руху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валютних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цінностей</w:t>
      </w:r>
      <w:proofErr w:type="spellEnd"/>
      <w:r w:rsidR="006657E6" w:rsidRPr="00D1696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264B55" w:rsidRPr="00D1696E" w:rsidRDefault="00264B55" w:rsidP="00264B55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o140"/>
      <w:bookmarkStart w:id="7" w:name="o141"/>
      <w:bookmarkStart w:id="8" w:name="o142"/>
      <w:bookmarkEnd w:id="6"/>
      <w:bookmarkEnd w:id="7"/>
      <w:bookmarkEnd w:id="8"/>
      <w:r w:rsidRPr="00D1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-бере участь у складанні платіжного балансу та організовує роботу із складання зовнішньоторговельного балансу України, забезпечує раціональне використання державних валютних коштів;</w:t>
      </w:r>
    </w:p>
    <w:p w:rsidR="008F1448" w:rsidRPr="00D1696E" w:rsidRDefault="00264B55" w:rsidP="00264B55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9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виступає гарантом щодо позик, які у визначених законом про Державний бюджет України межах надаються іноземними державами, банками, міжнародними фінансовими організаціями, а в інших випадках - відповідно до міжнародних договорів України, згода на обов’язковість яких надана Верховною Радою України;</w:t>
      </w:r>
    </w:p>
    <w:p w:rsidR="00D1696E" w:rsidRDefault="00D1696E" w:rsidP="00B934A7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uk-UA" w:eastAsia="ru-RU"/>
        </w:rPr>
      </w:pPr>
    </w:p>
    <w:p w:rsidR="00B934A7" w:rsidRPr="00B934A7" w:rsidRDefault="00B934A7" w:rsidP="00B934A7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uk-UA" w:eastAsia="ru-RU"/>
        </w:rPr>
      </w:pPr>
      <w:r w:rsidRPr="00B934A7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uk-UA" w:eastAsia="ru-RU"/>
        </w:rPr>
        <w:t>1.2. Поняття та елементи світової та національної валютних систем.</w:t>
      </w:r>
    </w:p>
    <w:p w:rsidR="007B7365" w:rsidRPr="00D1696E" w:rsidRDefault="007B7365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Валютна система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організаційно-правова форма реалізації валютних відносин у межах певного економічного простору. Ці межі збігаються з межами відповідних валютних ринків. Тому валютні системи теж поділяються на три види: національні, міжнародні (регіональні) і світову. Збіг меж окремих валютних ринків і валютних систем забезпечує їх внутрішню єдність: ринок створює економічну основу для системи, а система є механізмом забезпечення функціонування і регулювання ринку.</w:t>
      </w:r>
    </w:p>
    <w:p w:rsidR="007B7365" w:rsidRPr="00D1696E" w:rsidRDefault="007B7365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Національні валютні системи базуються на національних грошах і, по суті, є складовими грошових систем окремих країн. Як і ці останні, вони визначаються загальнодержавним законодавством.</w:t>
      </w:r>
    </w:p>
    <w:p w:rsidR="007B7365" w:rsidRPr="00D1696E" w:rsidRDefault="007B7365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Міжнародні та світова валютні системи ґрунтуються на багатьох валютах провідних країн світу та міжнародних (колективних) валютах (євро, СДР та ін.) і формуються на підставі міждержавних угод та світових традицій.</w:t>
      </w:r>
    </w:p>
    <w:p w:rsidR="007B7365" w:rsidRPr="00D1696E" w:rsidRDefault="007B7365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організаційно-правове явище </w:t>
      </w:r>
      <w:r w:rsidRPr="00D1696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національна валютна система</w:t>
      </w:r>
      <w:r w:rsidRPr="00D169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складається з цілого ряду елементів. Основними з них є:</w:t>
      </w:r>
    </w:p>
    <w:p w:rsidR="007B7365" w:rsidRPr="00D1696E" w:rsidRDefault="007B7365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Pr="00D1696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Назва, </w:t>
      </w:r>
      <w:proofErr w:type="spellStart"/>
      <w:r w:rsidRPr="00D1696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купюрність</w:t>
      </w:r>
      <w:proofErr w:type="spellEnd"/>
      <w:r w:rsidRPr="00D1696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характер емісії національної валюти. 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Україні національна валюта називається гривнею.</w:t>
      </w:r>
    </w:p>
    <w:p w:rsidR="007B7365" w:rsidRPr="00D1696E" w:rsidRDefault="007B7365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2. </w:t>
      </w:r>
      <w:r w:rsidRPr="00D1696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Ступінь конвертованості національної валюти</w:t>
      </w: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. Українська національна валюта гривня є частково вільно конвертованою. Верховна Рада України ратифікувала угоду про приєднання до VIII статті Статуту МВФ, якою передбачено вільну конвертованість національної валюти в іноземну з операцій за поточними </w:t>
      </w:r>
      <w:proofErr w:type="spellStart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платежами</w:t>
      </w:r>
      <w:proofErr w:type="spellEnd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</w:t>
      </w:r>
    </w:p>
    <w:p w:rsidR="007B7365" w:rsidRPr="00D1696E" w:rsidRDefault="007B7365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3. </w:t>
      </w:r>
      <w:r w:rsidRPr="00D1696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Режим курсу національної валюти</w:t>
      </w: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. Законодавче визначення </w:t>
      </w:r>
      <w:r w:rsidRPr="00D1696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режиму валютного курсу Верховна Рада України поклала на Кабі</w:t>
      </w: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нет Міністрів та НБУ. Режим валютного курсу поступово змінювався від жорсткої фіксації через регульоване плавання (у межах «валютного коридору») до вільного плавання, що було введене в 2000 р.</w:t>
      </w:r>
    </w:p>
    <w:p w:rsidR="007B7365" w:rsidRPr="00D1696E" w:rsidRDefault="007B7365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Pr="00D1696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Режим використання іноземної валюти на національній території в загальному економічному обороті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Звичайно цей режим зводиться до повної заборони, або до заборони з деякими винятками для окремих видів платежів. 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 Україні заборона на використання інвалюти у внутрішніх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платежах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була введена лише в 1995 р., хоч за деякими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платежами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дозволено її використання й зараз: надання інвалютних позичок банками, оплата послуг, пов’язаних із зовнішньоекономічною діяльністю (оплата авіаквитків на міжнародних авіалініях, оплата митних послуг тощо) та в інших, визначених НБУ випадках.</w:t>
      </w:r>
    </w:p>
    <w:p w:rsidR="007B7365" w:rsidRPr="00D1696E" w:rsidRDefault="007B7365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Pr="00D1696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Режим формування і використання державних золотовалютних резервів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Він установлюється для забезпечення стабільності національних грошей і може проявлятися двояко:</w:t>
      </w:r>
    </w:p>
    <w:p w:rsidR="007B7365" w:rsidRPr="00D1696E" w:rsidRDefault="007B7365" w:rsidP="007B7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формі жорсткої прив’язки національної валюти до певної іноземної (національної чи колективної) з установленням фіксованого курсу її до цієї валюти. За такого режиму іноземна валюта перетворюється в забезпечення національних грошей, тобто державні запаси її повинні на 100% забезпечувати наявну в обороті масу національних грошей. Емісія останніх здійснюється тільки через купівлю цієї валюти на внутрішньому ринку, а вилучення з обороту – через її продаж. За такого режиму курс національної валюти «плаває» разом з курсом базової іноземної валюти, а центральний банк країни втрачає окремі свої функції, зокрема функцію кредитора останньої інстанції, певною мірою втрачає свій статус органу монетарної політики. Не випадково грошову систему за такого режиму у світовій практиці називають системою «валютного бюро», а центральний банк стає органом такого бюро;</w:t>
      </w:r>
    </w:p>
    <w:p w:rsidR="007B7365" w:rsidRPr="00D1696E" w:rsidRDefault="007B7365" w:rsidP="007B7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формі використання валютних запасів для підтримання рівноваги на національному валютному ринку з метою стабілізації зовнішньої і внутрішньої вартості грошей при збереженні незалежності центрального банку в проведенні національної монетарної політики та виконанні ним усіх традиційних функцій. Україна ввела якраз цей режим використання золотовалютних резервів.</w:t>
      </w:r>
    </w:p>
    <w:p w:rsidR="007B7365" w:rsidRPr="00D1696E" w:rsidRDefault="007B7365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6. </w:t>
      </w:r>
      <w:r w:rsidRPr="00D1696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>Режим валютних обмежень, які вводяться чи скасовуються законодавчим органом залежно від економічної ситуації в країні</w:t>
      </w:r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 Якщо економіка розбалансована, національні гроші не стабільні, в країні вводяться певні заборони, обмеження, лімітування тощо на операції з іноземною валютою. Так, в Україні в період загострення економічної і фінансової кризи було введено обмеження на відкриття юридичними особами рахунків в іноземних банках і заборонено переведення на них інвалюти; експортерам заборонялося вільно розпоряджатися своєю валютною виручкою, і вони зобов’язані були повністю чи частково продавати її на валютному ринку тощо. У міру поліпшення економічної ситуації подібні об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меження послаблювалися чи зовсім скасовувалися. Розвинуті</w:t>
      </w:r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країни в останні десятиліття взагалі скасували валютні обмеження.</w:t>
      </w:r>
    </w:p>
    <w:p w:rsidR="007B7365" w:rsidRPr="00D1696E" w:rsidRDefault="007B7365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7. </w:t>
      </w:r>
      <w:r w:rsidRPr="00D1696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Регламентація внутрішнього валютного ринку і ринку дорогоцінних металів</w:t>
      </w: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. Нормативними актами визначається в Україні порядок функціонування біржового ринку, міжбанківського валютного ринку; центральний банк здійснює ліцензування діяльності комерційних банків з валютних операцій, видає дозволи юридичним особам-резидентам на відкриття рахунків в іноземних банках, контролює надходження виручки експортерів у країну. Регламентується режим поточних і строкових вкладів в іноземній валюті. До 1998 р. в Україні не </w:t>
      </w: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lastRenderedPageBreak/>
        <w:t>дозволялось здійснювати на ринку операції з дорогоцінними металами. У міру оздоровлення економічної ситуації в Україні режим валютного ринку стає все більш ліберальним.</w:t>
      </w:r>
    </w:p>
    <w:p w:rsidR="007B7365" w:rsidRPr="00D1696E" w:rsidRDefault="007B7365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8. </w:t>
      </w:r>
      <w:r w:rsidRPr="00D1696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 w:eastAsia="ru-RU"/>
        </w:rPr>
        <w:t>Регламентація міжнародних розрахунків та міжнародних кредитних відносин</w:t>
      </w:r>
      <w:r w:rsidRPr="00D1696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. Нормативними актами України чітко регламентується: порядок відкриття в наших банках кореспондентських рахунків іноземних банків і, навпаки, порядок здійснення платежів за окремими видами комерційних операцій та форм розрахунків; порядок переказування іноземної валюти за кордон фізичними особами тощо.</w:t>
      </w:r>
    </w:p>
    <w:p w:rsidR="007B7365" w:rsidRPr="00D1696E" w:rsidRDefault="007B7365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9. </w:t>
      </w:r>
      <w:r w:rsidRPr="00D1696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Визначення національних органів, на які покладається проведення валютної політики, їхніх прав та обов’язків у цій сфері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Такими органами в Україні є:</w:t>
      </w:r>
    </w:p>
    <w:p w:rsidR="007B7365" w:rsidRPr="00D1696E" w:rsidRDefault="007B7365" w:rsidP="007B7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 Міністрів України;</w:t>
      </w:r>
    </w:p>
    <w:p w:rsidR="007B7365" w:rsidRPr="00D1696E" w:rsidRDefault="007B7365" w:rsidP="007B7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Національний банк України;</w:t>
      </w:r>
    </w:p>
    <w:p w:rsidR="007B7365" w:rsidRPr="00D1696E" w:rsidRDefault="007B7365" w:rsidP="007B7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Державна податкова </w:t>
      </w:r>
      <w:r w:rsidR="00FC3A14"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служба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7365" w:rsidRPr="00D1696E" w:rsidRDefault="00FC3A14" w:rsidP="00FC3A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Державна митна</w:t>
      </w:r>
      <w:r w:rsidR="007B7365"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служба</w:t>
      </w:r>
    </w:p>
    <w:p w:rsidR="007B7365" w:rsidRPr="00D1696E" w:rsidRDefault="007B7365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визначенні цілей та завдань валютної політики на певний період, крім Кабінету Міністрів та НБУ, беруть участь Адміністрація Президента та Верховна Рада України. Валютне регулювання і валютний контроль у країні здійснює НБУ, який має право делегувати частину цих функцій на вибрані комерційні банки, надавши їм ліцензії на здійснення валютних операцій та статус агентів з валютного контролю (уповноважених банків).</w:t>
      </w:r>
    </w:p>
    <w:p w:rsidR="007B7365" w:rsidRPr="00D1696E" w:rsidRDefault="007B7365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Органи Державної податкової </w:t>
      </w:r>
      <w:r w:rsidR="00FC3A14"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здійснюють контроль за валютними операціями, що проводяться на території України резидентами та нерезидентами.</w:t>
      </w:r>
    </w:p>
    <w:p w:rsidR="007B7365" w:rsidRPr="00D1696E" w:rsidRDefault="00FC3A14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 Державної митної</w:t>
      </w:r>
      <w:r w:rsidR="007B7365"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</w:t>
      </w:r>
      <w:r w:rsidR="007B7365"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контролюють додержання правил переміщення валютних цінностей через митний кордон України.</w:t>
      </w:r>
    </w:p>
    <w:p w:rsidR="007B7365" w:rsidRPr="00D1696E" w:rsidRDefault="007B7365" w:rsidP="007B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Зазначені державні органи та комерційні банки створюють інфраструктуру валютної системи, у центрі якої знаходиться НБУ як орган державного валютного регулювання і контролю. Загальна схема елементної структури та призначення національної валютної системи наведена на рис. 3.</w:t>
      </w:r>
    </w:p>
    <w:p w:rsidR="007B7365" w:rsidRPr="007B7365" w:rsidRDefault="007B7365" w:rsidP="007B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Start w:id="9" w:name="_MON_1030194667"/>
    <w:bookmarkStart w:id="10" w:name="_MON_1035285618"/>
    <w:bookmarkStart w:id="11" w:name="_MON_1035285664"/>
    <w:bookmarkStart w:id="12" w:name="_MON_1035285709"/>
    <w:bookmarkStart w:id="13" w:name="_MON_1035893724"/>
    <w:bookmarkStart w:id="14" w:name="_MON_1076745664"/>
    <w:bookmarkStart w:id="15" w:name="_MON_1082977417"/>
    <w:bookmarkStart w:id="16" w:name="_MON_1029919029"/>
    <w:bookmarkStart w:id="17" w:name="_MON_1029920848"/>
    <w:bookmarkStart w:id="18" w:name="_MON_1029920873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029925339"/>
    <w:bookmarkEnd w:id="19"/>
    <w:p w:rsidR="007B7365" w:rsidRPr="007B7365" w:rsidRDefault="007B7365" w:rsidP="007B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73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5940" w:dyaOrig="6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350.25pt" o:ole="" fillcolor="window">
            <v:imagedata r:id="rId7" o:title=""/>
          </v:shape>
          <o:OLEObject Type="Embed" ProgID="Word.Picture.8" ShapeID="_x0000_i1025" DrawAspect="Content" ObjectID="_1674407896" r:id="rId8"/>
        </w:object>
      </w:r>
    </w:p>
    <w:p w:rsidR="007B7365" w:rsidRPr="00D1696E" w:rsidRDefault="007B7365" w:rsidP="007B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 3. Схема елементної структури та призначення національної валютної системи</w:t>
      </w:r>
    </w:p>
    <w:p w:rsidR="007B7365" w:rsidRPr="00D1696E" w:rsidRDefault="007B7365" w:rsidP="007B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Світова валютна система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спільно розроблена державами та закріплена міжнародними угодами форма реалізації валютних відносин.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Складовими світової валютної системи є: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форми міжнародних засобів платежу (золото, національні валюти, міжнародні валютні одиниці – СДР, ЕКЮ, євро) (СДР — скорочено від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Special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Drawing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Rights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ЕКЮ –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European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Community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Unit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.);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уніфікований режим валютних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паритетів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курсів;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 взаємної конвертованості валют;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уніфікація правил міжнародних розрахунків;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 валютних ринків та ринків золота;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міжнародні валютно-фінансові організації;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міжнародне регулювання валютних обмежень.</w:t>
      </w:r>
    </w:p>
    <w:p w:rsidR="00C913DE" w:rsidRPr="00D1696E" w:rsidRDefault="00C913DE" w:rsidP="00D23B7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300B" w:rsidRPr="00D1696E" w:rsidRDefault="00E1300B" w:rsidP="00E130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1.3. Етапи становлення світової валютної системи.</w:t>
      </w:r>
    </w:p>
    <w:p w:rsidR="00E1300B" w:rsidRPr="00D1696E" w:rsidRDefault="00E1300B" w:rsidP="00D23B7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Світова валютна система у своєму розвитку пройшла етапи, які обумовлені ступенем розвитку світового ринку, міжнародними зв’язками, типами національних грошових систем.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 w:eastAsia="ru-RU"/>
        </w:rPr>
        <w:lastRenderedPageBreak/>
        <w:t>Першою</w:t>
      </w:r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 історії </w:t>
      </w:r>
      <w:r w:rsidRPr="00D1696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 w:eastAsia="ru-RU"/>
        </w:rPr>
        <w:t>світовою валютною системою</w:t>
      </w:r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була система, заснована на золотому стандарті. Вона сформувалася стихійно наприкінці ХІХ—на початку ХХ ст. як сукупність національних валютних систем. Не існувало ніяких міжнародних норм, що регулювали валютні відносини, бо в цьому не було потреби. Платіжний оборот обслуговувався переважно золотом. Основу валютних курсів у цей період становив валютний золотий паритет. Обмін національної валюти на іноземну не обмежувався, існував вільний вивіз та ввіз золота з країни в країну, що сприяло стабільності валютних курсів. Відхилення валютних курсів від валютних </w:t>
      </w:r>
      <w:proofErr w:type="spellStart"/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паритетів</w:t>
      </w:r>
      <w:proofErr w:type="spellEnd"/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обмежувалося вартістю витрат на пересилання зо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лота. Ця система відповідала умовам швидкого розвитку продуктивних сил та встановленню панування капіталістичних виробничих відносин в епоху вільної конкуренції.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Перехід капіталізму до монополістичної стадії призвів до того, що золотомонетний стандарт вступив у суперечність з новими економічними умовами. Він став протидіяти концентрації та централізації капіталу, інтересам монополій та держави, бо гальмував регулювання економіки згідно з їх інтересами.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зміну золотомонетному стандарту після Першої світової війни прийшов механізм </w:t>
      </w:r>
      <w:proofErr w:type="spellStart"/>
      <w:r w:rsidRPr="00D1696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золотодевізного</w:t>
      </w:r>
      <w:proofErr w:type="spellEnd"/>
      <w:r w:rsidRPr="00D1696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стандарту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було юридично оформлено рішенням Генуезької конференції (1922 р.). Це була </w:t>
      </w:r>
      <w:r w:rsidRPr="00D1696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друга світова валютна система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У період світової економічної кризи 1929—1933 рр. з крахом </w:t>
      </w:r>
      <w:proofErr w:type="spellStart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золотодевізного</w:t>
      </w:r>
      <w:proofErr w:type="spellEnd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стандарту єдина світова валютна система перестала існувати. Вона </w:t>
      </w:r>
      <w:proofErr w:type="spellStart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розпалася</w:t>
      </w:r>
      <w:proofErr w:type="spellEnd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на </w:t>
      </w:r>
      <w:r w:rsidRPr="00D1696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валютні блоки</w:t>
      </w: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 які використовувалися як знаряддя валютної війни. Першим у 1931 р. з’явився стерлінговий блок після скасування золотого стандарту у Великобританії. До його складу увійшли країни Британської імперії та інші держави.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1933 р. після скасування у США золотого стандарту було створено доларовий блок, до складу якого увійшли США, Канада, а також країни Латинської Америки. Франція, Бельгія, Нідерланди, Швейцарія, а потім Італія та Польща створили у 1933 р. золотий блок. Ці країни зберегли у роки світової економічної кризи золотий стандарт. Його було скасовано лише у 1936 р.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Належність країни до того чи іншого валютного блоку визначалася підтриманням твердого курсу національної валюти до основної валюти, необхідністю зберігання золотовалютних резервів у банках країни, що очолює блок, здійсненням через ці банки всіх міжнародних розрахунків. За час та після Другої світової війни на базі валютних блоків було створено </w:t>
      </w:r>
      <w:r w:rsidRPr="00D1696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>валютні зони</w:t>
      </w:r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 На відміну від валютних блоків країни, що входили до валютних зон, були пов’язані з країною-гегемоном єдиним валютно-фінансовим режимом та однаковою системою валютних обмежень.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Створення валютних блоків, а пізніше – валютних зон суперечило тенденції до інтернаціоналізації господарських </w:t>
      </w:r>
      <w:proofErr w:type="spellStart"/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зв’язків</w:t>
      </w:r>
      <w:proofErr w:type="spellEnd"/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 що швидко посилювалася. Разом з тим у міжвоєнні роки валютна сфера була ареною гострого міждержавного суперництва. Все це зумовило високу динамічність розвитку світової валютної системи.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Наприкінці Другої світової війни поряд із загальним комплексом проблем післявоєнного устрою виникла необхідність створення нової світової валютної системи. За це насамперед виступали США, які були заінтересовані у розширенні свого впливу на світовому ринку.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 у розпалі війни казначейства Великобританії та США запропонували для обговорення два плани – англійський план Кейнса та американський план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Уайта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М. Кейнс висунув ідею формування замість золота нових платіжних засобів – «регульованої валюти», створення на її основі так званого «міжнародного клірингового союзу». Навпаки, план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Уайта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надавав великого значення золоту в міжнародному валютному устрої.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ході тривалих переговорів США, що нагромадили за роки війни великі золоті запаси, відмовилися прийняти план Кейнса і з допомогою політичного та економічного тиску затвердили всі найважливіші положення плану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Уайта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 міжнародній валютно-фінансовій конференції країн антигітлерівської коаліції, що відбулася у липні 1944 р. у м. </w:t>
      </w:r>
      <w:proofErr w:type="spellStart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Бреттон-Вудсі</w:t>
      </w:r>
      <w:proofErr w:type="spellEnd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(США), були узгоджені основні принципи валютно-фінансового устрою, відомого як </w:t>
      </w:r>
      <w:r w:rsidRPr="00D1696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 w:eastAsia="ru-RU"/>
        </w:rPr>
        <w:t>третя світова</w:t>
      </w: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, або </w:t>
      </w:r>
      <w:proofErr w:type="spellStart"/>
      <w:r w:rsidRPr="00D1696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 w:eastAsia="ru-RU"/>
        </w:rPr>
        <w:t>Бреттон-Вудська</w:t>
      </w:r>
      <w:proofErr w:type="spellEnd"/>
      <w:r w:rsidRPr="00D1696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 w:eastAsia="ru-RU"/>
        </w:rPr>
        <w:t>, валютна система</w:t>
      </w: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 Ця угода почала діяти з грудня 1945 р. після підписання її 35 країнами. Радянський Союз разом з іншими країнами антигітлерівської коаліції брав участь у конференції, але, керуючись політичними мотивами, відмовився ратифікувати умови угоди.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Передумови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Бреттон-Вудської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 були сформовані в 30-х </w:t>
      </w:r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роках унаслідок розпаду механізму міжнародних розрахунків, заснованого на </w:t>
      </w:r>
      <w:proofErr w:type="spellStart"/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золотодевізному</w:t>
      </w:r>
      <w:proofErr w:type="spellEnd"/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стандарті. Основою </w:t>
      </w:r>
      <w:proofErr w:type="spellStart"/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Бреттон-Вудськ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 стала система золотовалютного стандарту, яка згодом трансформувалася у систему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золотодоларового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стандарту.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характерні риси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Бреттон-Вудської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валютної системи: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 із золотом як світові резервні та розрахункові валюти використовуються дві національні валюти – долар США та (у значно меншому обсязі) англійський фунт стерлінгів;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підтримання США розміну паперового долара на золото за офіційною ціною: 35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США за одну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тройську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унцію (31,103 г) золота, але тільки для центральних банків та урядових установ інших країн;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Міжнародного валютного фонду (МВФ), що надає його членам кредитну допомогу для здійснення валютної інтервенції, і Міжнародного банку реконструкції та розвитку (МБРР, або Світового банку);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офіційні курси валют установлювалися через визначення їхнього золотого вмісту (масштабу цін) і відповідно до цього твердо фіксувалися відносно долара США. Вони могли відхилятися не більш як на 1% в обидві сторони без погодження з МВФ. Девальвації понад 10% відбувалися лише за згодою МВФ. Щоб забезпечити відповідність меж коливанням курсів валют, центральні банки були зобов’язані здійснювати валютну інтервенцію в доларах;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міждержавне регулювання валютних відносин здійснювалося головним чином через посередництво МВФ. Він забезпечував підтримання 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країнами-учасницями офіційних валютних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паритетів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курсів. Для зміни паритету або введення валютних обмежень була потрібна згода МВФ;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обмін по централізованих каналах золота на валюту (у разі надмірного зменшення запасів останньої) або, навпаки, валюти на золото державні органи мали можливість здійснювати розрахунки з іншими країнами за платіжними балансами;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необхідності країни через механізм МВФ та іншими шляхами могли надавати одна одній кредити в іноземній валюті для фінансування дефіциту платіжного балансу.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У результаті </w:t>
      </w:r>
      <w:proofErr w:type="spellStart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Бреттон-Вудської</w:t>
      </w:r>
      <w:proofErr w:type="spellEnd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угоди США дістали можливість </w:t>
      </w:r>
      <w:r w:rsidRPr="00D1696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фінансувати свої величезні закордонні витрати за рахунок нагрома</w:t>
      </w: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дження короткострокової доларової заборгованості відносно інших країн, тобто здійснювати їх валютно-фінансову експлуатацію.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proofErr w:type="spellStart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Бреттон-Вудська</w:t>
      </w:r>
      <w:proofErr w:type="spellEnd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система протягом 50-60-х років сприяла розвиткові міжнародних економічних </w:t>
      </w:r>
      <w:proofErr w:type="spellStart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зв’язків</w:t>
      </w:r>
      <w:proofErr w:type="spellEnd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 Водночас вона містила глибокі внутрішні суперечності. Розмін паперового долара на золото за офіційною ціною можливий лише в умовах стабільності його купівельної спроможності. Зазначена умова є також необхідною для підтримання сталості курсових співвідношень. Проте забезпечити це в умовах паперово-грошового обігу виявилося неможливим.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кінця 60-х років вибухнула криза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Бреттон-Вудської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валютної системи, що привела до її розпаду. У нових умовах «доларовий стандарт» перестав відповідати існуючому співвідношенню сил, яке характеризувалося значним зростанням питомої ваги у світовій економіці країн «спільного ринку» та Японії. Крім того, великий дефіцит платіжного балансу США, нагромаджені доларові запаси в іноземних центральних банках, зменшення золотого запасу – все це свідчило про те, що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Бреттон-Вудська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 ставала дедалі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обтяжливішою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для США.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1970 р. короткостроковий зовнішній борг США у 6 разів перевищив золотий запас. Коли б власники доларових зобов’язань пред’явили їх одночасно для обміну, США були б змушені оголосити себе банкрутом. Почалася масова гонитва за золотом як стійкішим грошовим активом і відповідна відмова від долара. Утворилася подвійна ціна на золото: офіційна – 35 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унцію та ринкова, що в кілька разів перевищувала офіційну.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Однією з підпор </w:t>
      </w:r>
      <w:proofErr w:type="spellStart"/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Бреттон-Вудської</w:t>
      </w:r>
      <w:proofErr w:type="spellEnd"/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системи, що руйнувалася, стала ідея </w:t>
      </w:r>
      <w:proofErr w:type="spellStart"/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Дж</w:t>
      </w:r>
      <w:proofErr w:type="spellEnd"/>
      <w:r w:rsidRPr="00D169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 Кейнса про створення «регульованої валюти». США були заінтересовані саме у такій валюті, щоб обмежити роль золота у міжнародній валютній системі, зберігаючи за доларом роль головної резервної валюти. Саме такою валютою стала СДР.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СДР – спеціальні права запозичення у Міжнародному валютному фонді (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Special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Drawing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Rights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штучно створені міжнародні резервні засоби для регулювання сальдо платіжних балансів, поповнення офіційних резервів та розрахунків з МВФ.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Випуск СДР розпочався з 1 січня 1970 р. У цій одиниці виражаються курси національних валют, оцінюються валютні резерви. Технічно випуск СДР забезпечувався у вигляді спеціального запису на рахунках країн – членів 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МВФ. Спочатку ця одиниця мала золотий вміст, що становив 0,888671 г, і прирівнювалася до долара США. Після девальвації долара в 1971 і 1973 рр. курс одиниці СДР підвищився до 1,2 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переходом до «плаваючих» курсів вартість СДР визначається на основі середньозваженої величини – «валютного кошика» – через ринкові курси валют, які мають найбільшу питому вагу у міжнародній торгівлі.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 січня 1999 р. до складу стандартного «кошика» входять чотири валюти з питомою вагою: долар США – 39%, євро – 32% (замість німецької марки – з 21% та французького франка із 11%), єна – 18% та фунт стерлінгів – 11%.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1971—1973 рр. розвалювалася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Бреттон-Вудська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система. Початок цьому поклала заява тодішнього президента США Р. 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Ніксона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 серпня 1971 р. про припинення розміну долара на золото та вжиття «надзвичайних заходів» щодо врятування валюти. Це означало фактичний крах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Бреттон-Вудської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Угода, що була досягнута на нараді країн-учасниць МВФ у м. Кінгстоні на Ямайці в січні 1976 р., стала основою створення </w:t>
      </w:r>
      <w:r w:rsidRPr="00D1696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 w:eastAsia="ru-RU"/>
        </w:rPr>
        <w:t>четвертої світової</w:t>
      </w: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, або </w:t>
      </w:r>
      <w:r w:rsidRPr="00D1696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 w:eastAsia="ru-RU"/>
        </w:rPr>
        <w:t>Ямайської, валютної системи</w:t>
      </w:r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. Ця система набула чинності 1 квітня 1978 р. З її ратифікацією було </w:t>
      </w:r>
      <w:proofErr w:type="spellStart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внесено</w:t>
      </w:r>
      <w:proofErr w:type="spellEnd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зміни у статут МВФ. Формування Ямайської валютної системи, яка юридично закріплювала демонетизацію золота, розпочалося з кризою </w:t>
      </w:r>
      <w:proofErr w:type="spellStart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Бреттон-Вудської</w:t>
      </w:r>
      <w:proofErr w:type="spellEnd"/>
      <w:r w:rsidRPr="00D1696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валютної системи. Сучасна світова валютна система має характер паперово-валютної (девізної) системи.</w:t>
      </w:r>
    </w:p>
    <w:p w:rsidR="00E1300B" w:rsidRPr="00D1696E" w:rsidRDefault="00E1300B" w:rsidP="00E1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 визначальними рисами є: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визнання міжнародними резервними та розрахунковими валютами поряд із доларом США валют інших країн та СДР. Після краху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Бреттон-Вудської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 виявилася тенденція переходу до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полівалютної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резервної та розрахункової систем. Як резервні валюти використовували німецьку марку, швейцарський франк, а з 1975 р. уперше в цій ролі почала використовуватися японська єна, після чого питома вага американського долара у валютних резервах центральних банків значно скоротилася. Базою Ямайської валютної системи було проголошено СДР – спеціальні права запозичення у МВФ. Ця міжнародна розрахункова одиниця мала стати основою валютних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паритетів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курсів, провідним міжнародним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платіжно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-розрахунковим засобом. СДР отримала статус альтернативи не лише золота, а й долара як міжнародних грошей. Проте фактично зберігається доларовий стандарт, бо ця валюта продовжує займати важливе місце у міжнародних розрахунках (2/3 усіх розрахунків), офіційних валютних резервах, у валютному «кошику» СДР (39%);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витіснення золота з міжнародних розрахунків скасуванням золотих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паритетів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валют та офіційної ціни на золото. МВФ було доручено повернути країнам-членам 1/6 частину золотого запасу, яку було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внесено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раніше у вигляді оплати квот, та реалізувати через аукціони частину золотих запасів. МВФ припинив приймати золото як оплату квот та як проценти за кредит. Це означало повну демонетизацію золота у сфері міжнародних валютних відносин. Відповідно до цього у Нью-Йорку, Чикаго, Токіо та інших центрах світової торгівлі сформувалися міжнародні ринки золота. Водночас золото </w:t>
      </w: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залишається у складі офіційних золотовалютних резервів країн як високоліквідний товар;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офіційне визнання «плаваючих» валютних курсів, тобто тих, які встановлюються на валютному ринку залежно від попиту та пропозиції. Це не означає відсутності будь-якого втручання держав у валютний ринок. Центральні банки через валютну інтервенцію обмежують коливання курсів своїх валют, але не навколо раніше фіксованих </w:t>
      </w:r>
      <w:proofErr w:type="spellStart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паритетів</w:t>
      </w:r>
      <w:proofErr w:type="spellEnd"/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навколо ринкових курсів, що стихійно складаються. Водночас посилюється міждержавне валютне регулювання та контроль за функціонуванням світової валютної системи через МВФ. Фонд має повноваження щодо нагляду за валютною політикою країн-учасниць. З метою валютної стабілізації розширені масштаби взаємних кредитів через МВФ для покриття дефіцитів платіжних балансів, посилена координація діяльності міжнародних валютно-кредитних та фінансових організацій.</w:t>
      </w:r>
    </w:p>
    <w:p w:rsidR="00E1300B" w:rsidRPr="00D1696E" w:rsidRDefault="00E1300B" w:rsidP="00E130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6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Ямайська угода фактично зафіксувала відносини, що вже склалися у світі, для яких давно було характерним домінуюче становище долара США. Разом з тим Ямайська угода узаконювала тенденцію до валютного поліцентризму.</w:t>
      </w:r>
    </w:p>
    <w:p w:rsidR="00E1300B" w:rsidRDefault="00E1300B" w:rsidP="00D23B7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5940" w:rsidRDefault="001A5940" w:rsidP="00D23B7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Укладено за:</w:t>
      </w:r>
    </w:p>
    <w:p w:rsidR="001A5940" w:rsidRDefault="001A5940" w:rsidP="001A5940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0" w:name="_GoBack"/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ЗАКОН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 валюту і валютні операції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9" w:history="1">
        <w:r w:rsidRPr="006B1225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https://zakon.rada.gov.ua/laws/show/2473-19#Text</w:t>
        </w:r>
      </w:hyperlink>
    </w:p>
    <w:p w:rsidR="001A5940" w:rsidRDefault="001A5940" w:rsidP="001A5940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ЗАКОН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 Кабінет Міністрів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10" w:history="1">
        <w:r w:rsidRPr="006B1225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https://zakon.rada.gov.ua/laws/show/794-18#Text</w:t>
        </w:r>
      </w:hyperlink>
    </w:p>
    <w:p w:rsidR="001A5940" w:rsidRDefault="001A5940" w:rsidP="001A5940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Місяць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Н.О. </w:t>
      </w:r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</w:t>
      </w:r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 деяких теоретичних засад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валютного регулювання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ФІНАНСОВИЙ ПРОСТІР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 1 (17)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196-201</w:t>
      </w:r>
    </w:p>
    <w:p w:rsidR="001A5940" w:rsidRDefault="001A5940" w:rsidP="001A5940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Валютно-фінансові операції в міжнародному бізнесі : конспект лекцій / Л.О. </w:t>
      </w:r>
      <w:proofErr w:type="spellStart"/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Андросова</w:t>
      </w:r>
      <w:proofErr w:type="spellEnd"/>
      <w:r w:rsidRPr="001A59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Л.Л. Носач, Ж.С. Зосимова. – Х. : Видавництво «Форт», 2016. – 156 с.</w:t>
      </w:r>
    </w:p>
    <w:p w:rsidR="009B564B" w:rsidRDefault="009B564B" w:rsidP="009B564B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B56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Дзюблюк</w:t>
      </w:r>
      <w:proofErr w:type="spellEnd"/>
      <w:r w:rsidRPr="009B56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О.В. Валютна політика: навчальний посібник. – Тернопіль: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56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ТДЕУ, 2006. – 91 с.</w:t>
      </w:r>
    </w:p>
    <w:p w:rsidR="009B564B" w:rsidRPr="008F7D8B" w:rsidRDefault="009B564B" w:rsidP="008F7D8B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6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Лебідь О. В.</w:t>
      </w:r>
      <w:r w:rsidR="008F7D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F7D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Міжнародні розрахунки і валютні операції : навчальний посібник для студентів спеціальності 8.03050802 "Банківська справа" / О. В. Лебідь. – Харків : ХНЕУ ім. С. </w:t>
      </w:r>
      <w:proofErr w:type="spellStart"/>
      <w:r w:rsidRPr="008F7D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Кузнеця</w:t>
      </w:r>
      <w:proofErr w:type="spellEnd"/>
      <w:r w:rsidRPr="008F7D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2016. – 200 с.</w:t>
      </w:r>
      <w:bookmarkEnd w:id="20"/>
    </w:p>
    <w:sectPr w:rsidR="009B564B" w:rsidRPr="008F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7856"/>
    <w:multiLevelType w:val="hybridMultilevel"/>
    <w:tmpl w:val="B5DAEE62"/>
    <w:lvl w:ilvl="0" w:tplc="9620CA30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7BB4"/>
    <w:multiLevelType w:val="hybridMultilevel"/>
    <w:tmpl w:val="55D2BFFC"/>
    <w:lvl w:ilvl="0" w:tplc="564C3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8C"/>
    <w:rsid w:val="00043548"/>
    <w:rsid w:val="00051FD1"/>
    <w:rsid w:val="000E5368"/>
    <w:rsid w:val="00116F0B"/>
    <w:rsid w:val="00195ADA"/>
    <w:rsid w:val="001A5940"/>
    <w:rsid w:val="001B29C9"/>
    <w:rsid w:val="001F026A"/>
    <w:rsid w:val="00264B55"/>
    <w:rsid w:val="00344454"/>
    <w:rsid w:val="00347A9D"/>
    <w:rsid w:val="00390977"/>
    <w:rsid w:val="003E5435"/>
    <w:rsid w:val="003F2E25"/>
    <w:rsid w:val="00497D0C"/>
    <w:rsid w:val="006657E6"/>
    <w:rsid w:val="007B7365"/>
    <w:rsid w:val="008F1448"/>
    <w:rsid w:val="008F7D8B"/>
    <w:rsid w:val="009B564B"/>
    <w:rsid w:val="009D0832"/>
    <w:rsid w:val="009D6D55"/>
    <w:rsid w:val="00A421C8"/>
    <w:rsid w:val="00A9614C"/>
    <w:rsid w:val="00AE3F5D"/>
    <w:rsid w:val="00B6718C"/>
    <w:rsid w:val="00B934A7"/>
    <w:rsid w:val="00C42868"/>
    <w:rsid w:val="00C913DE"/>
    <w:rsid w:val="00CE464A"/>
    <w:rsid w:val="00CF7DAE"/>
    <w:rsid w:val="00D1696E"/>
    <w:rsid w:val="00D23B72"/>
    <w:rsid w:val="00D76783"/>
    <w:rsid w:val="00E1300B"/>
    <w:rsid w:val="00E444B3"/>
    <w:rsid w:val="00EB1BB8"/>
    <w:rsid w:val="00F37A5B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946F3-8A14-494D-A73F-D0EDEEB0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7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7A5B"/>
    <w:pPr>
      <w:ind w:left="720"/>
      <w:contextualSpacing/>
    </w:pPr>
  </w:style>
  <w:style w:type="paragraph" w:customStyle="1" w:styleId="rvps2">
    <w:name w:val="rvps2"/>
    <w:basedOn w:val="a"/>
    <w:rsid w:val="0005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1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zakon.rada.gov.ua/laws/show/794-18#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73-19#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2019-09-01T19:51:00Z</dcterms:created>
  <dcterms:modified xsi:type="dcterms:W3CDTF">2021-02-09T18:32:00Z</dcterms:modified>
</cp:coreProperties>
</file>