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5B" w:rsidRPr="00132383" w:rsidRDefault="002C215B" w:rsidP="002C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83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</w:t>
      </w:r>
    </w:p>
    <w:p w:rsidR="00CC3BFE" w:rsidRDefault="002C215B" w:rsidP="002C2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5B">
        <w:rPr>
          <w:rFonts w:ascii="Times New Roman" w:hAnsi="Times New Roman" w:cs="Times New Roman"/>
          <w:sz w:val="28"/>
          <w:szCs w:val="28"/>
        </w:rPr>
        <w:t xml:space="preserve">Ознайомитися </w:t>
      </w:r>
      <w:r>
        <w:rPr>
          <w:rFonts w:ascii="Times New Roman" w:hAnsi="Times New Roman" w:cs="Times New Roman"/>
          <w:sz w:val="28"/>
          <w:szCs w:val="28"/>
        </w:rPr>
        <w:t>зі змістом кодексів України, які є базовими для врегулювання питань використання природно-рекреаційного фонду:</w:t>
      </w:r>
    </w:p>
    <w:p w:rsidR="002C215B" w:rsidRDefault="002C215B" w:rsidP="002C21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України про надра;</w:t>
      </w:r>
    </w:p>
    <w:p w:rsidR="002C215B" w:rsidRDefault="002C215B" w:rsidP="002C21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Земельний кодекс України;</w:t>
      </w:r>
    </w:p>
    <w:p w:rsidR="002C215B" w:rsidRDefault="002C215B" w:rsidP="002C21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Лісовий кодекс України;</w:t>
      </w:r>
    </w:p>
    <w:p w:rsidR="002C215B" w:rsidRPr="002C215B" w:rsidRDefault="002C215B" w:rsidP="002C21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Водний кодекс України.</w:t>
      </w:r>
      <w:bookmarkStart w:id="0" w:name="_GoBack"/>
      <w:bookmarkEnd w:id="0"/>
    </w:p>
    <w:sectPr w:rsidR="002C215B" w:rsidRPr="002C2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76F"/>
    <w:multiLevelType w:val="hybridMultilevel"/>
    <w:tmpl w:val="8AB01B38"/>
    <w:lvl w:ilvl="0" w:tplc="C428E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5B"/>
    <w:rsid w:val="002C215B"/>
    <w:rsid w:val="00302C0B"/>
    <w:rsid w:val="003C20D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2020-11-17T11:34:00Z</dcterms:created>
  <dcterms:modified xsi:type="dcterms:W3CDTF">2020-11-17T11:39:00Z</dcterms:modified>
</cp:coreProperties>
</file>