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777E6" w14:textId="60CF3414" w:rsidR="004D7BF7" w:rsidRDefault="004D7BF7"/>
    <w:p w14:paraId="4637DB30" w14:textId="10B25DCE" w:rsidR="00BA7F15" w:rsidRDefault="00BA7F15" w:rsidP="00BA7F15">
      <w:pPr>
        <w:pStyle w:val="1"/>
      </w:pPr>
      <w:r>
        <w:t>Лекція 11</w:t>
      </w:r>
    </w:p>
    <w:p w14:paraId="344EF984" w14:textId="58EAE3F4" w:rsidR="00BA7F15" w:rsidRDefault="00BA7F15" w:rsidP="00BA7F15">
      <w:pPr>
        <w:pStyle w:val="1"/>
      </w:pPr>
      <w:r>
        <w:t>Розділ 6. ЄМНІСНІ ПЕРЕТВОРЮВАЧІ (ЄП)</w:t>
      </w:r>
    </w:p>
    <w:p w14:paraId="54C70A81" w14:textId="77777777" w:rsidR="00BA7F15" w:rsidRDefault="00BA7F15" w:rsidP="00BA7F15">
      <w:pPr>
        <w:pStyle w:val="2"/>
      </w:pPr>
      <w:r>
        <w:t>6.1. Загальна характеристика ЄП</w:t>
      </w:r>
    </w:p>
    <w:p w14:paraId="72EAD0A0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Ємнісні вимірювальні перетворювачі використовуються для перетворення лінійних або кутових переміщень, тисків, вібрацій, прискорень, рівнів рідини в електричний сигнал [1, 3, 15 – 17, 30, 43, 45, 46, 51, 67]. ЄП застосовують для контролю швидкозмінних процесів, пульсуючих тисків, вібрацій, як перетворювачі непог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дження, а також у випадках, коли потрібне мінімальне навант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ження переміщуваних деталей або мають бути відсутні механічні зв'язки. В авіаційній техніці широко використовуються ємнісні паливоміри.</w:t>
      </w:r>
    </w:p>
    <w:p w14:paraId="35527B31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ЄП являє собою конденсатор, що складається з двох чи більше пластин, відокремлених одна від одної шаром повітря чи іншим діелектриком.</w:t>
      </w:r>
    </w:p>
    <w:p w14:paraId="384CE463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Основні переваги ЄП:</w:t>
      </w:r>
    </w:p>
    <w:p w14:paraId="78E27EC8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висока чутливість;</w:t>
      </w:r>
    </w:p>
    <w:p w14:paraId="2426B02D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невеликі маса та габаритні розміри;</w:t>
      </w:r>
    </w:p>
    <w:p w14:paraId="7B416903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мале значення зворотної дії.</w:t>
      </w:r>
    </w:p>
    <w:p w14:paraId="1766A0E9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Недоліки ЄП [51, 67]:</w:t>
      </w:r>
    </w:p>
    <w:p w14:paraId="5737D832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високий внутрішній опір, що робить його малопотужним, а головне, дуже сприйнятливим до впливу завад і наводок;</w:t>
      </w:r>
    </w:p>
    <w:p w14:paraId="146DCFEE" w14:textId="77777777" w:rsidR="00BA7F15" w:rsidRDefault="00BA7F15" w:rsidP="00BA7F15">
      <w:pPr>
        <w:pStyle w:val="a3"/>
        <w:spacing w:line="257" w:lineRule="auto"/>
      </w:pPr>
      <w:r>
        <w:t>– відносно невисока стабільність крутості характеристики в зв'язку із зміною геометричних розмірів ЄП при дії температури, а діелектричної проникності – при дії вологості;</w:t>
      </w:r>
    </w:p>
    <w:p w14:paraId="53CEA82A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значний вплив паразитних ємностей, зокрема ємності екран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ваного проводу (екранування обов'язкове в зв'язку з великим впливом завад і наводок), який з'єднує ЄП з іншими елементами схеми;</w:t>
      </w:r>
    </w:p>
    <w:p w14:paraId="3A1630C5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необхідність роботи на порівняно високій частоті (від од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ниць кілогерц і вище), яка змушує застосовувати спеціальне дж</w:t>
      </w:r>
      <w:r>
        <w:rPr>
          <w:snapToGrid w:val="0"/>
          <w:sz w:val="22"/>
          <w:lang w:val="uk-UA"/>
        </w:rPr>
        <w:t>е</w:t>
      </w:r>
      <w:r>
        <w:rPr>
          <w:snapToGrid w:val="0"/>
          <w:sz w:val="22"/>
          <w:lang w:val="uk-UA"/>
        </w:rPr>
        <w:t>рело живлення ЄП, стабілізоване за напругою й частотою;</w:t>
      </w:r>
    </w:p>
    <w:p w14:paraId="0059C36C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для зняття сигналу з ЄП потрібно мати високочутливий вт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>ринний перетворювач з великим вхідним опором.</w:t>
      </w:r>
    </w:p>
    <w:p w14:paraId="0EAAAF26" w14:textId="77777777" w:rsidR="00BA7F15" w:rsidRDefault="00BA7F15" w:rsidP="00BA7F15">
      <w:pPr>
        <w:spacing w:line="257" w:lineRule="auto"/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Практично ЄП – це конденсатор змінної ємності, керований вхідною величиною (звичайно переміщенням).</w:t>
      </w:r>
    </w:p>
    <w:p w14:paraId="450DFF07" w14:textId="77777777" w:rsidR="00BA7F15" w:rsidRDefault="00BA7F15" w:rsidP="00BA7F15">
      <w:pPr>
        <w:pStyle w:val="2"/>
      </w:pPr>
      <w:r>
        <w:t>6.2. Основні конструктивні різновиди ЄП</w:t>
      </w:r>
    </w:p>
    <w:p w14:paraId="44FD768E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Ємність будь-якого конденсатора у фарадах залежить від трьох основних параметрів: площі пластин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 xml:space="preserve">, відстані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 між пластинами і діелектричної проникності середовища </w:t>
      </w:r>
      <w:r>
        <w:rPr>
          <w:i/>
          <w:snapToGrid w:val="0"/>
          <w:sz w:val="22"/>
          <w:lang w:val="uk-UA"/>
        </w:rPr>
        <w:sym w:font="Symbol" w:char="F065"/>
      </w:r>
      <w:r>
        <w:rPr>
          <w:snapToGrid w:val="0"/>
          <w:sz w:val="22"/>
          <w:lang w:val="uk-UA"/>
        </w:rPr>
        <w:t xml:space="preserve"> між пластинами конде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t>сатора:</w:t>
      </w:r>
    </w:p>
    <w:p w14:paraId="4ABA0EC9" w14:textId="77777777" w:rsidR="00BA7F15" w:rsidRDefault="00BA7F15" w:rsidP="00BA7F15">
      <w:pPr>
        <w:pStyle w:val="aaa"/>
      </w:pPr>
      <w:r>
        <w:rPr>
          <w:position w:val="-22"/>
        </w:rPr>
        <w:object w:dxaOrig="760" w:dyaOrig="580" w14:anchorId="2A61C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5pt;height:29pt" o:ole="">
            <v:imagedata r:id="rId4" o:title=""/>
          </v:shape>
          <o:OLEObject Type="Embed" ProgID="Equation.3" ShapeID="_x0000_i1025" DrawAspect="Content" ObjectID="_1664959304" r:id="rId5"/>
        </w:object>
      </w:r>
    </w:p>
    <w:p w14:paraId="5ED60FC2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Із наведеної формули бачимо, що зміни ємності можна досягти, змінивши значення однієї з величин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,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 xml:space="preserve"> або </w:t>
      </w:r>
      <w:r>
        <w:rPr>
          <w:i/>
          <w:snapToGrid w:val="0"/>
          <w:sz w:val="22"/>
          <w:lang w:val="uk-UA"/>
        </w:rPr>
        <w:sym w:font="Symbol" w:char="F065"/>
      </w:r>
      <w:r>
        <w:rPr>
          <w:i/>
          <w:snapToGrid w:val="0"/>
          <w:sz w:val="22"/>
          <w:lang w:val="uk-UA"/>
        </w:rPr>
        <w:t xml:space="preserve">. </w:t>
      </w:r>
      <w:r>
        <w:rPr>
          <w:snapToGrid w:val="0"/>
          <w:sz w:val="22"/>
          <w:lang w:val="uk-UA"/>
        </w:rPr>
        <w:t xml:space="preserve">Прологарифмуємо вираз для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:</w:t>
      </w:r>
    </w:p>
    <w:p w14:paraId="55275E0A" w14:textId="77777777" w:rsidR="00BA7F15" w:rsidRDefault="00BA7F15" w:rsidP="00BA7F15">
      <w:pPr>
        <w:pStyle w:val="aaa"/>
      </w:pPr>
      <w:r>
        <w:rPr>
          <w:position w:val="-6"/>
        </w:rPr>
        <w:object w:dxaOrig="2060" w:dyaOrig="260" w14:anchorId="0385F412">
          <v:shape id="_x0000_i1026" type="#_x0000_t75" style="width:102.85pt;height:13.1pt" o:ole="">
            <v:imagedata r:id="rId6" o:title=""/>
          </v:shape>
          <o:OLEObject Type="Embed" ProgID="Equation.3" ShapeID="_x0000_i1026" DrawAspect="Content" ObjectID="_1664959305" r:id="rId7"/>
        </w:object>
      </w:r>
    </w:p>
    <w:p w14:paraId="624F9A4B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Продиференціювавши і перейшовши до запису в частинних приростах, дістанемо</w:t>
      </w:r>
    </w:p>
    <w:p w14:paraId="22DF2855" w14:textId="77777777" w:rsidR="00BA7F15" w:rsidRDefault="00BA7F15" w:rsidP="00BA7F15">
      <w:pPr>
        <w:pStyle w:val="aaa"/>
      </w:pPr>
      <w:r>
        <w:rPr>
          <w:position w:val="-28"/>
        </w:rPr>
        <w:object w:dxaOrig="2020" w:dyaOrig="639" w14:anchorId="44F0F82F">
          <v:shape id="_x0000_i1027" type="#_x0000_t75" style="width:101pt;height:31.8pt" o:ole="">
            <v:imagedata r:id="rId8" o:title=""/>
          </v:shape>
          <o:OLEObject Type="Embed" ProgID="Equation.3" ShapeID="_x0000_i1027" DrawAspect="Content" ObjectID="_1664959306" r:id="rId9"/>
        </w:object>
      </w:r>
    </w:p>
    <w:p w14:paraId="661B0CBC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Якщо</w:t>
      </w:r>
    </w:p>
    <w:p w14:paraId="36C4698E" w14:textId="77777777" w:rsidR="00BA7F15" w:rsidRDefault="00BA7F15" w:rsidP="00BA7F15">
      <w:pPr>
        <w:pStyle w:val="aaa"/>
      </w:pPr>
      <w:r>
        <w:rPr>
          <w:position w:val="-28"/>
        </w:rPr>
        <w:object w:dxaOrig="2799" w:dyaOrig="639" w14:anchorId="6B6DEBE7">
          <v:shape id="_x0000_i1028" type="#_x0000_t75" style="width:139.8pt;height:31.8pt" o:ole="">
            <v:imagedata r:id="rId10" o:title=""/>
          </v:shape>
          <o:OLEObject Type="Embed" ProgID="Equation.3" ShapeID="_x0000_i1028" DrawAspect="Content" ObjectID="_1664959307" r:id="rId11"/>
        </w:object>
      </w:r>
    </w:p>
    <w:p w14:paraId="28123D96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 маємо варіант конструкції ЄП із змінним зазором, або із змі</w:t>
      </w:r>
      <w:r>
        <w:rPr>
          <w:snapToGrid w:val="0"/>
          <w:sz w:val="22"/>
          <w:lang w:val="uk-UA"/>
        </w:rPr>
        <w:t>н</w:t>
      </w:r>
      <w:r>
        <w:rPr>
          <w:snapToGrid w:val="0"/>
          <w:sz w:val="22"/>
          <w:lang w:val="uk-UA"/>
        </w:rPr>
        <w:t>ною відстанню між пластинами (рис. 6.1, а, б):</w:t>
      </w:r>
    </w:p>
    <w:p w14:paraId="5ED16487" w14:textId="77777777" w:rsidR="00BA7F15" w:rsidRDefault="00BA7F15" w:rsidP="00BA7F15">
      <w:pPr>
        <w:pStyle w:val="aaa"/>
      </w:pPr>
      <w:r>
        <w:rPr>
          <w:position w:val="-28"/>
        </w:rPr>
        <w:object w:dxaOrig="1100" w:dyaOrig="639" w14:anchorId="72FFEC09">
          <v:shape id="_x0000_i1029" type="#_x0000_t75" style="width:55.15pt;height:31.8pt" o:ole="">
            <v:imagedata r:id="rId12" o:title=""/>
          </v:shape>
          <o:OLEObject Type="Embed" ProgID="Equation.3" ShapeID="_x0000_i1029" DrawAspect="Content" ObjectID="_1664959308" r:id="rId13"/>
        </w:object>
      </w:r>
    </w:p>
    <w:p w14:paraId="220A825C" w14:textId="77777777" w:rsidR="00BA7F15" w:rsidRDefault="00BA7F15" w:rsidP="00BA7F15">
      <w:pPr>
        <w:pStyle w:val="21"/>
      </w:pPr>
      <w:r>
        <w:object w:dxaOrig="4246" w:dyaOrig="1621" w14:anchorId="5F0EFD7E">
          <v:shape id="_x0000_i1030" type="#_x0000_t75" style="width:212.25pt;height:80.9pt" o:ole="">
            <v:imagedata r:id="rId14" o:title=""/>
          </v:shape>
          <o:OLEObject Type="Embed" ProgID="Visio.Drawing.11" ShapeID="_x0000_i1030" DrawAspect="Content" ObjectID="_1664959309" r:id="rId15"/>
        </w:object>
      </w:r>
    </w:p>
    <w:p w14:paraId="0837CBCE" w14:textId="77777777" w:rsidR="00BA7F15" w:rsidRDefault="00BA7F15" w:rsidP="00BA7F15">
      <w:pPr>
        <w:pStyle w:val="ris"/>
      </w:pPr>
      <w:r>
        <w:t xml:space="preserve">Рис. 6.1. Ємнісний перетворювач із змінним зазором: </w:t>
      </w:r>
      <w:r>
        <w:br/>
        <w:t>а – конструкція; б – характеристика</w:t>
      </w:r>
    </w:p>
    <w:p w14:paraId="5F926325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Якщо</w:t>
      </w:r>
    </w:p>
    <w:p w14:paraId="0DF25CF5" w14:textId="77777777" w:rsidR="00BA7F15" w:rsidRDefault="00BA7F15" w:rsidP="00BA7F15">
      <w:pPr>
        <w:pStyle w:val="aaa"/>
      </w:pPr>
      <w:r>
        <w:rPr>
          <w:position w:val="-28"/>
        </w:rPr>
        <w:object w:dxaOrig="2760" w:dyaOrig="639" w14:anchorId="5D1FBE16">
          <v:shape id="_x0000_i1031" type="#_x0000_t75" style="width:137.9pt;height:31.8pt" o:ole="">
            <v:imagedata r:id="rId16" o:title=""/>
          </v:shape>
          <o:OLEObject Type="Embed" ProgID="Equation.3" ShapeID="_x0000_i1031" DrawAspect="Content" ObjectID="_1664959310" r:id="rId17"/>
        </w:object>
      </w:r>
    </w:p>
    <w:p w14:paraId="25E4E6AB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 можна дістати варіант конструкції ЄП із змінною площею взаємного перекриття пластин (рис. 6.2, а, б):</w:t>
      </w:r>
    </w:p>
    <w:p w14:paraId="5971E26B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22"/>
          <w:sz w:val="22"/>
          <w:lang w:val="uk-UA"/>
        </w:rPr>
        <w:object w:dxaOrig="1300" w:dyaOrig="580" w14:anchorId="25CC40BD">
          <v:shape id="_x0000_i1032" type="#_x0000_t75" style="width:65pt;height:29pt" o:ole="">
            <v:imagedata r:id="rId18" o:title=""/>
          </v:shape>
          <o:OLEObject Type="Embed" ProgID="Equation.3" ShapeID="_x0000_i1032" DrawAspect="Content" ObjectID="_1664959311" r:id="rId19"/>
        </w:object>
      </w:r>
    </w:p>
    <w:p w14:paraId="01081AD6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</w:p>
    <w:p w14:paraId="2EFA2FCD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object w:dxaOrig="4812" w:dyaOrig="1731" w14:anchorId="27DC57F8">
          <v:shape id="_x0000_i1033" type="#_x0000_t75" style="width:240.8pt;height:86.5pt" o:ole="">
            <v:imagedata r:id="rId20" o:title=""/>
          </v:shape>
          <o:OLEObject Type="Embed" ProgID="Visio.Drawing.11" ShapeID="_x0000_i1033" DrawAspect="Content" ObjectID="_1664959312" r:id="rId21"/>
        </w:object>
      </w:r>
    </w:p>
    <w:p w14:paraId="4F089DD2" w14:textId="77777777" w:rsidR="00BA7F15" w:rsidRDefault="00BA7F15" w:rsidP="00BA7F15">
      <w:pPr>
        <w:pStyle w:val="ris"/>
      </w:pPr>
      <w:r>
        <w:t xml:space="preserve">Рис. 6.2. Ємнісний перетворювач із змінною площею: </w:t>
      </w:r>
      <w:r>
        <w:br/>
        <w:t>а – конструкція; б – характеристика</w:t>
      </w:r>
    </w:p>
    <w:p w14:paraId="189B582C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Якщо</w:t>
      </w:r>
    </w:p>
    <w:p w14:paraId="1A9247BC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30"/>
          <w:sz w:val="22"/>
          <w:lang w:val="uk-UA"/>
        </w:rPr>
        <w:object w:dxaOrig="3060" w:dyaOrig="680" w14:anchorId="4B279F9B">
          <v:shape id="_x0000_i1034" type="#_x0000_t75" style="width:152.9pt;height:34.15pt" o:ole="">
            <v:imagedata r:id="rId22" o:title=""/>
          </v:shape>
          <o:OLEObject Type="Embed" ProgID="Equation.3" ShapeID="_x0000_i1034" DrawAspect="Content" ObjectID="_1664959313" r:id="rId23"/>
        </w:object>
      </w:r>
    </w:p>
    <w:p w14:paraId="78D6B02A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 можна дістати варіант конструкції ЄП із змінною діелектри</w:t>
      </w:r>
      <w:r>
        <w:rPr>
          <w:snapToGrid w:val="0"/>
          <w:sz w:val="22"/>
          <w:lang w:val="uk-UA"/>
        </w:rPr>
        <w:t>ч</w:t>
      </w:r>
      <w:r>
        <w:rPr>
          <w:snapToGrid w:val="0"/>
          <w:sz w:val="22"/>
          <w:lang w:val="uk-UA"/>
        </w:rPr>
        <w:t>ною проникністю (рис. 6.3, а, б):</w:t>
      </w:r>
    </w:p>
    <w:p w14:paraId="5F31364A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24"/>
          <w:sz w:val="22"/>
          <w:lang w:val="uk-UA"/>
        </w:rPr>
        <w:object w:dxaOrig="1620" w:dyaOrig="620" w14:anchorId="4A22E755">
          <v:shape id="_x0000_i1035" type="#_x0000_t75" style="width:80.9pt;height:30.85pt" o:ole="">
            <v:imagedata r:id="rId24" o:title=""/>
          </v:shape>
          <o:OLEObject Type="Embed" ProgID="Equation.3" ShapeID="_x0000_i1035" DrawAspect="Content" ObjectID="_1664959314" r:id="rId25"/>
        </w:object>
      </w:r>
    </w:p>
    <w:p w14:paraId="7DFC989C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</w:p>
    <w:p w14:paraId="5E778FCE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object w:dxaOrig="5608" w:dyaOrig="2225" w14:anchorId="3811828B">
          <v:shape id="_x0000_i1036" type="#_x0000_t75" style="width:280.5pt;height:111.25pt" o:ole="">
            <v:imagedata r:id="rId26" o:title=""/>
          </v:shape>
          <o:OLEObject Type="Embed" ProgID="Visio.Drawing.11" ShapeID="_x0000_i1036" DrawAspect="Content" ObjectID="_1664959315" r:id="rId27"/>
        </w:object>
      </w:r>
    </w:p>
    <w:p w14:paraId="2BD4CAD9" w14:textId="77777777" w:rsidR="00BA7F15" w:rsidRDefault="00BA7F15" w:rsidP="00BA7F15">
      <w:pPr>
        <w:pStyle w:val="ris"/>
      </w:pPr>
      <w:r>
        <w:t xml:space="preserve">Рис. 6.3. Ємнісний перетворювач із змінною діелектричною </w:t>
      </w:r>
      <w:r>
        <w:br/>
        <w:t>проникністю середовища: а – конструкція; б – характеристика</w:t>
      </w:r>
    </w:p>
    <w:p w14:paraId="1D76A7B9" w14:textId="77777777" w:rsidR="00BA7F15" w:rsidRDefault="00BA7F15" w:rsidP="00BA7F15">
      <w:pPr>
        <w:pStyle w:val="21"/>
      </w:pPr>
    </w:p>
    <w:p w14:paraId="6C0D2338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Ємнісні перетворювачі зі змінною діелектричною проникністю застосовуються значно рідше за інші.</w:t>
      </w:r>
    </w:p>
    <w:p w14:paraId="4F0D1254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 рис. 6.1, а показано схему ЄП зі змінним зазором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i/>
          <w:snapToGrid w:val="0"/>
          <w:sz w:val="22"/>
          <w:lang w:val="uk-UA"/>
        </w:rPr>
        <w:t>.</w:t>
      </w:r>
      <w:r>
        <w:rPr>
          <w:snapToGrid w:val="0"/>
          <w:sz w:val="22"/>
          <w:lang w:val="uk-UA"/>
        </w:rPr>
        <w:t xml:space="preserve"> Хара</w:t>
      </w:r>
      <w:r>
        <w:rPr>
          <w:snapToGrid w:val="0"/>
          <w:sz w:val="22"/>
          <w:lang w:val="uk-UA"/>
        </w:rPr>
        <w:t>к</w:t>
      </w:r>
      <w:r>
        <w:rPr>
          <w:snapToGrid w:val="0"/>
          <w:sz w:val="22"/>
          <w:lang w:val="uk-UA"/>
        </w:rPr>
        <w:t xml:space="preserve">теристика цього датчика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>(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) при сталих значеннях </w:t>
      </w:r>
      <w:r>
        <w:rPr>
          <w:i/>
          <w:snapToGrid w:val="0"/>
          <w:sz w:val="22"/>
          <w:lang w:val="uk-UA"/>
        </w:rPr>
        <w:sym w:font="Symbol" w:char="F065"/>
      </w:r>
      <w:r>
        <w:rPr>
          <w:snapToGrid w:val="0"/>
          <w:sz w:val="22"/>
          <w:lang w:val="uk-UA"/>
        </w:rPr>
        <w:t xml:space="preserve"> та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 xml:space="preserve"> змін</w:t>
      </w:r>
      <w:r>
        <w:rPr>
          <w:snapToGrid w:val="0"/>
          <w:sz w:val="22"/>
          <w:lang w:val="uk-UA"/>
        </w:rPr>
        <w:t>ю</w:t>
      </w:r>
      <w:r>
        <w:rPr>
          <w:snapToGrid w:val="0"/>
          <w:sz w:val="22"/>
          <w:lang w:val="uk-UA"/>
        </w:rPr>
        <w:t>ється за гіперболічним законом (див. рис. 6.1, б).</w:t>
      </w:r>
    </w:p>
    <w:p w14:paraId="43850B70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 рис. 6.2, а зображено схему ЄП із змінною площею взаємн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го перекриття пластин. Його характеристика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>(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>) змінюється майже лінійно (див. рис. 6.2,6).</w:t>
      </w:r>
    </w:p>
    <w:p w14:paraId="6214A93E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На рис. 6.3, а показано схему ЄП із змінною діелектричною проникністю. Його характеристика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 xml:space="preserve"> =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>(</w:t>
      </w:r>
      <w:r>
        <w:rPr>
          <w:i/>
          <w:snapToGrid w:val="0"/>
          <w:sz w:val="22"/>
          <w:lang w:val="uk-UA"/>
        </w:rPr>
        <w:sym w:font="Symbol" w:char="F065"/>
      </w:r>
      <w:r>
        <w:rPr>
          <w:snapToGrid w:val="0"/>
          <w:sz w:val="22"/>
          <w:lang w:val="uk-UA"/>
        </w:rPr>
        <w:t xml:space="preserve">) при сталих значеннях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lang w:val="uk-UA"/>
        </w:rPr>
        <w:t xml:space="preserve"> і </w:t>
      </w:r>
      <w:r>
        <w:rPr>
          <w:i/>
          <w:snapToGrid w:val="0"/>
          <w:sz w:val="22"/>
          <w:lang w:val="uk-UA"/>
        </w:rPr>
        <w:t>S</w:t>
      </w:r>
      <w:r>
        <w:rPr>
          <w:snapToGrid w:val="0"/>
          <w:sz w:val="22"/>
          <w:lang w:val="uk-UA"/>
        </w:rPr>
        <w:t xml:space="preserve"> також змінюється лінійно (див. рис. 6.3, б).</w:t>
      </w:r>
    </w:p>
    <w:p w14:paraId="4DAD9C65" w14:textId="77777777" w:rsidR="00BA7F15" w:rsidRDefault="00BA7F15" w:rsidP="00BA7F15">
      <w:pPr>
        <w:pStyle w:val="a3"/>
      </w:pPr>
      <w:r>
        <w:lastRenderedPageBreak/>
        <w:t>Щоб збільшити чутливість ЄП, застосовують диференціальні конструкції з рухомою середньою пластиною і змінним зазором (рис. 6.4). Під час переміщення середньої пластини ємність однієї половини такого перетворювача зростає, а другої половини зме</w:t>
      </w:r>
      <w:r>
        <w:t>н</w:t>
      </w:r>
      <w:r>
        <w:t>шується, тобто чутливість такого диференціального ЄП порівняно з простим перетворювачем збільшується.</w:t>
      </w:r>
    </w:p>
    <w:p w14:paraId="1855A59C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object w:dxaOrig="3468" w:dyaOrig="1379" w14:anchorId="12C9E019">
          <v:shape id="_x0000_i1037" type="#_x0000_t75" style="width:173.45pt;height:68.75pt" o:ole="">
            <v:imagedata r:id="rId28" o:title=""/>
          </v:shape>
          <o:OLEObject Type="Embed" ProgID="Visio.Drawing.11" ShapeID="_x0000_i1037" DrawAspect="Content" ObjectID="_1664959316" r:id="rId29"/>
        </w:object>
      </w:r>
    </w:p>
    <w:p w14:paraId="28BF2020" w14:textId="77777777" w:rsidR="00BA7F15" w:rsidRDefault="00BA7F15" w:rsidP="00BA7F15">
      <w:pPr>
        <w:pStyle w:val="ris"/>
      </w:pPr>
      <w:r>
        <w:t xml:space="preserve">Рис. 6.4. Диференціальний ємнісний перетворювач із </w:t>
      </w:r>
      <w:r>
        <w:br/>
        <w:t>змінним зазором</w:t>
      </w:r>
    </w:p>
    <w:p w14:paraId="474025EB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диференціального ЄП ємність кожної з його половин</w:t>
      </w:r>
    </w:p>
    <w:p w14:paraId="02FB8E5A" w14:textId="77777777" w:rsidR="00BA7F15" w:rsidRDefault="00BA7F15" w:rsidP="00BA7F15">
      <w:pPr>
        <w:pStyle w:val="aaa"/>
      </w:pPr>
      <w:r>
        <w:rPr>
          <w:position w:val="-28"/>
        </w:rPr>
        <w:object w:dxaOrig="2480" w:dyaOrig="639" w14:anchorId="65A6CB23">
          <v:shape id="_x0000_i1038" type="#_x0000_t75" style="width:123.9pt;height:31.8pt" o:ole="">
            <v:imagedata r:id="rId30" o:title=""/>
          </v:shape>
          <o:OLEObject Type="Embed" ProgID="Equation.3" ShapeID="_x0000_i1038" DrawAspect="Content" ObjectID="_1664959317" r:id="rId31"/>
        </w:object>
      </w:r>
    </w:p>
    <w:p w14:paraId="0790CE58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Щоб збільшити потужність вихідного сигналу, відстань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 xml:space="preserve"> між пластинами потрібно вибирати мінімальною. Проте при цьому зменшується і можливе переміщення рухомої пластини.</w:t>
      </w:r>
    </w:p>
    <w:p w14:paraId="5948A990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 рис. 6.5 зображено диференціальний ЄП із змінною площею взаємного перекриття пластин. Ємність кожної з його половин</w:t>
      </w:r>
    </w:p>
    <w:p w14:paraId="539DCE7F" w14:textId="77777777" w:rsidR="00BA7F15" w:rsidRDefault="00BA7F15" w:rsidP="00BA7F15">
      <w:pPr>
        <w:pStyle w:val="aaa"/>
      </w:pPr>
      <w:r>
        <w:rPr>
          <w:position w:val="-26"/>
        </w:rPr>
        <w:object w:dxaOrig="3320" w:dyaOrig="639" w14:anchorId="4ACBF66D">
          <v:shape id="_x0000_i1039" type="#_x0000_t75" style="width:165.95pt;height:31.8pt" o:ole="">
            <v:imagedata r:id="rId32" o:title=""/>
          </v:shape>
          <o:OLEObject Type="Embed" ProgID="Equation.3" ShapeID="_x0000_i1039" DrawAspect="Content" ObjectID="_1664959318" r:id="rId33"/>
        </w:object>
      </w:r>
    </w:p>
    <w:p w14:paraId="6807BCD8" w14:textId="77777777" w:rsidR="00BA7F15" w:rsidRDefault="00BA7F15" w:rsidP="00BA7F15">
      <w:pPr>
        <w:pStyle w:val="3"/>
      </w:pPr>
      <w:r>
        <w:t xml:space="preserve">де </w:t>
      </w:r>
      <w:r>
        <w:rPr>
          <w:i/>
          <w:iCs/>
        </w:rPr>
        <w:sym w:font="Symbol" w:char="F059"/>
      </w:r>
      <w:r>
        <w:t xml:space="preserve"> – кут повороту середньої пластини, що переміщується в межах </w:t>
      </w:r>
      <w:r>
        <w:sym w:font="Symbol" w:char="F0B1"/>
      </w:r>
      <w:r>
        <w:rPr>
          <w:i/>
        </w:rPr>
        <w:sym w:font="Symbol" w:char="F070"/>
      </w:r>
      <w:r>
        <w:t>/2.</w:t>
      </w:r>
    </w:p>
    <w:p w14:paraId="0BE49B17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object w:dxaOrig="1891" w:dyaOrig="1860" w14:anchorId="0DB97EFB">
          <v:shape id="_x0000_i1040" type="#_x0000_t75" style="width:94.45pt;height:93.05pt" o:ole="">
            <v:imagedata r:id="rId34" o:title=""/>
          </v:shape>
          <o:OLEObject Type="Embed" ProgID="Visio.Drawing.11" ShapeID="_x0000_i1040" DrawAspect="Content" ObjectID="_1664959319" r:id="rId35"/>
        </w:object>
      </w:r>
    </w:p>
    <w:p w14:paraId="5C1E750E" w14:textId="77777777" w:rsidR="00BA7F15" w:rsidRDefault="00BA7F15" w:rsidP="00BA7F15">
      <w:pPr>
        <w:pStyle w:val="ris"/>
      </w:pPr>
      <w:r>
        <w:t>Рис. 6.5. Диференціальний ємнісний перетворювач із змінною площею</w:t>
      </w:r>
    </w:p>
    <w:p w14:paraId="177D80AA" w14:textId="77777777" w:rsidR="00BA7F15" w:rsidRDefault="00BA7F15" w:rsidP="00BA7F15">
      <w:pPr>
        <w:pStyle w:val="2"/>
      </w:pPr>
      <w:r>
        <w:t>6.3. Основні схеми ввімкнення ЄП</w:t>
      </w:r>
    </w:p>
    <w:p w14:paraId="44BDC6C9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Для перетворення зміни ємності у відповідні зміни сили стр</w:t>
      </w:r>
      <w:r>
        <w:rPr>
          <w:snapToGrid w:val="0"/>
          <w:sz w:val="22"/>
          <w:lang w:val="uk-UA"/>
        </w:rPr>
        <w:t>у</w:t>
      </w:r>
      <w:r>
        <w:rPr>
          <w:snapToGrid w:val="0"/>
          <w:sz w:val="22"/>
          <w:lang w:val="uk-UA"/>
        </w:rPr>
        <w:t>му, напруги або частоти найчастіше застосовують мостову або резонансну схему вмикання ЄП.</w:t>
      </w:r>
    </w:p>
    <w:p w14:paraId="3F7FDC5E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Мостову схему ввімкнення зображено на рис. 6.6. За середнього положення рухомої пластини, коли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12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13</w:t>
      </w:r>
      <w:r>
        <w:rPr>
          <w:snapToGrid w:val="0"/>
          <w:sz w:val="22"/>
          <w:lang w:val="uk-UA"/>
        </w:rPr>
        <w:t xml:space="preserve">, тобто приріст </w:t>
      </w:r>
      <w:r>
        <w:rPr>
          <w:snapToGrid w:val="0"/>
          <w:sz w:val="22"/>
          <w:lang w:val="uk-UA"/>
        </w:rPr>
        <w:sym w:font="Symbol" w:char="F044"/>
      </w:r>
      <w:r>
        <w:rPr>
          <w:snapToGrid w:val="0"/>
          <w:sz w:val="22"/>
          <w:lang w:val="uk-UA"/>
        </w:rPr>
        <w:t>=0, міст збалансований і напруга на його виході дорівнює нулю.</w:t>
      </w:r>
    </w:p>
    <w:p w14:paraId="2735E9B4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</w:p>
    <w:p w14:paraId="5A5352EA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object w:dxaOrig="2384" w:dyaOrig="1819" w14:anchorId="20490C52">
          <v:shape id="_x0000_i1041" type="#_x0000_t75" style="width:119.2pt;height:91.15pt" o:ole="">
            <v:imagedata r:id="rId36" o:title=""/>
          </v:shape>
          <o:OLEObject Type="Embed" ProgID="Visio.Drawing.11" ShapeID="_x0000_i1041" DrawAspect="Content" ObjectID="_1664959320" r:id="rId37"/>
        </w:object>
      </w:r>
    </w:p>
    <w:p w14:paraId="49A0C182" w14:textId="77777777" w:rsidR="00BA7F15" w:rsidRDefault="00BA7F15" w:rsidP="00BA7F15">
      <w:pPr>
        <w:pStyle w:val="ris"/>
      </w:pPr>
      <w:r>
        <w:t>Рис. 6.6. Мостова схема ввімкнення ЄП</w:t>
      </w:r>
    </w:p>
    <w:p w14:paraId="372C84A6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 разі зміщення пластини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12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>+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 xml:space="preserve">;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13</w:t>
      </w:r>
      <w:r>
        <w:rPr>
          <w:snapToGrid w:val="0"/>
          <w:sz w:val="22"/>
          <w:lang w:val="uk-UA"/>
        </w:rPr>
        <w:t>=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>–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 xml:space="preserve">. На виході мосту виникне напруга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вих</w:t>
      </w:r>
      <w:r>
        <w:rPr>
          <w:snapToGrid w:val="0"/>
          <w:sz w:val="22"/>
          <w:lang w:val="uk-UA"/>
        </w:rPr>
        <w:t>.</w:t>
      </w:r>
    </w:p>
    <w:p w14:paraId="41E9A7C6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Визначимо залежність вихідної напруги від зміщення рухомої пластини за припущення, що міст навантажено на опір, який дор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 xml:space="preserve">внює нескінченності, тобто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vertAlign w:val="subscript"/>
          <w:lang w:val="uk-UA"/>
        </w:rPr>
        <w:t>н</w:t>
      </w:r>
      <w:r>
        <w:rPr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sym w:font="Symbol" w:char="F0B5"/>
      </w:r>
      <w:r>
        <w:rPr>
          <w:snapToGrid w:val="0"/>
          <w:sz w:val="22"/>
          <w:lang w:val="uk-UA"/>
        </w:rPr>
        <w:t>. Практично це відповідає випа</w:t>
      </w:r>
      <w:r>
        <w:rPr>
          <w:snapToGrid w:val="0"/>
          <w:sz w:val="22"/>
          <w:lang w:val="uk-UA"/>
        </w:rPr>
        <w:t>д</w:t>
      </w:r>
      <w:r>
        <w:rPr>
          <w:snapToGrid w:val="0"/>
          <w:sz w:val="22"/>
          <w:lang w:val="uk-UA"/>
        </w:rPr>
        <w:t xml:space="preserve">ку, коли вихідна напруга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вих</w:t>
      </w:r>
      <w:r>
        <w:rPr>
          <w:snapToGrid w:val="0"/>
          <w:sz w:val="22"/>
          <w:lang w:val="uk-UA"/>
        </w:rPr>
        <w:t xml:space="preserve"> подається на вхід підсилювача. При цьому величина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вих</w:t>
      </w:r>
      <w:r>
        <w:rPr>
          <w:snapToGrid w:val="0"/>
          <w:sz w:val="22"/>
          <w:lang w:val="uk-UA"/>
        </w:rPr>
        <w:t xml:space="preserve"> визначається за виразом (тут маємо справу з комплексним значенням вихідної напруги)</w:t>
      </w:r>
    </w:p>
    <w:p w14:paraId="3BD63E1B" w14:textId="77777777" w:rsidR="00BA7F15" w:rsidRDefault="00BA7F15" w:rsidP="00BA7F15">
      <w:pPr>
        <w:pStyle w:val="aaa"/>
      </w:pPr>
      <w:r>
        <w:rPr>
          <w:position w:val="-12"/>
        </w:rPr>
        <w:object w:dxaOrig="1600" w:dyaOrig="360" w14:anchorId="2D6A74EA">
          <v:shape id="_x0000_i1042" type="#_x0000_t75" style="width:79.95pt;height:18.25pt" o:ole="">
            <v:imagedata r:id="rId38" o:title=""/>
          </v:shape>
          <o:OLEObject Type="Embed" ProgID="Equation.3" ShapeID="_x0000_i1042" DrawAspect="Content" ObjectID="_1664959321" r:id="rId39"/>
        </w:object>
      </w:r>
    </w:p>
    <w:p w14:paraId="25197038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або згідно із схемою на рис. 6.6</w:t>
      </w:r>
    </w:p>
    <w:p w14:paraId="5BF2E916" w14:textId="77777777" w:rsidR="00BA7F15" w:rsidRDefault="00BA7F15" w:rsidP="00BA7F15">
      <w:pPr>
        <w:pStyle w:val="aaa"/>
      </w:pPr>
      <w:r>
        <w:rPr>
          <w:position w:val="-56"/>
        </w:rPr>
        <w:object w:dxaOrig="3100" w:dyaOrig="920" w14:anchorId="681407A7">
          <v:shape id="_x0000_i1043" type="#_x0000_t75" style="width:155.2pt;height:45.8pt" o:ole="">
            <v:imagedata r:id="rId40" o:title=""/>
          </v:shape>
          <o:OLEObject Type="Embed" ProgID="Equation.3" ShapeID="_x0000_i1043" DrawAspect="Content" ObjectID="_1664959322" r:id="rId41"/>
        </w:object>
      </w:r>
    </w:p>
    <w:p w14:paraId="10E4DB8B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sym w:font="Symbol" w:char="F077"/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>–</w:t>
      </w:r>
      <w:r>
        <w:rPr>
          <w:snapToGrid w:val="0"/>
          <w:sz w:val="22"/>
          <w:lang w:val="uk-UA"/>
        </w:rPr>
        <w:t xml:space="preserve"> кутова частота напруги живлення.</w:t>
      </w:r>
    </w:p>
    <w:p w14:paraId="36C72236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Підставивши сюди значення С</w:t>
      </w:r>
      <w:r>
        <w:rPr>
          <w:snapToGrid w:val="0"/>
          <w:sz w:val="22"/>
          <w:vertAlign w:val="subscript"/>
          <w:lang w:val="uk-UA"/>
        </w:rPr>
        <w:t>12</w:t>
      </w:r>
      <w:r>
        <w:rPr>
          <w:snapToGrid w:val="0"/>
          <w:sz w:val="22"/>
          <w:lang w:val="uk-UA"/>
        </w:rPr>
        <w:t xml:space="preserve"> і С</w:t>
      </w:r>
      <w:r>
        <w:rPr>
          <w:snapToGrid w:val="0"/>
          <w:sz w:val="22"/>
          <w:vertAlign w:val="subscript"/>
          <w:lang w:val="uk-UA"/>
        </w:rPr>
        <w:t>13</w:t>
      </w:r>
      <w:r>
        <w:rPr>
          <w:snapToGrid w:val="0"/>
          <w:sz w:val="22"/>
          <w:lang w:val="uk-UA"/>
        </w:rPr>
        <w:t>, дістанемо</w:t>
      </w:r>
    </w:p>
    <w:p w14:paraId="10784CBC" w14:textId="77777777" w:rsidR="00BA7F15" w:rsidRDefault="00BA7F15" w:rsidP="00BA7F15">
      <w:pPr>
        <w:pStyle w:val="aaa"/>
      </w:pPr>
      <w:r>
        <w:rPr>
          <w:position w:val="-28"/>
        </w:rPr>
        <w:object w:dxaOrig="3940" w:dyaOrig="639" w14:anchorId="637678EB">
          <v:shape id="_x0000_i1044" type="#_x0000_t75" style="width:196.85pt;height:31.8pt" o:ole="">
            <v:imagedata r:id="rId42" o:title=""/>
          </v:shape>
          <o:OLEObject Type="Embed" ProgID="Equation.3" ShapeID="_x0000_i1044" DrawAspect="Content" ObjectID="_1664959323" r:id="rId43"/>
        </w:object>
      </w:r>
    </w:p>
    <w:p w14:paraId="722476F9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Припускаємо, що зміна ємності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 xml:space="preserve"> в разі переміщення сере</w:t>
      </w:r>
      <w:r>
        <w:rPr>
          <w:snapToGrid w:val="0"/>
          <w:sz w:val="22"/>
          <w:lang w:val="uk-UA"/>
        </w:rPr>
        <w:t>д</w:t>
      </w:r>
      <w:r>
        <w:rPr>
          <w:snapToGrid w:val="0"/>
          <w:sz w:val="22"/>
          <w:lang w:val="uk-UA"/>
        </w:rPr>
        <w:t xml:space="preserve">ньої пластини невелика, тобто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&lt;&lt;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>.</w:t>
      </w:r>
      <w:r>
        <w:rPr>
          <w:snapToGrid w:val="0"/>
          <w:sz w:val="22"/>
          <w:lang w:val="uk-UA"/>
        </w:rPr>
        <w:t xml:space="preserve"> Отже, в знаменнику дод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 xml:space="preserve">нком, що містить </w:t>
      </w:r>
      <w:r>
        <w:rPr>
          <w:snapToGrid w:val="0"/>
          <w:sz w:val="22"/>
          <w:lang w:val="uk-UA"/>
        </w:rPr>
        <w:sym w:font="Symbol" w:char="F044"/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vertAlign w:val="subscript"/>
          <w:lang w:val="uk-UA"/>
        </w:rPr>
        <w:t>2</w:t>
      </w:r>
      <w:r>
        <w:rPr>
          <w:snapToGrid w:val="0"/>
          <w:sz w:val="22"/>
          <w:lang w:val="uk-UA"/>
        </w:rPr>
        <w:t>, можна знехтувати, і тоді наближено вихідна напруга</w:t>
      </w:r>
    </w:p>
    <w:p w14:paraId="7BF534E0" w14:textId="77777777" w:rsidR="00BA7F15" w:rsidRDefault="00BA7F15" w:rsidP="00BA7F15">
      <w:pPr>
        <w:pStyle w:val="aaa"/>
      </w:pPr>
      <w:r>
        <w:rPr>
          <w:position w:val="-28"/>
        </w:rPr>
        <w:object w:dxaOrig="2840" w:dyaOrig="639" w14:anchorId="5309B4C0">
          <v:shape id="_x0000_i1045" type="#_x0000_t75" style="width:142.15pt;height:31.8pt" o:ole="">
            <v:imagedata r:id="rId44" o:title=""/>
          </v:shape>
          <o:OLEObject Type="Embed" ProgID="Equation.3" ShapeID="_x0000_i1045" DrawAspect="Content" ObjectID="_1664959324" r:id="rId45"/>
        </w:object>
      </w:r>
    </w:p>
    <w:p w14:paraId="08FA707C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тому разі, коли ЄП виконано як перетворювач кутового п</w:t>
      </w:r>
      <w:r>
        <w:rPr>
          <w:snapToGrid w:val="0"/>
          <w:sz w:val="22"/>
          <w:lang w:val="uk-UA"/>
        </w:rPr>
        <w:t>е</w:t>
      </w:r>
      <w:r>
        <w:rPr>
          <w:snapToGrid w:val="0"/>
          <w:sz w:val="22"/>
          <w:lang w:val="uk-UA"/>
        </w:rPr>
        <w:t>реміщення, маємо</w:t>
      </w:r>
    </w:p>
    <w:p w14:paraId="0ABA094F" w14:textId="77777777" w:rsidR="00BA7F15" w:rsidRDefault="00BA7F15" w:rsidP="00BA7F15">
      <w:pPr>
        <w:pStyle w:val="aaa"/>
      </w:pPr>
      <w:r>
        <w:rPr>
          <w:position w:val="-22"/>
        </w:rPr>
        <w:object w:dxaOrig="4040" w:dyaOrig="580" w14:anchorId="3667FA60">
          <v:shape id="_x0000_i1046" type="#_x0000_t75" style="width:201.95pt;height:29pt" o:ole="">
            <v:imagedata r:id="rId46" o:title=""/>
          </v:shape>
          <o:OLEObject Type="Embed" ProgID="Equation.3" ShapeID="_x0000_i1046" DrawAspect="Content" ObjectID="_1664959325" r:id="rId47"/>
        </w:object>
      </w:r>
    </w:p>
    <w:p w14:paraId="1E03E163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Згідно з цим вираз вихідної напруги набирає вигляду</w:t>
      </w:r>
    </w:p>
    <w:p w14:paraId="15EA4399" w14:textId="77777777" w:rsidR="00BA7F15" w:rsidRDefault="00BA7F15" w:rsidP="00BA7F15">
      <w:pPr>
        <w:pStyle w:val="aaa"/>
      </w:pPr>
      <w:r>
        <w:rPr>
          <w:position w:val="-28"/>
        </w:rPr>
        <w:object w:dxaOrig="3180" w:dyaOrig="639" w14:anchorId="4DFCF96F">
          <v:shape id="_x0000_i1047" type="#_x0000_t75" style="width:158.95pt;height:31.8pt" o:ole="">
            <v:imagedata r:id="rId48" o:title=""/>
          </v:shape>
          <o:OLEObject Type="Embed" ProgID="Equation.3" ShapeID="_x0000_i1047" DrawAspect="Content" ObjectID="_1664959326" r:id="rId49"/>
        </w:object>
      </w:r>
    </w:p>
    <w:p w14:paraId="572FF3A3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Після нескладних перетворень можна знайти модуль вихідної напруги</w:t>
      </w:r>
    </w:p>
    <w:p w14:paraId="65A290C0" w14:textId="77777777" w:rsidR="00BA7F15" w:rsidRDefault="00BA7F15" w:rsidP="00BA7F15">
      <w:pPr>
        <w:pStyle w:val="aaa"/>
      </w:pPr>
      <w:r>
        <w:rPr>
          <w:position w:val="-36"/>
        </w:rPr>
        <w:object w:dxaOrig="4440" w:dyaOrig="720" w14:anchorId="7CF9F8E1">
          <v:shape id="_x0000_i1048" type="#_x0000_t75" style="width:222.1pt;height:36pt" o:ole="">
            <v:imagedata r:id="rId50" o:title=""/>
          </v:shape>
          <o:OLEObject Type="Embed" ProgID="Equation.3" ShapeID="_x0000_i1048" DrawAspect="Content" ObjectID="_1664959327" r:id="rId51"/>
        </w:object>
      </w:r>
    </w:p>
    <w:p w14:paraId="2897FC1B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або</w:t>
      </w:r>
    </w:p>
    <w:p w14:paraId="69AF4FED" w14:textId="77777777" w:rsidR="00BA7F15" w:rsidRDefault="00BA7F15" w:rsidP="00BA7F15">
      <w:pPr>
        <w:pStyle w:val="aaa"/>
      </w:pPr>
      <w:r>
        <w:rPr>
          <w:position w:val="-28"/>
        </w:rPr>
        <w:object w:dxaOrig="2420" w:dyaOrig="639" w14:anchorId="1CCDBC9D">
          <v:shape id="_x0000_i1049" type="#_x0000_t75" style="width:121.1pt;height:31.8pt" o:ole="">
            <v:imagedata r:id="rId52" o:title=""/>
          </v:shape>
          <o:OLEObject Type="Embed" ProgID="Equation.3" ShapeID="_x0000_i1049" DrawAspect="Content" ObjectID="_1664959328" r:id="rId53"/>
        </w:object>
      </w:r>
    </w:p>
    <w:p w14:paraId="059A392D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Щоб визначити умови максимальної крутості характеристики, розв'язуємо рівняння </w:t>
      </w:r>
      <w:r>
        <w:rPr>
          <w:i/>
          <w:snapToGrid w:val="0"/>
          <w:sz w:val="22"/>
          <w:lang w:val="uk-UA"/>
        </w:rPr>
        <w:t>dU</w:t>
      </w:r>
      <w:r>
        <w:rPr>
          <w:snapToGrid w:val="0"/>
          <w:sz w:val="22"/>
          <w:vertAlign w:val="subscript"/>
          <w:lang w:val="uk-UA"/>
        </w:rPr>
        <w:t>вих</w:t>
      </w:r>
      <w:r>
        <w:rPr>
          <w:snapToGrid w:val="0"/>
          <w:sz w:val="22"/>
          <w:lang w:val="uk-UA"/>
        </w:rPr>
        <w:t>/</w:t>
      </w:r>
      <w:r>
        <w:rPr>
          <w:i/>
          <w:snapToGrid w:val="0"/>
          <w:sz w:val="22"/>
          <w:lang w:val="uk-UA"/>
        </w:rPr>
        <w:t>dR</w:t>
      </w:r>
      <w:r>
        <w:rPr>
          <w:snapToGrid w:val="0"/>
          <w:sz w:val="22"/>
          <w:lang w:val="uk-UA"/>
        </w:rPr>
        <w:t xml:space="preserve"> =0; маємо</w:t>
      </w:r>
    </w:p>
    <w:p w14:paraId="0890336A" w14:textId="77777777" w:rsidR="00BA7F15" w:rsidRDefault="00BA7F15" w:rsidP="00BA7F15">
      <w:pPr>
        <w:pStyle w:val="aaa"/>
      </w:pPr>
      <w:r>
        <w:rPr>
          <w:position w:val="-28"/>
        </w:rPr>
        <w:object w:dxaOrig="4280" w:dyaOrig="680" w14:anchorId="1BC983AB">
          <v:shape id="_x0000_i1050" type="#_x0000_t75" style="width:214.15pt;height:34.15pt" o:ole="">
            <v:imagedata r:id="rId54" o:title=""/>
          </v:shape>
          <o:OLEObject Type="Embed" ProgID="Equation.3" ShapeID="_x0000_i1050" DrawAspect="Content" ObjectID="_1664959329" r:id="rId55"/>
        </w:object>
      </w:r>
    </w:p>
    <w:p w14:paraId="1F11289A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Прирівнюючи здобутий вираз до нуля і розв'язуючи відносно </w:t>
      </w:r>
      <w:r>
        <w:rPr>
          <w:i/>
          <w:snapToGrid w:val="0"/>
          <w:sz w:val="22"/>
          <w:lang w:val="uk-UA"/>
        </w:rPr>
        <w:t xml:space="preserve">R, </w:t>
      </w:r>
      <w:r>
        <w:rPr>
          <w:snapToGrid w:val="0"/>
          <w:sz w:val="22"/>
          <w:lang w:val="uk-UA"/>
        </w:rPr>
        <w:t xml:space="preserve">маємо умову максимальної крутості характеристики схеми </w:t>
      </w:r>
      <w:r>
        <w:rPr>
          <w:i/>
          <w:snapToGrid w:val="0"/>
          <w:sz w:val="22"/>
          <w:lang w:val="uk-UA"/>
        </w:rPr>
        <w:t>R</w:t>
      </w:r>
      <w:r>
        <w:rPr>
          <w:snapToGrid w:val="0"/>
          <w:sz w:val="22"/>
          <w:lang w:val="uk-UA"/>
        </w:rPr>
        <w:t>=1/(</w:t>
      </w:r>
      <w:r>
        <w:rPr>
          <w:i/>
          <w:snapToGrid w:val="0"/>
          <w:sz w:val="22"/>
          <w:lang w:val="uk-UA"/>
        </w:rPr>
        <w:sym w:font="Symbol" w:char="F077"/>
      </w:r>
      <w:r>
        <w:rPr>
          <w:snapToGrid w:val="0"/>
          <w:sz w:val="22"/>
          <w:vertAlign w:val="subscript"/>
          <w:lang w:val="uk-UA"/>
        </w:rPr>
        <w:t>0</w:t>
      </w:r>
      <w:r>
        <w:rPr>
          <w:i/>
          <w:snapToGrid w:val="0"/>
          <w:sz w:val="22"/>
          <w:lang w:val="uk-UA"/>
        </w:rPr>
        <w:t>C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>), за якої формула для визначення вихідної напруги набирає вигляду</w:t>
      </w:r>
    </w:p>
    <w:p w14:paraId="704F4D2C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22"/>
          <w:sz w:val="22"/>
          <w:lang w:val="uk-UA"/>
        </w:rPr>
        <w:object w:dxaOrig="1320" w:dyaOrig="580" w14:anchorId="1CCCE62E">
          <v:shape id="_x0000_i1051" type="#_x0000_t75" style="width:65.9pt;height:29pt" o:ole="">
            <v:imagedata r:id="rId56" o:title=""/>
          </v:shape>
          <o:OLEObject Type="Embed" ProgID="Equation.3" ShapeID="_x0000_i1051" DrawAspect="Content" ObjectID="_1664959330" r:id="rId57"/>
        </w:object>
      </w:r>
    </w:p>
    <w:p w14:paraId="2D5077CA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Резонансну схему вмикання ЄП показано на рис. 6.7. У такій схемі ЄП – елемент резонансного контуру, і зміна ємності ЄП спричиняє зміну резонансної частоти, що, у свою чергу, приводить до зміни амплітуди струму, який протікає по контуру.</w:t>
      </w:r>
    </w:p>
    <w:p w14:paraId="03103BF4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</w:p>
    <w:p w14:paraId="20D8C2A1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object w:dxaOrig="3949" w:dyaOrig="2140" w14:anchorId="7BA728E1">
          <v:shape id="_x0000_i1052" type="#_x0000_t75" style="width:197.3pt;height:107.05pt" o:ole="">
            <v:imagedata r:id="rId58" o:title=""/>
          </v:shape>
          <o:OLEObject Type="Embed" ProgID="Visio.Drawing.11" ShapeID="_x0000_i1052" DrawAspect="Content" ObjectID="_1664959331" r:id="rId59"/>
        </w:object>
      </w:r>
    </w:p>
    <w:p w14:paraId="36AF5CCE" w14:textId="77777777" w:rsidR="00BA7F15" w:rsidRDefault="00BA7F15" w:rsidP="00BA7F15">
      <w:pPr>
        <w:pStyle w:val="ris"/>
      </w:pPr>
      <w:r>
        <w:t>Рис. 6.7. Резонансна схема ввімкнення ЄП</w:t>
      </w:r>
    </w:p>
    <w:p w14:paraId="00880BCE" w14:textId="77777777" w:rsidR="00BA7F15" w:rsidRDefault="00BA7F15" w:rsidP="00BA7F15">
      <w:pPr>
        <w:pStyle w:val="a3"/>
      </w:pPr>
      <w:r>
        <w:t xml:space="preserve">Генератор 1 високої частоти живить індуктивне пов'язаний з ним контур, що складається із індуктивності </w:t>
      </w:r>
      <w:r>
        <w:rPr>
          <w:i/>
        </w:rPr>
        <w:t>L,</w:t>
      </w:r>
      <w:r>
        <w:t xml:space="preserve"> змінного конденс</w:t>
      </w:r>
      <w:r>
        <w:t>а</w:t>
      </w:r>
      <w:r>
        <w:t xml:space="preserve">тора підстроювання </w:t>
      </w:r>
      <w:r>
        <w:rPr>
          <w:i/>
        </w:rPr>
        <w:t>С</w:t>
      </w:r>
      <w:r>
        <w:t xml:space="preserve"> і ЄП </w:t>
      </w:r>
      <w:r>
        <w:rPr>
          <w:i/>
        </w:rPr>
        <w:t>С</w:t>
      </w:r>
      <w:r>
        <w:rPr>
          <w:i/>
          <w:vertAlign w:val="subscript"/>
        </w:rPr>
        <w:t>x</w:t>
      </w:r>
      <w:r>
        <w:t xml:space="preserve"> Напруга </w:t>
      </w:r>
      <w:r>
        <w:rPr>
          <w:i/>
        </w:rPr>
        <w:t>U</w:t>
      </w:r>
      <w:r>
        <w:rPr>
          <w:i/>
          <w:vertAlign w:val="subscript"/>
        </w:rPr>
        <w:t>x</w:t>
      </w:r>
      <w:r>
        <w:t>, що знімається з конт</w:t>
      </w:r>
      <w:r>
        <w:t>у</w:t>
      </w:r>
      <w:r>
        <w:t xml:space="preserve">ру, підсилюється підсилювачем 2 і вимірюється гальванометром 3. За допомогою конденсатора підстроювання </w:t>
      </w:r>
      <w:r>
        <w:rPr>
          <w:i/>
        </w:rPr>
        <w:t>С</w:t>
      </w:r>
      <w:r>
        <w:t xml:space="preserve"> контур за середнь</w:t>
      </w:r>
      <w:r>
        <w:t>о</w:t>
      </w:r>
      <w:r>
        <w:t>го положення рухомої пластини ЄП настроюється на частоту, близьку до резонансної з частотою генератора. При цьому дом</w:t>
      </w:r>
      <w:r>
        <w:t>а</w:t>
      </w:r>
      <w:r>
        <w:t xml:space="preserve">гаються </w:t>
      </w:r>
      <w:r>
        <w:lastRenderedPageBreak/>
        <w:t>такого настроювання, щоб напруга, яка знімається з ко</w:t>
      </w:r>
      <w:r>
        <w:t>н</w:t>
      </w:r>
      <w:r>
        <w:t xml:space="preserve">туру, дорівнювала приблизно половині напруги при резонансі </w:t>
      </w:r>
      <w:r>
        <w:rPr>
          <w:i/>
        </w:rPr>
        <w:t>U</w:t>
      </w:r>
      <w:r>
        <w:rPr>
          <w:vertAlign w:val="subscript"/>
        </w:rPr>
        <w:t>р</w:t>
      </w:r>
      <w:r>
        <w:rPr>
          <w:i/>
        </w:rPr>
        <w:t>.</w:t>
      </w:r>
      <w:r>
        <w:t xml:space="preserve"> У цьому разі робоча точка </w:t>
      </w:r>
      <w:r>
        <w:rPr>
          <w:i/>
        </w:rPr>
        <w:t>N</w:t>
      </w:r>
      <w:r>
        <w:t xml:space="preserve"> характеристики схеми, показаної на рис. 6.8, розміщена на лінійній частині половини резонансної кривої. Цим забезпечується лінійна залежність і однозначність показів гальванометра як функції від зміни ємності </w:t>
      </w:r>
      <w:r>
        <w:sym w:font="Symbol" w:char="F044"/>
      </w:r>
      <w:r>
        <w:t>С</w:t>
      </w:r>
      <w:r>
        <w:rPr>
          <w:i/>
          <w:vertAlign w:val="subscript"/>
        </w:rPr>
        <w:t>x</w:t>
      </w:r>
      <w:r>
        <w:t xml:space="preserve">. ЄП під час переміщення його рухомої пластини і, крім того, досягається стійкість роботи схеми. Із цих міркувань положення робочої точки у точці </w:t>
      </w:r>
      <w:r>
        <w:rPr>
          <w:i/>
        </w:rPr>
        <w:t>N</w:t>
      </w:r>
      <w:r>
        <w:t xml:space="preserve"> вигідніше, ніж у точці </w:t>
      </w:r>
      <w:r>
        <w:rPr>
          <w:i/>
        </w:rPr>
        <w:t>М</w:t>
      </w:r>
      <w:r>
        <w:t>, хоча напруга на виході схеми і буде вдвічі меншою.</w:t>
      </w:r>
    </w:p>
    <w:p w14:paraId="7E397D74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Роботою на резонансній ділянці характеристики досягається висока чутливість схеми. Невелика зміна положення рухомої пластини ЄП спричиняє різку зміну вихідної напруги, що знім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ється зі схеми.</w:t>
      </w:r>
    </w:p>
    <w:p w14:paraId="7E8EBE01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відома ємність </w:t>
      </w:r>
      <w:r>
        <w:rPr>
          <w:i/>
          <w:snapToGrid w:val="0"/>
          <w:sz w:val="22"/>
          <w:lang w:val="uk-UA"/>
        </w:rPr>
        <w:t>С</w:t>
      </w:r>
      <w:r>
        <w:rPr>
          <w:i/>
          <w:snapToGrid w:val="0"/>
          <w:sz w:val="22"/>
          <w:vertAlign w:val="subscript"/>
          <w:lang w:val="uk-UA"/>
        </w:rPr>
        <w:t>x</w:t>
      </w:r>
      <w:r>
        <w:rPr>
          <w:snapToGrid w:val="0"/>
          <w:sz w:val="22"/>
          <w:lang w:val="uk-UA"/>
        </w:rPr>
        <w:t xml:space="preserve"> ЄП і знехтувати значенням активного опору, то можна легко вибрати параметри контура </w:t>
      </w:r>
      <w:r>
        <w:rPr>
          <w:i/>
          <w:snapToGrid w:val="0"/>
          <w:sz w:val="22"/>
          <w:lang w:val="uk-UA"/>
        </w:rPr>
        <w:t>L, С,</w:t>
      </w:r>
      <w:r>
        <w:rPr>
          <w:snapToGrid w:val="0"/>
          <w:sz w:val="22"/>
          <w:lang w:val="uk-UA"/>
        </w:rPr>
        <w:t xml:space="preserve"> з умови резонансу</w:t>
      </w:r>
    </w:p>
    <w:p w14:paraId="451C2346" w14:textId="77777777" w:rsidR="00BA7F15" w:rsidRDefault="00BA7F15" w:rsidP="00BA7F15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2"/>
          <w:sz w:val="22"/>
          <w:lang w:val="uk-UA"/>
        </w:rPr>
        <w:object w:dxaOrig="2160" w:dyaOrig="680" w14:anchorId="56D84C74">
          <v:shape id="_x0000_i1053" type="#_x0000_t75" style="width:108pt;height:34.15pt" o:ole="">
            <v:imagedata r:id="rId60" o:title=""/>
          </v:shape>
          <o:OLEObject Type="Embed" ProgID="Equation.3" ShapeID="_x0000_i1053" DrawAspect="Content" ObjectID="_1664959332" r:id="rId61"/>
        </w:object>
      </w:r>
    </w:p>
    <w:p w14:paraId="63821875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sym w:font="Symbol" w:char="F077"/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 xml:space="preserve"> – частота резонансного контуру, що дорівнює частоті генер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тора, який живить схему.</w:t>
      </w:r>
    </w:p>
    <w:p w14:paraId="10F12D27" w14:textId="77777777" w:rsidR="00BA7F15" w:rsidRDefault="00BA7F15" w:rsidP="00BA7F15">
      <w:pPr>
        <w:jc w:val="center"/>
        <w:rPr>
          <w:snapToGrid w:val="0"/>
          <w:sz w:val="22"/>
          <w:lang w:val="uk-UA"/>
        </w:rPr>
      </w:pPr>
      <w:r>
        <w:object w:dxaOrig="3379" w:dyaOrig="2508" w14:anchorId="42F9DCC6">
          <v:shape id="_x0000_i1054" type="#_x0000_t75" style="width:168.8pt;height:125.3pt" o:ole="">
            <v:imagedata r:id="rId62" o:title=""/>
          </v:shape>
          <o:OLEObject Type="Embed" ProgID="Visio.Drawing.11" ShapeID="_x0000_i1054" DrawAspect="Content" ObjectID="_1664959333" r:id="rId63"/>
        </w:object>
      </w:r>
    </w:p>
    <w:p w14:paraId="0F5DF32F" w14:textId="77777777" w:rsidR="00BA7F15" w:rsidRDefault="00BA7F15" w:rsidP="00BA7F15">
      <w:pPr>
        <w:pStyle w:val="ris"/>
      </w:pPr>
      <w:r>
        <w:t xml:space="preserve">Рис. 6.8. Вихідна характеристика резонансної схеми </w:t>
      </w:r>
      <w:r>
        <w:br/>
        <w:t>ввімкнення ЄП</w:t>
      </w:r>
    </w:p>
    <w:p w14:paraId="22470687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Недолік резонансної схеми – необхідність стабілізувати частоту напруги живлення.</w:t>
      </w:r>
    </w:p>
    <w:p w14:paraId="19D22237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Величина зворотного впливу ЄП визначається силою електро</w:t>
      </w:r>
      <w:r>
        <w:rPr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татичного притягання між пластинами, Н або Гн,</w:t>
      </w:r>
    </w:p>
    <w:p w14:paraId="2D776229" w14:textId="77777777" w:rsidR="00BA7F15" w:rsidRDefault="00BA7F15" w:rsidP="00BA7F15">
      <w:pPr>
        <w:pStyle w:val="aaa"/>
      </w:pPr>
      <w:r>
        <w:rPr>
          <w:position w:val="-30"/>
        </w:rPr>
        <w:object w:dxaOrig="3140" w:dyaOrig="720" w14:anchorId="06978195">
          <v:shape id="_x0000_i1055" type="#_x0000_t75" style="width:157.1pt;height:36pt" o:ole="">
            <v:imagedata r:id="rId64" o:title=""/>
          </v:shape>
          <o:OLEObject Type="Embed" ProgID="Equation.3" ShapeID="_x0000_i1055" DrawAspect="Content" ObjectID="_1664959334" r:id="rId65"/>
        </w:object>
      </w:r>
    </w:p>
    <w:p w14:paraId="57FD91FD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W</w:t>
      </w:r>
      <w:r>
        <w:rPr>
          <w:snapToGrid w:val="0"/>
          <w:sz w:val="22"/>
          <w:vertAlign w:val="subscript"/>
          <w:lang w:val="uk-UA"/>
        </w:rPr>
        <w:t>е</w:t>
      </w:r>
      <w:r>
        <w:rPr>
          <w:snapToGrid w:val="0"/>
          <w:sz w:val="22"/>
          <w:lang w:val="uk-UA"/>
        </w:rPr>
        <w:t xml:space="preserve"> – енергія електростатичного поля, Дж; </w:t>
      </w:r>
      <w:r>
        <w:rPr>
          <w:i/>
          <w:snapToGrid w:val="0"/>
          <w:sz w:val="22"/>
          <w:lang w:val="uk-UA"/>
        </w:rPr>
        <w:sym w:font="Symbol" w:char="F064"/>
      </w:r>
      <w:r>
        <w:rPr>
          <w:i/>
          <w:snapToGrid w:val="0"/>
          <w:sz w:val="22"/>
          <w:lang w:val="uk-UA"/>
        </w:rPr>
        <w:t xml:space="preserve"> – </w:t>
      </w:r>
      <w:r>
        <w:rPr>
          <w:snapToGrid w:val="0"/>
          <w:sz w:val="22"/>
          <w:lang w:val="uk-UA"/>
        </w:rPr>
        <w:t xml:space="preserve">зазор, м;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 xml:space="preserve"> – ємність, ф; </w:t>
      </w:r>
      <w:r>
        <w:rPr>
          <w:i/>
          <w:snapToGrid w:val="0"/>
          <w:sz w:val="22"/>
          <w:lang w:val="uk-UA"/>
        </w:rPr>
        <w:t>U</w:t>
      </w:r>
      <w:r>
        <w:rPr>
          <w:snapToGrid w:val="0"/>
          <w:sz w:val="22"/>
          <w:vertAlign w:val="subscript"/>
          <w:lang w:val="uk-UA"/>
        </w:rPr>
        <w:t>0</w:t>
      </w:r>
      <w:r>
        <w:rPr>
          <w:snapToGrid w:val="0"/>
          <w:sz w:val="22"/>
          <w:lang w:val="uk-UA"/>
        </w:rPr>
        <w:t xml:space="preserve"> – напруга джерела живлення, В.</w:t>
      </w:r>
    </w:p>
    <w:p w14:paraId="35D6819C" w14:textId="77777777" w:rsidR="00BA7F15" w:rsidRDefault="00BA7F15" w:rsidP="00BA7F15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Середня за період величина сили дорівнює половині її ампліт</w:t>
      </w:r>
      <w:r>
        <w:rPr>
          <w:snapToGrid w:val="0"/>
          <w:sz w:val="22"/>
          <w:lang w:val="uk-UA"/>
        </w:rPr>
        <w:t>у</w:t>
      </w:r>
      <w:r>
        <w:rPr>
          <w:snapToGrid w:val="0"/>
          <w:sz w:val="22"/>
          <w:lang w:val="uk-UA"/>
        </w:rPr>
        <w:t>дного значення. Для диференціального датчика потрібно визнач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ти різницю сил взаємодії рухомої пластини з двома нерухомими.</w:t>
      </w:r>
    </w:p>
    <w:p w14:paraId="01370A54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Використовувати ЄП на промисловій частоті практично нем</w:t>
      </w:r>
      <w:r>
        <w:rPr>
          <w:snapToGrid w:val="0"/>
          <w:sz w:val="22"/>
          <w:lang w:val="uk-UA"/>
        </w:rPr>
        <w:t>о</w:t>
      </w:r>
      <w:r>
        <w:rPr>
          <w:snapToGrid w:val="0"/>
          <w:sz w:val="22"/>
          <w:lang w:val="uk-UA"/>
        </w:rPr>
        <w:t xml:space="preserve">жливо. Справді, ємність основного типу змінного (повітряного) конденсатора без значного збільшення його габаритних розмірів не перевищує 100...200 пФ. Опір ЄП з ємністю </w:t>
      </w:r>
      <w:r>
        <w:rPr>
          <w:i/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=100 пФ=100</w:t>
      </w:r>
      <w:r>
        <w:rPr>
          <w:snapToGrid w:val="0"/>
          <w:sz w:val="22"/>
          <w:lang w:val="uk-UA"/>
        </w:rPr>
        <w:sym w:font="Symbol" w:char="F0D7"/>
      </w:r>
      <w:r>
        <w:rPr>
          <w:snapToGrid w:val="0"/>
          <w:sz w:val="22"/>
          <w:lang w:val="uk-UA"/>
        </w:rPr>
        <w:t>10</w:t>
      </w:r>
      <w:r>
        <w:rPr>
          <w:snapToGrid w:val="0"/>
          <w:sz w:val="22"/>
          <w:vertAlign w:val="superscript"/>
          <w:lang w:val="uk-UA"/>
        </w:rPr>
        <w:t>-12</w:t>
      </w:r>
      <w:r>
        <w:rPr>
          <w:snapToGrid w:val="0"/>
          <w:sz w:val="22"/>
          <w:lang w:val="uk-UA"/>
        </w:rPr>
        <w:t xml:space="preserve"> Ф на промисловій частоті </w:t>
      </w:r>
      <w:r>
        <w:rPr>
          <w:i/>
          <w:snapToGrid w:val="0"/>
          <w:sz w:val="22"/>
          <w:lang w:val="uk-UA"/>
        </w:rPr>
        <w:t>f</w:t>
      </w:r>
      <w:r>
        <w:rPr>
          <w:snapToGrid w:val="0"/>
          <w:sz w:val="22"/>
          <w:lang w:val="uk-UA"/>
        </w:rPr>
        <w:t xml:space="preserve"> =50 Гц визначається як</w:t>
      </w:r>
    </w:p>
    <w:p w14:paraId="3793E506" w14:textId="77777777" w:rsidR="00BA7F15" w:rsidRDefault="00BA7F15" w:rsidP="00BA7F15">
      <w:pPr>
        <w:pStyle w:val="aaa"/>
      </w:pPr>
      <w:r>
        <w:rPr>
          <w:position w:val="-28"/>
        </w:rPr>
        <w:object w:dxaOrig="3960" w:dyaOrig="639" w14:anchorId="7D52E8F2">
          <v:shape id="_x0000_i1056" type="#_x0000_t75" style="width:198.25pt;height:31.8pt" o:ole="">
            <v:imagedata r:id="rId66" o:title=""/>
          </v:shape>
          <o:OLEObject Type="Embed" ProgID="Equation.3" ShapeID="_x0000_i1056" DrawAspect="Content" ObjectID="_1664959335" r:id="rId67"/>
        </w:object>
      </w:r>
    </w:p>
    <w:p w14:paraId="3FC5ECF9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Таке велике значення опору ЄП виключає можливість його практичного застосування для вимірювальних цілей через сильний вплив паразитних параметрів (витікання тощо).</w:t>
      </w:r>
    </w:p>
    <w:p w14:paraId="2720F0F0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Потужність, що споживається при цьому ЄП,</w:t>
      </w:r>
    </w:p>
    <w:p w14:paraId="35C7F0EB" w14:textId="77777777" w:rsidR="00BA7F15" w:rsidRDefault="00BA7F15" w:rsidP="00BA7F15">
      <w:pPr>
        <w:pStyle w:val="aaa"/>
      </w:pPr>
      <w:r>
        <w:rPr>
          <w:position w:val="-24"/>
        </w:rPr>
        <w:object w:dxaOrig="3040" w:dyaOrig="639" w14:anchorId="70BF987A">
          <v:shape id="_x0000_i1057" type="#_x0000_t75" style="width:151.95pt;height:31.8pt" o:ole="">
            <v:imagedata r:id="rId68" o:title=""/>
          </v:shape>
          <o:OLEObject Type="Embed" ProgID="Equation.3" ShapeID="_x0000_i1057" DrawAspect="Content" ObjectID="_1664959336" r:id="rId69"/>
        </w:object>
      </w:r>
    </w:p>
    <w:p w14:paraId="52723705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U –</w:t>
      </w:r>
      <w:r>
        <w:rPr>
          <w:snapToGrid w:val="0"/>
          <w:sz w:val="22"/>
          <w:lang w:val="uk-UA"/>
        </w:rPr>
        <w:t xml:space="preserve"> напруга живлення, взята такою, що дорівнює 100 В.</w:t>
      </w:r>
    </w:p>
    <w:p w14:paraId="02B597E2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Природно, що потужність, яка віддається ЄП у колі навант</w:t>
      </w:r>
      <w:r>
        <w:rPr>
          <w:snapToGrid w:val="0"/>
          <w:sz w:val="22"/>
          <w:lang w:val="uk-UA"/>
        </w:rPr>
        <w:t>а</w:t>
      </w:r>
      <w:r>
        <w:rPr>
          <w:snapToGrid w:val="0"/>
          <w:sz w:val="22"/>
          <w:lang w:val="uk-UA"/>
        </w:rPr>
        <w:t>ження, має бути ще меншою.</w:t>
      </w:r>
    </w:p>
    <w:p w14:paraId="0B905D25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 підвищенням частоти живлення ЄП недоліки, проілюстровані прикладом, згладжуються. Проте вони лишаються істотними, коли взяти до уваги, що на практиці уникають використовувати частоту живлення понад 50...60 кГц, оскільки з підвищенням частоти все важче діставати суворо пропорційне зусилля та перетворювати сигнал. В авіаційній техніці, як уже зазначалося, великого </w:t>
      </w:r>
      <w:r>
        <w:rPr>
          <w:snapToGrid w:val="0"/>
          <w:sz w:val="22"/>
          <w:lang w:val="uk-UA"/>
        </w:rPr>
        <w:lastRenderedPageBreak/>
        <w:t>пош</w:t>
      </w:r>
      <w:r>
        <w:rPr>
          <w:snapToGrid w:val="0"/>
          <w:sz w:val="22"/>
          <w:lang w:val="uk-UA"/>
        </w:rPr>
        <w:t>и</w:t>
      </w:r>
      <w:r>
        <w:rPr>
          <w:snapToGrid w:val="0"/>
          <w:sz w:val="22"/>
          <w:lang w:val="uk-UA"/>
        </w:rPr>
        <w:t>рення набули ємнісні паливоміри [3], в основу цих приладів по</w:t>
      </w:r>
      <w:r>
        <w:rPr>
          <w:snapToGrid w:val="0"/>
          <w:sz w:val="22"/>
          <w:lang w:val="uk-UA"/>
        </w:rPr>
        <w:t>к</w:t>
      </w:r>
      <w:r>
        <w:rPr>
          <w:snapToGrid w:val="0"/>
          <w:sz w:val="22"/>
          <w:lang w:val="uk-UA"/>
        </w:rPr>
        <w:t>ладено ЄП, що грунтуються на зміні діелектричної проникності. Такий ЄП являє собою циліндричний конденсатор з внутрішнім електродом, зовнішнім та ізоляційним шарами. Між ізоляційним шаром і зовнішнім електродом міститься шар рідини, рівень якої потрібно виміряти. Ємність змінюється в результаті зміни діелек</w:t>
      </w:r>
      <w:r>
        <w:rPr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>ричної проникності конденсатора, якщо змінюється рівень рідини палива.</w:t>
      </w:r>
    </w:p>
    <w:p w14:paraId="3C521615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Ємнісні паливоміри використовують для вимірювання кількості всіх видів палива, але вони майже незамінні при вимірюванні кількості хімічно активних рідин, що застосовуються як паливні компоненти в двигунах. Істотні переваги мають ємнісні паливом</w:t>
      </w:r>
      <w:r>
        <w:rPr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ри порівняно з поплавковими: відсутність у чутливому елементі (яким є ЄП) рухомих частин, менші похибки під час кренів і при</w:t>
      </w:r>
      <w:r>
        <w:rPr>
          <w:snapToGrid w:val="0"/>
          <w:sz w:val="22"/>
          <w:lang w:val="uk-UA"/>
        </w:rPr>
        <w:t>с</w:t>
      </w:r>
      <w:r>
        <w:rPr>
          <w:snapToGrid w:val="0"/>
          <w:sz w:val="22"/>
          <w:lang w:val="uk-UA"/>
        </w:rPr>
        <w:t>корень літака.</w:t>
      </w:r>
    </w:p>
    <w:p w14:paraId="3425F298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ЄП ставлять такі вимоги:</w:t>
      </w:r>
    </w:p>
    <w:p w14:paraId="2ED88D02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всі елементи мають бути ізольовані один від одного;</w:t>
      </w:r>
    </w:p>
    <w:p w14:paraId="44A64CC2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геометричні розміри не повинні змінюватися від температури, вологості, часу, динамічних навантажень.</w:t>
      </w:r>
    </w:p>
    <w:p w14:paraId="3ADB8FCF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Звичайно ЄП вмикають в мостову схему. Оскільки внутрішній опір їх великий, а власна ємність невелика, потрібно ретельно екранувати всі підвідні проводи, щоб уникнути наводок, усувати паразитні витікання, що шунтують робочу ємність; вторинний перетворювач, підключений до вимірювальної діагоналі мосту, має споживати незначну потужність, тобто мати великий вхідний опір.</w:t>
      </w:r>
    </w:p>
    <w:p w14:paraId="1428D02B" w14:textId="77777777" w:rsidR="00BA7F15" w:rsidRDefault="00BA7F15" w:rsidP="00BA7F15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Щоб збільшити ємність, іноді вдаються до паралельного з'є</w:t>
      </w:r>
      <w:r>
        <w:rPr>
          <w:snapToGrid w:val="0"/>
          <w:sz w:val="22"/>
          <w:lang w:val="uk-UA"/>
        </w:rPr>
        <w:t>д</w:t>
      </w:r>
      <w:r>
        <w:rPr>
          <w:snapToGrid w:val="0"/>
          <w:sz w:val="22"/>
          <w:lang w:val="uk-UA"/>
        </w:rPr>
        <w:t>нання ЄП з однойменно зарядженими обкладками</w:t>
      </w:r>
    </w:p>
    <w:p w14:paraId="7CC6BE89" w14:textId="77777777" w:rsidR="00BA7F15" w:rsidRDefault="00BA7F15" w:rsidP="00BA7F15">
      <w:pPr>
        <w:pStyle w:val="aaa"/>
      </w:pPr>
      <w:r>
        <w:rPr>
          <w:position w:val="-28"/>
        </w:rPr>
        <w:object w:dxaOrig="999" w:dyaOrig="680" w14:anchorId="0149773C">
          <v:shape id="_x0000_i1058" type="#_x0000_t75" style="width:50.05pt;height:34.15pt" o:ole="">
            <v:imagedata r:id="rId70" o:title=""/>
          </v:shape>
          <o:OLEObject Type="Embed" ProgID="Equation.3" ShapeID="_x0000_i1058" DrawAspect="Content" ObjectID="_1664959337" r:id="rId71"/>
        </w:object>
      </w:r>
    </w:p>
    <w:p w14:paraId="6F888175" w14:textId="77777777" w:rsidR="00BA7F15" w:rsidRDefault="00BA7F15" w:rsidP="00BA7F15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iCs/>
          <w:snapToGrid w:val="0"/>
          <w:sz w:val="22"/>
          <w:lang w:val="uk-UA"/>
        </w:rPr>
        <w:t>С</w:t>
      </w:r>
      <w:r>
        <w:rPr>
          <w:i/>
          <w:snapToGrid w:val="0"/>
          <w:sz w:val="22"/>
          <w:vertAlign w:val="subscript"/>
          <w:lang w:val="uk-UA"/>
        </w:rPr>
        <w:t>i</w:t>
      </w:r>
      <w:r>
        <w:rPr>
          <w:snapToGrid w:val="0"/>
          <w:sz w:val="22"/>
          <w:lang w:val="uk-UA"/>
        </w:rPr>
        <w:t xml:space="preserve"> – ємність </w:t>
      </w:r>
      <w:r>
        <w:rPr>
          <w:i/>
          <w:snapToGrid w:val="0"/>
          <w:sz w:val="22"/>
          <w:lang w:val="uk-UA"/>
        </w:rPr>
        <w:t>і</w:t>
      </w:r>
      <w:r>
        <w:rPr>
          <w:snapToGrid w:val="0"/>
          <w:sz w:val="22"/>
          <w:lang w:val="uk-UA"/>
        </w:rPr>
        <w:t>-го ЄП.</w:t>
      </w:r>
    </w:p>
    <w:p w14:paraId="62DB50B9" w14:textId="77777777" w:rsidR="00BA7F15" w:rsidRDefault="00BA7F15" w:rsidP="00BA7F15">
      <w:pPr>
        <w:pStyle w:val="a3"/>
        <w:rPr>
          <w:lang w:val="ru-RU"/>
        </w:rPr>
      </w:pPr>
      <w:r>
        <w:t>Для зменшення ємності іноді вдаються до послідовного з'є</w:t>
      </w:r>
      <w:r>
        <w:t>д</w:t>
      </w:r>
      <w:r>
        <w:t>нання ЄП з різнойменно зарядженими обкладками:</w:t>
      </w:r>
    </w:p>
    <w:p w14:paraId="12B4C6B7" w14:textId="77777777" w:rsidR="00BA7F15" w:rsidRDefault="00BA7F15" w:rsidP="00BA7F15">
      <w:pPr>
        <w:pStyle w:val="aaa"/>
      </w:pPr>
      <w:r>
        <w:rPr>
          <w:position w:val="-28"/>
        </w:rPr>
        <w:object w:dxaOrig="1080" w:dyaOrig="680" w14:anchorId="7A6FF676">
          <v:shape id="_x0000_i1059" type="#_x0000_t75" style="width:54.25pt;height:34.15pt" o:ole="">
            <v:imagedata r:id="rId72" o:title=""/>
          </v:shape>
          <o:OLEObject Type="Embed" ProgID="Equation.3" ShapeID="_x0000_i1059" DrawAspect="Content" ObjectID="_1664959338" r:id="rId73"/>
        </w:object>
      </w:r>
    </w:p>
    <w:p w14:paraId="080DCC8B" w14:textId="77777777" w:rsidR="00BA7F15" w:rsidRDefault="00BA7F15"/>
    <w:sectPr w:rsidR="00BA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83"/>
    <w:rsid w:val="004D7BF7"/>
    <w:rsid w:val="007569A6"/>
    <w:rsid w:val="00AD1783"/>
    <w:rsid w:val="00B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BCC2"/>
  <w15:chartTrackingRefBased/>
  <w15:docId w15:val="{28B1ACFB-51CD-4E52-A797-F42D67C2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7F15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A7F15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F15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A7F15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A7F15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A7F15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BA7F15"/>
    <w:pPr>
      <w:jc w:val="center"/>
    </w:pPr>
    <w:rPr>
      <w:snapToGrid w:val="0"/>
      <w:sz w:val="22"/>
      <w:lang w:val="uk-UA"/>
    </w:rPr>
  </w:style>
  <w:style w:type="character" w:customStyle="1" w:styleId="22">
    <w:name w:val="Основной текст 2 Знак"/>
    <w:basedOn w:val="a0"/>
    <w:link w:val="21"/>
    <w:semiHidden/>
    <w:rsid w:val="00BA7F15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3">
    <w:name w:val="Body Text 3"/>
    <w:basedOn w:val="a"/>
    <w:link w:val="30"/>
    <w:semiHidden/>
    <w:rsid w:val="00BA7F15"/>
    <w:pPr>
      <w:jc w:val="both"/>
    </w:pPr>
    <w:rPr>
      <w:snapToGrid w:val="0"/>
      <w:sz w:val="22"/>
      <w:lang w:val="uk-UA"/>
    </w:rPr>
  </w:style>
  <w:style w:type="character" w:customStyle="1" w:styleId="30">
    <w:name w:val="Основной текст 3 Знак"/>
    <w:basedOn w:val="a0"/>
    <w:link w:val="3"/>
    <w:semiHidden/>
    <w:rsid w:val="00BA7F15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BA7F15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BA7F15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Microsoft_Visio_2003-2010_Drawing1.vsd"/><Relationship Id="rId42" Type="http://schemas.openxmlformats.org/officeDocument/2006/relationships/image" Target="media/image20.wmf"/><Relationship Id="rId47" Type="http://schemas.openxmlformats.org/officeDocument/2006/relationships/oleObject" Target="embeddings/oleObject16.bin"/><Relationship Id="rId63" Type="http://schemas.openxmlformats.org/officeDocument/2006/relationships/oleObject" Target="embeddings/Microsoft_Visio_2003-2010_Drawing7.vsd"/><Relationship Id="rId6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Microsoft_Visio_2003-2010_Drawing3.vsd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Microsoft_Visio_2003-2010_Drawing5.vsd"/><Relationship Id="rId40" Type="http://schemas.openxmlformats.org/officeDocument/2006/relationships/image" Target="media/image19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2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Microsoft_Visio_2003-2010_Drawing2.vsd"/><Relationship Id="rId30" Type="http://schemas.openxmlformats.org/officeDocument/2006/relationships/image" Target="media/image14.wmf"/><Relationship Id="rId35" Type="http://schemas.openxmlformats.org/officeDocument/2006/relationships/oleObject" Target="embeddings/Microsoft_Visio_2003-2010_Drawing4.vsd"/><Relationship Id="rId43" Type="http://schemas.openxmlformats.org/officeDocument/2006/relationships/oleObject" Target="embeddings/oleObject14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5.bin"/><Relationship Id="rId8" Type="http://schemas.openxmlformats.org/officeDocument/2006/relationships/image" Target="media/image3.wmf"/><Relationship Id="rId51" Type="http://schemas.openxmlformats.org/officeDocument/2006/relationships/oleObject" Target="embeddings/oleObject18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Microsoft_Visio_2003-2010_Drawing6.vsd"/><Relationship Id="rId67" Type="http://schemas.openxmlformats.org/officeDocument/2006/relationships/oleObject" Target="embeddings/oleObject2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3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Microsoft_Visio_2003-2010_Drawing.vsd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9931</Characters>
  <Application>Microsoft Office Word</Application>
  <DocSecurity>0</DocSecurity>
  <Lines>82</Lines>
  <Paragraphs>23</Paragraphs>
  <ScaleCrop>false</ScaleCrop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2</cp:revision>
  <dcterms:created xsi:type="dcterms:W3CDTF">2020-10-23T08:53:00Z</dcterms:created>
  <dcterms:modified xsi:type="dcterms:W3CDTF">2020-10-23T08:54:00Z</dcterms:modified>
</cp:coreProperties>
</file>