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76" w:rsidRPr="00A524DC" w:rsidRDefault="002B5B5D" w:rsidP="00EA5276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14 15-05-20 </w:t>
      </w: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Пт</w:t>
      </w:r>
      <w:proofErr w:type="spellEnd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15-00 - 16-20 </w:t>
      </w: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МТ</w:t>
      </w:r>
      <w:proofErr w:type="spellEnd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-1 </w:t>
      </w:r>
      <w:proofErr w:type="spellStart"/>
      <w:r w:rsidRPr="002B5B5D">
        <w:rPr>
          <w:rStyle w:val="fontstyle01"/>
          <w:rFonts w:ascii="Times New Roman" w:hAnsi="Times New Roman"/>
          <w:b/>
          <w:sz w:val="28"/>
          <w:szCs w:val="28"/>
          <w:lang w:val="en-US"/>
        </w:rPr>
        <w:t>ССтаУЯ</w:t>
      </w:r>
      <w:proofErr w:type="spellEnd"/>
    </w:p>
    <w:p w:rsidR="00A31799" w:rsidRPr="00FB4274" w:rsidRDefault="00A31799" w:rsidP="00A31799">
      <w:pPr>
        <w:spacing w:line="276" w:lineRule="auto"/>
        <w:ind w:firstLine="851"/>
        <w:jc w:val="center"/>
        <w:rPr>
          <w:b/>
          <w:sz w:val="36"/>
          <w:szCs w:val="36"/>
          <w:lang w:val="uk-UA"/>
        </w:rPr>
      </w:pPr>
      <w:bookmarkStart w:id="0" w:name="_Toc416104435"/>
      <w:r w:rsidRPr="00FB4274">
        <w:rPr>
          <w:b/>
          <w:sz w:val="36"/>
          <w:szCs w:val="36"/>
          <w:lang w:val="uk-UA"/>
        </w:rPr>
        <w:t>Сутність акредитації</w:t>
      </w:r>
      <w:bookmarkEnd w:id="0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B5B5D"/>
    <w:rsid w:val="00367138"/>
    <w:rsid w:val="003F0515"/>
    <w:rsid w:val="007C2E25"/>
    <w:rsid w:val="00847974"/>
    <w:rsid w:val="00A31799"/>
    <w:rsid w:val="00D84EDF"/>
    <w:rsid w:val="00EA5276"/>
    <w:rsid w:val="00EC22C4"/>
    <w:rsid w:val="00EC4918"/>
    <w:rsid w:val="00ED2416"/>
    <w:rsid w:val="00F11AA2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905</Words>
  <Characters>517</Characters>
  <Application>Microsoft Office Word</Application>
  <DocSecurity>0</DocSecurity>
  <Lines>4</Lines>
  <Paragraphs>2</Paragraphs>
  <ScaleCrop>false</ScaleCrop>
  <Company> 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10</cp:revision>
  <dcterms:created xsi:type="dcterms:W3CDTF">2020-03-19T07:08:00Z</dcterms:created>
  <dcterms:modified xsi:type="dcterms:W3CDTF">2020-05-17T21:17:00Z</dcterms:modified>
</cp:coreProperties>
</file>