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62" w:rsidRPr="00DA1ACB" w:rsidRDefault="00087662" w:rsidP="00087662">
      <w:pPr>
        <w:jc w:val="center"/>
        <w:rPr>
          <w:rStyle w:val="fontstyle01"/>
          <w:rFonts w:ascii="Times New Roman" w:hAnsi="Times New Roman"/>
          <w:b/>
          <w:sz w:val="28"/>
          <w:szCs w:val="28"/>
          <w:lang w:val="en-US"/>
        </w:rPr>
      </w:pPr>
      <w:proofErr w:type="spellStart"/>
      <w:r w:rsidRPr="00DA1ACB">
        <w:rPr>
          <w:rStyle w:val="fontstyle01"/>
          <w:rFonts w:ascii="Times New Roman" w:hAnsi="Times New Roman"/>
          <w:b/>
          <w:sz w:val="28"/>
          <w:szCs w:val="28"/>
          <w:lang w:val="en-US"/>
        </w:rPr>
        <w:t>Лаб</w:t>
      </w:r>
      <w:proofErr w:type="spellEnd"/>
      <w:r w:rsidRPr="00DA1ACB">
        <w:rPr>
          <w:rStyle w:val="fontstyle01"/>
          <w:rFonts w:ascii="Times New Roman" w:hAnsi="Times New Roman"/>
          <w:b/>
          <w:sz w:val="28"/>
          <w:szCs w:val="28"/>
          <w:lang w:val="en-US"/>
        </w:rPr>
        <w:t xml:space="preserve"> </w:t>
      </w:r>
      <w:proofErr w:type="spellStart"/>
      <w:r w:rsidRPr="00DA1ACB">
        <w:rPr>
          <w:rStyle w:val="fontstyle01"/>
          <w:rFonts w:ascii="Times New Roman" w:hAnsi="Times New Roman"/>
          <w:b/>
          <w:sz w:val="28"/>
          <w:szCs w:val="28"/>
          <w:lang w:val="en-US"/>
        </w:rPr>
        <w:t>робота</w:t>
      </w:r>
      <w:proofErr w:type="spellEnd"/>
      <w:r w:rsidRPr="00DA1ACB">
        <w:rPr>
          <w:rStyle w:val="fontstyle01"/>
          <w:rFonts w:ascii="Times New Roman" w:hAnsi="Times New Roman"/>
          <w:b/>
          <w:sz w:val="28"/>
          <w:szCs w:val="28"/>
          <w:lang w:val="en-US"/>
        </w:rPr>
        <w:t xml:space="preserve"> </w:t>
      </w:r>
      <w:r w:rsidR="00DA1ACB" w:rsidRPr="00DA1ACB">
        <w:rPr>
          <w:rStyle w:val="fontstyle01"/>
          <w:rFonts w:ascii="Times New Roman" w:hAnsi="Times New Roman"/>
          <w:b/>
          <w:sz w:val="28"/>
          <w:szCs w:val="28"/>
          <w:lang w:val="en-US"/>
        </w:rPr>
        <w:t>6</w:t>
      </w:r>
    </w:p>
    <w:p w:rsidR="00DA1ACB" w:rsidRPr="00DA1ACB" w:rsidRDefault="00DA1ACB" w:rsidP="00DA1ACB">
      <w:pPr>
        <w:jc w:val="center"/>
        <w:rPr>
          <w:rStyle w:val="fontstyle01"/>
          <w:rFonts w:ascii="Times New Roman" w:hAnsi="Times New Roman"/>
          <w:b/>
          <w:sz w:val="28"/>
          <w:szCs w:val="28"/>
          <w:lang w:val="uk-UA"/>
        </w:rPr>
      </w:pPr>
      <w:bookmarkStart w:id="0" w:name="_GoBack"/>
      <w:proofErr w:type="spellStart"/>
      <w:r w:rsidRPr="00DA1ACB">
        <w:rPr>
          <w:rStyle w:val="fontstyle01"/>
          <w:rFonts w:ascii="Times New Roman" w:hAnsi="Times New Roman"/>
          <w:b/>
          <w:sz w:val="28"/>
          <w:szCs w:val="28"/>
        </w:rPr>
        <w:t>Вимоги</w:t>
      </w:r>
      <w:proofErr w:type="spellEnd"/>
      <w:r w:rsidRPr="00DA1ACB">
        <w:rPr>
          <w:rStyle w:val="fontstyle01"/>
          <w:rFonts w:ascii="Times New Roman" w:hAnsi="Times New Roman"/>
          <w:b/>
          <w:sz w:val="28"/>
          <w:szCs w:val="28"/>
        </w:rPr>
        <w:t xml:space="preserve"> </w:t>
      </w:r>
      <w:proofErr w:type="spellStart"/>
      <w:r w:rsidRPr="00DA1ACB">
        <w:rPr>
          <w:rStyle w:val="fontstyle01"/>
          <w:rFonts w:ascii="Times New Roman" w:hAnsi="Times New Roman"/>
          <w:b/>
          <w:sz w:val="28"/>
          <w:szCs w:val="28"/>
        </w:rPr>
        <w:t>щодо</w:t>
      </w:r>
      <w:proofErr w:type="spellEnd"/>
      <w:r w:rsidRPr="00DA1ACB">
        <w:rPr>
          <w:rStyle w:val="fontstyle01"/>
          <w:rFonts w:ascii="Times New Roman" w:hAnsi="Times New Roman"/>
          <w:b/>
          <w:sz w:val="28"/>
          <w:szCs w:val="28"/>
        </w:rPr>
        <w:t xml:space="preserve"> </w:t>
      </w:r>
      <w:proofErr w:type="spellStart"/>
      <w:r w:rsidRPr="00DA1ACB">
        <w:rPr>
          <w:rStyle w:val="fontstyle01"/>
          <w:rFonts w:ascii="Times New Roman" w:hAnsi="Times New Roman"/>
          <w:b/>
          <w:sz w:val="28"/>
          <w:szCs w:val="28"/>
        </w:rPr>
        <w:t>структури</w:t>
      </w:r>
      <w:proofErr w:type="spellEnd"/>
      <w:r w:rsidRPr="00DA1ACB">
        <w:rPr>
          <w:rStyle w:val="fontstyle01"/>
          <w:rFonts w:ascii="Times New Roman" w:hAnsi="Times New Roman"/>
          <w:b/>
          <w:sz w:val="28"/>
          <w:szCs w:val="28"/>
        </w:rPr>
        <w:t xml:space="preserve"> та </w:t>
      </w:r>
      <w:proofErr w:type="spellStart"/>
      <w:r w:rsidRPr="00DA1ACB">
        <w:rPr>
          <w:rStyle w:val="fontstyle01"/>
          <w:rFonts w:ascii="Times New Roman" w:hAnsi="Times New Roman"/>
          <w:b/>
          <w:sz w:val="28"/>
          <w:szCs w:val="28"/>
        </w:rPr>
        <w:t>ресурсів</w:t>
      </w:r>
      <w:proofErr w:type="spellEnd"/>
      <w:r>
        <w:rPr>
          <w:rStyle w:val="fontstyle01"/>
          <w:rFonts w:ascii="Times New Roman" w:hAnsi="Times New Roman"/>
          <w:b/>
          <w:sz w:val="28"/>
          <w:szCs w:val="28"/>
        </w:rPr>
        <w:t xml:space="preserve"> </w:t>
      </w:r>
      <w:proofErr w:type="spellStart"/>
      <w:r>
        <w:rPr>
          <w:rStyle w:val="fontstyle01"/>
          <w:rFonts w:ascii="Times New Roman" w:hAnsi="Times New Roman"/>
          <w:b/>
          <w:sz w:val="28"/>
          <w:szCs w:val="28"/>
        </w:rPr>
        <w:t>лаборатор</w:t>
      </w:r>
      <w:proofErr w:type="spellEnd"/>
      <w:r>
        <w:rPr>
          <w:rStyle w:val="fontstyle01"/>
          <w:rFonts w:ascii="Times New Roman" w:hAnsi="Times New Roman"/>
          <w:b/>
          <w:sz w:val="28"/>
          <w:szCs w:val="28"/>
          <w:lang w:val="uk-UA"/>
        </w:rPr>
        <w:t>і</w:t>
      </w:r>
      <w:r>
        <w:rPr>
          <w:rStyle w:val="fontstyle01"/>
          <w:rFonts w:ascii="Times New Roman" w:hAnsi="Times New Roman"/>
          <w:b/>
          <w:sz w:val="28"/>
          <w:szCs w:val="28"/>
        </w:rPr>
        <w:t xml:space="preserve">й для </w:t>
      </w:r>
      <w:proofErr w:type="spellStart"/>
      <w:r>
        <w:rPr>
          <w:rStyle w:val="fontstyle01"/>
          <w:rFonts w:ascii="Times New Roman" w:hAnsi="Times New Roman"/>
          <w:b/>
          <w:sz w:val="28"/>
          <w:szCs w:val="28"/>
        </w:rPr>
        <w:t>сертиф</w:t>
      </w:r>
      <w:proofErr w:type="spellEnd"/>
      <w:r>
        <w:rPr>
          <w:rStyle w:val="fontstyle01"/>
          <w:rFonts w:ascii="Times New Roman" w:hAnsi="Times New Roman"/>
          <w:b/>
          <w:sz w:val="28"/>
          <w:szCs w:val="28"/>
          <w:lang w:val="uk-UA"/>
        </w:rPr>
        <w:t>і</w:t>
      </w:r>
      <w:proofErr w:type="spellStart"/>
      <w:r>
        <w:rPr>
          <w:rStyle w:val="fontstyle01"/>
          <w:rFonts w:ascii="Times New Roman" w:hAnsi="Times New Roman"/>
          <w:b/>
          <w:sz w:val="28"/>
          <w:szCs w:val="28"/>
        </w:rPr>
        <w:t>кац</w:t>
      </w:r>
      <w:r>
        <w:rPr>
          <w:rStyle w:val="fontstyle01"/>
          <w:rFonts w:ascii="Times New Roman" w:hAnsi="Times New Roman"/>
          <w:b/>
          <w:sz w:val="28"/>
          <w:szCs w:val="28"/>
          <w:lang w:val="uk-UA"/>
        </w:rPr>
        <w:t>ії</w:t>
      </w:r>
      <w:proofErr w:type="spellEnd"/>
    </w:p>
    <w:bookmarkEnd w:id="0"/>
    <w:p w:rsidR="00DA1ACB" w:rsidRPr="00DA1ACB" w:rsidRDefault="00DA1ACB" w:rsidP="00DA1ACB">
      <w:pPr>
        <w:pStyle w:val="a3"/>
        <w:shd w:val="clear" w:color="auto" w:fill="FFFFFF"/>
        <w:ind w:firstLine="225"/>
        <w:jc w:val="both"/>
        <w:rPr>
          <w:color w:val="000000"/>
          <w:sz w:val="28"/>
          <w:szCs w:val="28"/>
          <w:lang w:val="uk-UA"/>
        </w:rPr>
      </w:pPr>
      <w:r w:rsidRPr="00DA1ACB">
        <w:rPr>
          <w:b/>
          <w:bCs/>
          <w:color w:val="000000"/>
          <w:sz w:val="28"/>
          <w:szCs w:val="28"/>
          <w:lang w:val="uk-UA"/>
        </w:rPr>
        <w:t>5. Вимоги щодо структури</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Як і в попередній  редакції стандарту </w:t>
      </w:r>
      <w:proofErr w:type="spellStart"/>
      <w:r w:rsidRPr="00DA1ACB">
        <w:rPr>
          <w:color w:val="000000"/>
          <w:sz w:val="28"/>
          <w:szCs w:val="28"/>
          <w:lang w:val="uk-UA"/>
        </w:rPr>
        <w:t>ISO</w:t>
      </w:r>
      <w:proofErr w:type="spellEnd"/>
      <w:r w:rsidRPr="00DA1ACB">
        <w:rPr>
          <w:color w:val="000000"/>
          <w:sz w:val="28"/>
          <w:szCs w:val="28"/>
          <w:lang w:val="uk-UA"/>
        </w:rPr>
        <w:t xml:space="preserve"> 17025, так і в </w:t>
      </w:r>
      <w:proofErr w:type="spellStart"/>
      <w:r w:rsidRPr="00DA1ACB">
        <w:rPr>
          <w:color w:val="000000"/>
          <w:sz w:val="28"/>
          <w:szCs w:val="28"/>
          <w:lang w:val="uk-UA"/>
        </w:rPr>
        <w:t>ISO</w:t>
      </w:r>
      <w:proofErr w:type="spellEnd"/>
      <w:r w:rsidRPr="00DA1ACB">
        <w:rPr>
          <w:color w:val="000000"/>
          <w:sz w:val="28"/>
          <w:szCs w:val="28"/>
          <w:lang w:val="uk-UA"/>
        </w:rPr>
        <w:t xml:space="preserve"> 17025:2017 вимагається, щоб лабораторія могла понести юридичну відповідальність. Необхідним залишається визначення  керівництва, яке бере на себе відповідальність за діяльність лабораторії.  З огляду на  можливість понесення відповідальності, необхідною є наявність страхування. Не дивно, що </w:t>
      </w:r>
      <w:proofErr w:type="spellStart"/>
      <w:r w:rsidRPr="00DA1ACB">
        <w:rPr>
          <w:color w:val="000000"/>
          <w:sz w:val="28"/>
          <w:szCs w:val="28"/>
          <w:lang w:val="uk-UA"/>
        </w:rPr>
        <w:t>ISO</w:t>
      </w:r>
      <w:proofErr w:type="spellEnd"/>
      <w:r w:rsidRPr="00DA1ACB">
        <w:rPr>
          <w:color w:val="000000"/>
          <w:sz w:val="28"/>
          <w:szCs w:val="28"/>
          <w:lang w:val="uk-UA"/>
        </w:rPr>
        <w:t xml:space="preserve"> 17025:2017 передбачає пункт, який вказує на необхідність володіння відповідним до діяльності забезпеченням.</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Попередній стандарт  </w:t>
      </w:r>
      <w:proofErr w:type="spellStart"/>
      <w:r w:rsidRPr="00DA1ACB">
        <w:rPr>
          <w:color w:val="000000"/>
          <w:sz w:val="28"/>
          <w:szCs w:val="28"/>
          <w:lang w:val="uk-UA"/>
        </w:rPr>
        <w:t>ISO</w:t>
      </w:r>
      <w:proofErr w:type="spellEnd"/>
      <w:r w:rsidRPr="00DA1ACB">
        <w:rPr>
          <w:color w:val="000000"/>
          <w:sz w:val="28"/>
          <w:szCs w:val="28"/>
          <w:lang w:val="uk-UA"/>
        </w:rPr>
        <w:t xml:space="preserve"> 17025 визначає, що системою мають бути охоплені  роботи,  що виконуються  в головному офісі  і поза ним. Стандарт </w:t>
      </w:r>
      <w:proofErr w:type="spellStart"/>
      <w:r w:rsidRPr="00DA1ACB">
        <w:rPr>
          <w:color w:val="000000"/>
          <w:sz w:val="28"/>
          <w:szCs w:val="28"/>
          <w:lang w:val="uk-UA"/>
        </w:rPr>
        <w:t>ISO</w:t>
      </w:r>
      <w:proofErr w:type="spellEnd"/>
      <w:r w:rsidRPr="00DA1ACB">
        <w:rPr>
          <w:color w:val="000000"/>
          <w:sz w:val="28"/>
          <w:szCs w:val="28"/>
          <w:lang w:val="uk-UA"/>
        </w:rPr>
        <w:t xml:space="preserve"> 17025:2017 говорить ще й про мобільні, тимчасові лабораторії  та лабораторії  у Клієнта. Для даних видів діяльності також  можливе підтвердження </w:t>
      </w:r>
      <w:proofErr w:type="spellStart"/>
      <w:r w:rsidRPr="00DA1ACB">
        <w:rPr>
          <w:color w:val="000000"/>
          <w:sz w:val="28"/>
          <w:szCs w:val="28"/>
          <w:lang w:val="uk-UA"/>
        </w:rPr>
        <w:t>відповідністі</w:t>
      </w:r>
      <w:proofErr w:type="spellEnd"/>
      <w:r w:rsidRPr="00DA1ACB">
        <w:rPr>
          <w:color w:val="000000"/>
          <w:sz w:val="28"/>
          <w:szCs w:val="28"/>
          <w:lang w:val="uk-UA"/>
        </w:rPr>
        <w:t xml:space="preserve"> вимогам стандарту,  замовника та оцінюючого органу. Ми самі визначаємо, які сфери лабораторних робіт будуть охоплені вимогами стандарту.</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5.1. Лабораторія повинна бути юридичною особою або визначеною частиною юридичної особи, що несе юридичну відповідальність за свою діяльність. ПРИМІТКА: За цим документом державна лабораторія вважається юридичною особою на підставі її державного статусу.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5.2. Лабораторія повинна визначити керівництво, яке несе загальну відповідальність за лабораторію.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5.3. Лабораторія повинна визначити та задокументувати область своєї діяльності, щодо якої вона відповідає  документу </w:t>
      </w:r>
      <w:proofErr w:type="spellStart"/>
      <w:r w:rsidRPr="00DA1ACB">
        <w:rPr>
          <w:color w:val="000000"/>
          <w:sz w:val="28"/>
          <w:szCs w:val="28"/>
          <w:lang w:val="uk-UA"/>
        </w:rPr>
        <w:t>ISO</w:t>
      </w:r>
      <w:proofErr w:type="spellEnd"/>
      <w:r w:rsidRPr="00DA1ACB">
        <w:rPr>
          <w:color w:val="000000"/>
          <w:sz w:val="28"/>
          <w:szCs w:val="28"/>
          <w:lang w:val="uk-UA"/>
        </w:rPr>
        <w:t xml:space="preserve"> 17025:2017. Лабораторія повинна заявляти про свою відповідність цьому документу для зазначеної області діяльності лабораторії, яка виключає діяльність лабораторії, що надається ззовні на постійній основі.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5.4. Діяльність лабораторії повинна виконуватися таким чином, щоб відповідати вимогам  документа </w:t>
      </w:r>
      <w:proofErr w:type="spellStart"/>
      <w:r w:rsidRPr="00DA1ACB">
        <w:rPr>
          <w:color w:val="000000"/>
          <w:sz w:val="28"/>
          <w:szCs w:val="28"/>
          <w:lang w:val="uk-UA"/>
        </w:rPr>
        <w:t>ISO</w:t>
      </w:r>
      <w:proofErr w:type="spellEnd"/>
      <w:r w:rsidRPr="00DA1ACB">
        <w:rPr>
          <w:color w:val="000000"/>
          <w:sz w:val="28"/>
          <w:szCs w:val="28"/>
          <w:lang w:val="uk-UA"/>
        </w:rPr>
        <w:t xml:space="preserve"> 17025:2017, вимогам замовників лабораторії, регуляторних органів та організацій, що надають визнання. Зазначене повинно включати діяльність лабораторії, яка виконується в її постійних приміщеннях, на віддалених від її постійних приміщень ділянках, на тимчасових або мобільних об'єктах чи в приміщенні замовника.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5.5 Лабораторія повинна: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a) визначити організаційну структуру та структуру управління лабораторією, її місце в організації, до складу якої вона входить, а також </w:t>
      </w:r>
      <w:r w:rsidRPr="00DA1ACB">
        <w:rPr>
          <w:color w:val="000000"/>
          <w:sz w:val="28"/>
          <w:szCs w:val="28"/>
          <w:lang w:val="uk-UA"/>
        </w:rPr>
        <w:lastRenderedPageBreak/>
        <w:t xml:space="preserve">взаємозв’язки між управлінням, технічними підрозділами та допоміжними службами;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b) визначити відповідальність, повноваження та взаємовідносини всього персоналу, який управляє, виконує або перевіряє роботу, що впливає на результати діяльності лабораторії;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c) задокументувати свої процедури в обсязі, необхідному для забезпечення послідовного виконання діяльності лабораторією та отримання достовірних результатів. «Загальні вимоги до компетентності випробувальних та калібрувальних лабораторій» (відповідно до </w:t>
      </w:r>
      <w:proofErr w:type="spellStart"/>
      <w:r w:rsidRPr="00DA1ACB">
        <w:rPr>
          <w:color w:val="000000"/>
          <w:sz w:val="28"/>
          <w:szCs w:val="28"/>
          <w:lang w:val="uk-UA"/>
        </w:rPr>
        <w:t>ISO</w:t>
      </w:r>
      <w:proofErr w:type="spellEnd"/>
      <w:r w:rsidRPr="00DA1ACB">
        <w:rPr>
          <w:color w:val="000000"/>
          <w:sz w:val="28"/>
          <w:szCs w:val="28"/>
          <w:lang w:val="uk-UA"/>
        </w:rPr>
        <w:t>/</w:t>
      </w:r>
      <w:proofErr w:type="spellStart"/>
      <w:r w:rsidRPr="00DA1ACB">
        <w:rPr>
          <w:color w:val="000000"/>
          <w:sz w:val="28"/>
          <w:szCs w:val="28"/>
          <w:lang w:val="uk-UA"/>
        </w:rPr>
        <w:t>IEC</w:t>
      </w:r>
      <w:proofErr w:type="spellEnd"/>
      <w:r w:rsidRPr="00DA1ACB">
        <w:rPr>
          <w:color w:val="000000"/>
          <w:sz w:val="28"/>
          <w:szCs w:val="28"/>
          <w:lang w:val="uk-UA"/>
        </w:rPr>
        <w:t xml:space="preserve"> 17025:2017). Лабораторія повинна мати персонал, який, незалежно від інших обов'язків, має повноваження та ресурси, необхідні для виконання своїх обов'язків, що включають: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a) впровадження, підтримання та вдосконалення системи управління;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b) виявлення відхилень від системи управління або процедур виконання діяльності лабораторії; c) ініціювання заходів щодо запобігання або мінімізації таких відхилень;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d) звітування керівництву лабораторії про дієвість системи управління та будь-які потреби у вдосконаленні;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e) забезпечення результативності діяльності лабораторії.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5.7. Керівництво лабораторії повинно гарантувати: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a) обмін інформацією стосовно результативності системи управління та важливості виконання вимог замовників та інших вимог;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b) забезпечення цілісності функціонування системи управління, коли планують та здійснюють зміни до системи управління.</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Розділ 6  нової версії стандарту </w:t>
      </w:r>
      <w:proofErr w:type="spellStart"/>
      <w:r w:rsidRPr="00DA1ACB">
        <w:rPr>
          <w:color w:val="000000"/>
          <w:sz w:val="28"/>
          <w:szCs w:val="28"/>
          <w:lang w:val="uk-UA"/>
        </w:rPr>
        <w:t> IS</w:t>
      </w:r>
      <w:proofErr w:type="spellEnd"/>
      <w:r w:rsidRPr="00DA1ACB">
        <w:rPr>
          <w:color w:val="000000"/>
          <w:sz w:val="28"/>
          <w:szCs w:val="28"/>
          <w:lang w:val="uk-UA"/>
        </w:rPr>
        <w:t xml:space="preserve">O/IEC 17025 описує питання  щодо персоналу, приміщень та навколишнього середовища, обладнання і </w:t>
      </w:r>
      <w:proofErr w:type="spellStart"/>
      <w:r w:rsidRPr="00DA1ACB">
        <w:rPr>
          <w:color w:val="000000"/>
          <w:sz w:val="28"/>
          <w:szCs w:val="28"/>
          <w:lang w:val="uk-UA"/>
        </w:rPr>
        <w:t>простежуваності</w:t>
      </w:r>
      <w:proofErr w:type="spellEnd"/>
      <w:r w:rsidRPr="00DA1ACB">
        <w:rPr>
          <w:color w:val="000000"/>
          <w:sz w:val="28"/>
          <w:szCs w:val="28"/>
          <w:lang w:val="uk-UA"/>
        </w:rPr>
        <w:t>  вимірювання та покупок,  які  визначаються як зовнішні послуги і поставки.</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Почнемо  від  персоналу та  приміщень і середовища.</w:t>
      </w:r>
    </w:p>
    <w:p w:rsidR="00DA1ACB" w:rsidRPr="00DA1ACB" w:rsidRDefault="00DA1ACB" w:rsidP="00DA1ACB">
      <w:pPr>
        <w:pStyle w:val="a3"/>
        <w:shd w:val="clear" w:color="auto" w:fill="FFFFFF"/>
        <w:ind w:firstLine="225"/>
        <w:jc w:val="both"/>
        <w:rPr>
          <w:color w:val="000000"/>
          <w:sz w:val="28"/>
          <w:szCs w:val="28"/>
          <w:lang w:val="uk-UA"/>
        </w:rPr>
      </w:pPr>
      <w:r w:rsidRPr="00DA1ACB">
        <w:rPr>
          <w:b/>
          <w:bCs/>
          <w:color w:val="000000"/>
          <w:sz w:val="28"/>
          <w:szCs w:val="28"/>
          <w:lang w:val="uk-UA"/>
        </w:rPr>
        <w:t>6. Вимоги щодо ресурсів</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Для того, щоб забезпечити достатньою кількістю відповідних ресурсів, як і на сьогоднішній момент,  лабораторія повинна мати персонал, приміщення,  забезпечувати відповідні умови довкілля та мати відповідне </w:t>
      </w:r>
      <w:r w:rsidRPr="00DA1ACB">
        <w:rPr>
          <w:color w:val="000000"/>
          <w:sz w:val="28"/>
          <w:szCs w:val="28"/>
          <w:lang w:val="uk-UA"/>
        </w:rPr>
        <w:lastRenderedPageBreak/>
        <w:t>обладнання. Проект стандарту говорить також про необхідність забезпечення відповідними інформаційними системами  та сервісною підтримкою виконуваної діяльності.</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6 Вимоги до ресурсів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6.1 Загальні положення Лабораторія повинна мати персонал, приміщення, обладнання, системи та допоміжні служби, необхідні для управління та виконання лабораторією своєї діяльності.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6.2 Персонал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Персонал лабораторії, який впливає на діяльність лабораторії, має бути неупередженим, має перебувати під спостереженням та діяти відповідно до вимог системи. Важливо відзначити, що вимоги стосуються як  співробітників, що працюють в лабораторії (внутрішній персонал), так і  зовнішнього персоналу (персонал,  з яким  лабораторія співпрацює  на інших умовах ніж постійне працевлаштування )</w:t>
      </w:r>
      <w:proofErr w:type="spellStart"/>
      <w:r w:rsidRPr="00DA1ACB">
        <w:rPr>
          <w:color w:val="000000"/>
          <w:sz w:val="28"/>
          <w:szCs w:val="28"/>
          <w:lang w:val="uk-UA"/>
        </w:rPr>
        <w:t>.Також</w:t>
      </w:r>
      <w:proofErr w:type="spellEnd"/>
      <w:r w:rsidRPr="00DA1ACB">
        <w:rPr>
          <w:color w:val="000000"/>
          <w:sz w:val="28"/>
          <w:szCs w:val="28"/>
          <w:lang w:val="uk-UA"/>
        </w:rPr>
        <w:t xml:space="preserve"> піднімається питання документування вимог  щодо освіти, кваліфікації, професійної підготовки, навичок, досвіду, сфери обов’язків, відповідальності та повноважень у лабораторії. Отже,  персонал повинен володіти </w:t>
      </w:r>
      <w:proofErr w:type="spellStart"/>
      <w:r w:rsidRPr="00DA1ACB">
        <w:rPr>
          <w:color w:val="000000"/>
          <w:sz w:val="28"/>
          <w:szCs w:val="28"/>
          <w:lang w:val="uk-UA"/>
        </w:rPr>
        <w:t>компетенціями</w:t>
      </w:r>
      <w:proofErr w:type="spellEnd"/>
      <w:r w:rsidRPr="00DA1ACB">
        <w:rPr>
          <w:color w:val="000000"/>
          <w:sz w:val="28"/>
          <w:szCs w:val="28"/>
          <w:lang w:val="uk-UA"/>
        </w:rPr>
        <w:t xml:space="preserve"> щодо проведення дій, за які відповідає. Проект передбачає, що окрім наявності </w:t>
      </w:r>
      <w:proofErr w:type="spellStart"/>
      <w:r w:rsidRPr="00DA1ACB">
        <w:rPr>
          <w:color w:val="000000"/>
          <w:sz w:val="28"/>
          <w:szCs w:val="28"/>
          <w:lang w:val="uk-UA"/>
        </w:rPr>
        <w:t>компетенцій</w:t>
      </w:r>
      <w:proofErr w:type="spellEnd"/>
      <w:r w:rsidRPr="00DA1ACB">
        <w:rPr>
          <w:color w:val="000000"/>
          <w:sz w:val="28"/>
          <w:szCs w:val="28"/>
          <w:lang w:val="uk-UA"/>
        </w:rPr>
        <w:t>, персонал повинен розуміти важливість своїх обов’язків  та розуміти, яке важливе значення мають будь-які відхилення у діяльності, здійснюваної в лабораторії. Персонал повинен бути поінформований  про свою відповідальність, обов’язки та  повноваження.</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Актуальна версія стандарту </w:t>
      </w:r>
      <w:proofErr w:type="spellStart"/>
      <w:r w:rsidRPr="00DA1ACB">
        <w:rPr>
          <w:color w:val="000000"/>
          <w:sz w:val="28"/>
          <w:szCs w:val="28"/>
          <w:lang w:val="uk-UA"/>
        </w:rPr>
        <w:t> IS</w:t>
      </w:r>
      <w:proofErr w:type="spellEnd"/>
      <w:r w:rsidRPr="00DA1ACB">
        <w:rPr>
          <w:color w:val="000000"/>
          <w:sz w:val="28"/>
          <w:szCs w:val="28"/>
          <w:lang w:val="uk-UA"/>
        </w:rPr>
        <w:t xml:space="preserve">O / </w:t>
      </w:r>
      <w:proofErr w:type="spellStart"/>
      <w:r w:rsidRPr="00DA1ACB">
        <w:rPr>
          <w:color w:val="000000"/>
          <w:sz w:val="28"/>
          <w:szCs w:val="28"/>
          <w:lang w:val="uk-UA"/>
        </w:rPr>
        <w:t>IEC</w:t>
      </w:r>
      <w:proofErr w:type="spellEnd"/>
      <w:r w:rsidRPr="00DA1ACB">
        <w:rPr>
          <w:color w:val="000000"/>
          <w:sz w:val="28"/>
          <w:szCs w:val="28"/>
          <w:lang w:val="uk-UA"/>
        </w:rPr>
        <w:t xml:space="preserve"> 17025:2017 вимагає  розробки процедури навчання. Також, версія передбачає необхідність документування процесів, пов’язаних не тільки з навчанням персоналу, але й з вибором кадрів, спостереженням,  наданням повноважень  та постійним моніторингом. Процедури щодо персоналу, які функціонують в лабораторіях на сьогоднішній момент, зазвичай, регулюють ці питання.</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Також, стандартом прописано вимоги до збереження записів щодо персоналу  та  надання повноважень визначеним співробітникам для виконання конкретних видів діяльності. Версія нового стандарту, окрім  раніше встановлених правил, вказує на необхідність надання повноважень для проведення оцінки відповідності.</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Новизною в </w:t>
      </w:r>
      <w:proofErr w:type="spellStart"/>
      <w:r w:rsidRPr="00DA1ACB">
        <w:rPr>
          <w:color w:val="000000"/>
          <w:sz w:val="28"/>
          <w:szCs w:val="28"/>
          <w:lang w:val="uk-UA"/>
        </w:rPr>
        <w:t>ISO</w:t>
      </w:r>
      <w:proofErr w:type="spellEnd"/>
      <w:r w:rsidRPr="00DA1ACB">
        <w:rPr>
          <w:color w:val="000000"/>
          <w:sz w:val="28"/>
          <w:szCs w:val="28"/>
          <w:lang w:val="uk-UA"/>
        </w:rPr>
        <w:t xml:space="preserve"> / </w:t>
      </w:r>
      <w:proofErr w:type="spellStart"/>
      <w:r w:rsidRPr="00DA1ACB">
        <w:rPr>
          <w:color w:val="000000"/>
          <w:sz w:val="28"/>
          <w:szCs w:val="28"/>
          <w:lang w:val="uk-UA"/>
        </w:rPr>
        <w:t>IEC</w:t>
      </w:r>
      <w:proofErr w:type="spellEnd"/>
      <w:r w:rsidRPr="00DA1ACB">
        <w:rPr>
          <w:color w:val="000000"/>
          <w:sz w:val="28"/>
          <w:szCs w:val="28"/>
          <w:lang w:val="uk-UA"/>
        </w:rPr>
        <w:t xml:space="preserve"> 17025:2017 є відсутність необхідності  надання повноважень персоналу  на використання різних видів обладнання та вимога визначення ризику неупередженості,  який виникає  з відносин між персоналом і клієнтом.</w:t>
      </w:r>
    </w:p>
    <w:p w:rsidR="00DA1ACB" w:rsidRPr="00DA1ACB" w:rsidRDefault="00DA1ACB" w:rsidP="00DA1ACB">
      <w:pPr>
        <w:pStyle w:val="a3"/>
        <w:shd w:val="clear" w:color="auto" w:fill="FFFFFF"/>
        <w:ind w:firstLine="225"/>
        <w:jc w:val="both"/>
        <w:rPr>
          <w:color w:val="000000"/>
          <w:sz w:val="28"/>
          <w:szCs w:val="28"/>
          <w:lang w:val="uk-UA"/>
        </w:rPr>
      </w:pP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lastRenderedPageBreak/>
        <w:t xml:space="preserve">6.2.1. Увесь персонал лабораторії, внутрішній та зовнішній, який може вплинути на діяльність лабораторії, повинен діяти неупереджено, бути компетентним та працювати у відповідності до системи управління лабораторії.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6.2.2. Лабораторія повинна задокументувати вимоги до компетентності для кожної функції, яка впливає на результати діяльності лабораторії, включаючи вимоги до освіти, кваліфікації, підготовки, технічних знань, навичок та досвіду.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6.2.3. Лабораторія повинна забезпечити, щоб персонал мав компетентність для виконання своєї діяльності, за яку він несе відповідальність, та для оцінювання значимості відхилень.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6.2.4 Керівництво лабораторії повинно довести до персоналу його обов'язки, відповідальність та повноваження.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6.2.5. Лабораторія повинна мати процедуру (процедури) та підтримувати записи для: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a) визначення вимог до компетентності;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b) підбору персоналу; c) навчання персоналу;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d) нагляду за персоналом; e) уповноваження персоналу;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f) моніторингу компетентності персоналу.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6.2.6. Лабораторія повинна уповноважити персонал для виконання конкретної діяльності лабораторії, що включає, але не обмежується, наступним: </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 xml:space="preserve">a) розроблення, модифікацію, верифікацію та </w:t>
      </w:r>
      <w:proofErr w:type="spellStart"/>
      <w:r w:rsidRPr="00DA1ACB">
        <w:rPr>
          <w:color w:val="000000"/>
          <w:sz w:val="28"/>
          <w:szCs w:val="28"/>
          <w:lang w:val="uk-UA"/>
        </w:rPr>
        <w:t>валідацію</w:t>
      </w:r>
      <w:proofErr w:type="spellEnd"/>
      <w:r w:rsidRPr="00DA1ACB">
        <w:rPr>
          <w:color w:val="000000"/>
          <w:sz w:val="28"/>
          <w:szCs w:val="28"/>
          <w:lang w:val="uk-UA"/>
        </w:rPr>
        <w:t xml:space="preserve"> методів; </w:t>
      </w:r>
    </w:p>
    <w:p w:rsidR="00DA1ACB" w:rsidRPr="00DA1ACB" w:rsidRDefault="00DA1ACB" w:rsidP="00DA1ACB">
      <w:pPr>
        <w:pStyle w:val="a3"/>
        <w:shd w:val="clear" w:color="auto" w:fill="FFFFFF"/>
        <w:ind w:firstLine="225"/>
        <w:jc w:val="both"/>
        <w:rPr>
          <w:b/>
          <w:bCs/>
          <w:color w:val="000000"/>
          <w:sz w:val="28"/>
          <w:szCs w:val="28"/>
          <w:lang w:val="uk-UA"/>
        </w:rPr>
      </w:pPr>
      <w:r w:rsidRPr="00DA1ACB">
        <w:rPr>
          <w:color w:val="000000"/>
          <w:sz w:val="28"/>
          <w:szCs w:val="28"/>
          <w:lang w:val="uk-UA"/>
        </w:rPr>
        <w:t>b) аналізування результатів, включаючи заяви про відповідність або думки та тлумачення;</w:t>
      </w:r>
    </w:p>
    <w:p w:rsidR="00DA1ACB" w:rsidRPr="00DA1ACB" w:rsidRDefault="00DA1ACB" w:rsidP="00DA1ACB">
      <w:pPr>
        <w:pStyle w:val="a3"/>
        <w:shd w:val="clear" w:color="auto" w:fill="FFFFFF"/>
        <w:ind w:firstLine="225"/>
        <w:jc w:val="both"/>
        <w:rPr>
          <w:color w:val="000000"/>
          <w:sz w:val="28"/>
          <w:szCs w:val="28"/>
          <w:lang w:val="uk-UA"/>
        </w:rPr>
      </w:pPr>
      <w:r w:rsidRPr="00DA1ACB">
        <w:rPr>
          <w:color w:val="000000"/>
          <w:sz w:val="28"/>
          <w:szCs w:val="28"/>
          <w:lang w:val="uk-UA"/>
        </w:rPr>
        <w:t>c) звітування, аналіз та затвердження результатів.</w:t>
      </w:r>
    </w:p>
    <w:p w:rsidR="00DA1ACB" w:rsidRPr="00DA1ACB" w:rsidRDefault="00DA1ACB" w:rsidP="00DA1ACB">
      <w:pPr>
        <w:pStyle w:val="a3"/>
        <w:shd w:val="clear" w:color="auto" w:fill="FFFFFF"/>
        <w:ind w:firstLine="225"/>
        <w:jc w:val="both"/>
        <w:rPr>
          <w:b/>
          <w:bCs/>
          <w:color w:val="000000"/>
          <w:sz w:val="28"/>
          <w:szCs w:val="28"/>
          <w:lang w:val="uk-UA"/>
        </w:rPr>
      </w:pPr>
    </w:p>
    <w:p w:rsidR="00AC3E63" w:rsidRPr="00DA1ACB" w:rsidRDefault="00AC3E63" w:rsidP="00DA1ACB">
      <w:pPr>
        <w:pStyle w:val="a3"/>
        <w:shd w:val="clear" w:color="auto" w:fill="FFFFFF"/>
        <w:ind w:firstLine="225"/>
        <w:jc w:val="both"/>
        <w:rPr>
          <w:b/>
          <w:sz w:val="28"/>
          <w:szCs w:val="28"/>
          <w:lang w:val="uk-UA"/>
        </w:rPr>
      </w:pPr>
    </w:p>
    <w:sectPr w:rsidR="00AC3E63" w:rsidRPr="00DA1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D9"/>
    <w:rsid w:val="00087662"/>
    <w:rsid w:val="00341F18"/>
    <w:rsid w:val="00367138"/>
    <w:rsid w:val="007C2E25"/>
    <w:rsid w:val="00AC3E63"/>
    <w:rsid w:val="00B26FE7"/>
    <w:rsid w:val="00C70BD9"/>
    <w:rsid w:val="00DA1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87662"/>
    <w:rPr>
      <w:rFonts w:ascii="Palatino Linotype" w:hAnsi="Palatino Linotype" w:hint="default"/>
      <w:b w:val="0"/>
      <w:bCs w:val="0"/>
      <w:i w:val="0"/>
      <w:iCs w:val="0"/>
      <w:color w:val="000000"/>
      <w:sz w:val="30"/>
      <w:szCs w:val="30"/>
    </w:rPr>
  </w:style>
  <w:style w:type="character" w:customStyle="1" w:styleId="fontstyle21">
    <w:name w:val="fontstyle21"/>
    <w:basedOn w:val="a0"/>
    <w:rsid w:val="00087662"/>
    <w:rPr>
      <w:rFonts w:ascii="Symbol" w:hAnsi="Symbol" w:hint="default"/>
      <w:b w:val="0"/>
      <w:bCs w:val="0"/>
      <w:i w:val="0"/>
      <w:iCs w:val="0"/>
      <w:color w:val="242424"/>
      <w:sz w:val="20"/>
      <w:szCs w:val="20"/>
    </w:rPr>
  </w:style>
  <w:style w:type="character" w:customStyle="1" w:styleId="fontstyle31">
    <w:name w:val="fontstyle31"/>
    <w:basedOn w:val="a0"/>
    <w:rsid w:val="00087662"/>
    <w:rPr>
      <w:rFonts w:ascii="Palatino Linotype" w:hAnsi="Palatino Linotype" w:hint="default"/>
      <w:b/>
      <w:bCs/>
      <w:i/>
      <w:iCs/>
      <w:color w:val="000000"/>
      <w:sz w:val="20"/>
      <w:szCs w:val="20"/>
    </w:rPr>
  </w:style>
  <w:style w:type="paragraph" w:styleId="a3">
    <w:name w:val="Normal (Web)"/>
    <w:basedOn w:val="a"/>
    <w:uiPriority w:val="99"/>
    <w:unhideWhenUsed/>
    <w:rsid w:val="00AC3E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87662"/>
    <w:rPr>
      <w:rFonts w:ascii="Palatino Linotype" w:hAnsi="Palatino Linotype" w:hint="default"/>
      <w:b w:val="0"/>
      <w:bCs w:val="0"/>
      <w:i w:val="0"/>
      <w:iCs w:val="0"/>
      <w:color w:val="000000"/>
      <w:sz w:val="30"/>
      <w:szCs w:val="30"/>
    </w:rPr>
  </w:style>
  <w:style w:type="character" w:customStyle="1" w:styleId="fontstyle21">
    <w:name w:val="fontstyle21"/>
    <w:basedOn w:val="a0"/>
    <w:rsid w:val="00087662"/>
    <w:rPr>
      <w:rFonts w:ascii="Symbol" w:hAnsi="Symbol" w:hint="default"/>
      <w:b w:val="0"/>
      <w:bCs w:val="0"/>
      <w:i w:val="0"/>
      <w:iCs w:val="0"/>
      <w:color w:val="242424"/>
      <w:sz w:val="20"/>
      <w:szCs w:val="20"/>
    </w:rPr>
  </w:style>
  <w:style w:type="character" w:customStyle="1" w:styleId="fontstyle31">
    <w:name w:val="fontstyle31"/>
    <w:basedOn w:val="a0"/>
    <w:rsid w:val="00087662"/>
    <w:rPr>
      <w:rFonts w:ascii="Palatino Linotype" w:hAnsi="Palatino Linotype" w:hint="default"/>
      <w:b/>
      <w:bCs/>
      <w:i/>
      <w:iCs/>
      <w:color w:val="000000"/>
      <w:sz w:val="20"/>
      <w:szCs w:val="20"/>
    </w:rPr>
  </w:style>
  <w:style w:type="paragraph" w:styleId="a3">
    <w:name w:val="Normal (Web)"/>
    <w:basedOn w:val="a"/>
    <w:uiPriority w:val="99"/>
    <w:unhideWhenUsed/>
    <w:rsid w:val="00AC3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933</Words>
  <Characters>6843</Characters>
  <Application>Microsoft Office Word</Application>
  <DocSecurity>0</DocSecurity>
  <Lines>57</Lines>
  <Paragraphs>15</Paragraphs>
  <ScaleCrop>false</ScaleCrop>
  <Company>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5</cp:revision>
  <dcterms:created xsi:type="dcterms:W3CDTF">2020-03-19T07:14:00Z</dcterms:created>
  <dcterms:modified xsi:type="dcterms:W3CDTF">2020-04-24T11:54:00Z</dcterms:modified>
</cp:coreProperties>
</file>