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7E4" w:rsidRDefault="00FA3428" w:rsidP="00A207E4">
      <w:pPr>
        <w:jc w:val="center"/>
        <w:rPr>
          <w:rFonts w:ascii="Arial" w:hAnsi="Arial" w:cs="Arial"/>
          <w:b/>
          <w:i/>
          <w:lang w:val="uk-UA"/>
        </w:rPr>
      </w:pPr>
      <w:r>
        <w:rPr>
          <w:rFonts w:ascii="Arial" w:hAnsi="Arial" w:cs="Arial"/>
          <w:b/>
          <w:i/>
          <w:lang w:val="uk-UA"/>
        </w:rPr>
        <w:t>Лабораторна робота</w:t>
      </w:r>
      <w:bookmarkStart w:id="0" w:name="_GoBack"/>
      <w:bookmarkEnd w:id="0"/>
    </w:p>
    <w:p w:rsidR="00A207E4" w:rsidRDefault="00A207E4" w:rsidP="00A207E4">
      <w:pPr>
        <w:jc w:val="center"/>
        <w:rPr>
          <w:rFonts w:ascii="Arial" w:hAnsi="Arial" w:cs="Arial"/>
          <w:b/>
          <w:i/>
          <w:lang w:val="uk-UA"/>
        </w:rPr>
      </w:pPr>
    </w:p>
    <w:p w:rsidR="00A207E4" w:rsidRPr="00C4298A" w:rsidRDefault="00A207E4" w:rsidP="00A207E4">
      <w:pPr>
        <w:jc w:val="center"/>
        <w:rPr>
          <w:rFonts w:ascii="Arial" w:hAnsi="Arial" w:cs="Arial"/>
          <w:b/>
          <w:i/>
          <w:lang w:val="uk-UA"/>
        </w:rPr>
      </w:pPr>
      <w:r>
        <w:rPr>
          <w:rFonts w:ascii="Arial" w:hAnsi="Arial" w:cs="Arial"/>
          <w:b/>
          <w:i/>
          <w:lang w:val="uk-UA"/>
        </w:rPr>
        <w:t xml:space="preserve">Тема: </w:t>
      </w:r>
      <w:r w:rsidRPr="00A207E4">
        <w:rPr>
          <w:rFonts w:ascii="Arial" w:hAnsi="Arial" w:cs="Arial"/>
          <w:b/>
          <w:i/>
          <w:lang w:val="uk-UA"/>
        </w:rPr>
        <w:t>СИСТЕМИ ЕЛЕКТРОННОЇ ОПЛАТИ НА ТРАНСПОРТ</w:t>
      </w:r>
      <w:r>
        <w:rPr>
          <w:rFonts w:ascii="Arial" w:hAnsi="Arial" w:cs="Arial"/>
          <w:b/>
          <w:i/>
          <w:lang w:val="uk-UA"/>
        </w:rPr>
        <w:t>І</w:t>
      </w:r>
    </w:p>
    <w:p w:rsidR="00A207E4" w:rsidRPr="00C4298A" w:rsidRDefault="00A207E4" w:rsidP="00A207E4">
      <w:pPr>
        <w:shd w:val="clear" w:color="auto" w:fill="FFFFFF"/>
        <w:ind w:firstLine="340"/>
        <w:jc w:val="both"/>
        <w:rPr>
          <w:sz w:val="22"/>
          <w:szCs w:val="22"/>
          <w:lang w:val="uk-UA"/>
        </w:rPr>
      </w:pPr>
    </w:p>
    <w:p w:rsidR="00A207E4" w:rsidRPr="00A207E4" w:rsidRDefault="00A207E4" w:rsidP="00A207E4">
      <w:pPr>
        <w:widowControl w:val="0"/>
        <w:autoSpaceDE w:val="0"/>
        <w:autoSpaceDN w:val="0"/>
        <w:spacing w:before="6" w:line="297" w:lineRule="auto"/>
        <w:ind w:left="138" w:right="108" w:firstLine="707"/>
        <w:jc w:val="both"/>
        <w:rPr>
          <w:rFonts w:ascii="Arial" w:eastAsia="Arial" w:hAnsi="Arial" w:cs="Arial"/>
          <w:spacing w:val="-5"/>
          <w:sz w:val="28"/>
          <w:szCs w:val="28"/>
          <w:lang w:val="uk-UA" w:eastAsia="en-US"/>
        </w:rPr>
      </w:pP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Системи електронної оплати EFC (</w:t>
      </w:r>
      <w:proofErr w:type="spellStart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Electronic</w:t>
      </w:r>
      <w:proofErr w:type="spellEnd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 xml:space="preserve"> </w:t>
      </w:r>
      <w:proofErr w:type="spellStart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Fee</w:t>
      </w:r>
      <w:proofErr w:type="spellEnd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 xml:space="preserve"> </w:t>
      </w:r>
      <w:proofErr w:type="spellStart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Collection</w:t>
      </w:r>
      <w:proofErr w:type="spellEnd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) вже давно використовуються в багатьох країнах для оплати транспортних операцій, тобто плати за користування дорогами транспортними засобами певних категорій, наприкл</w:t>
      </w:r>
      <w:r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ад, тільки в разі вантажних ав</w:t>
      </w: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томобілів, маса яких перевищує певну межу, або, коли необхідно сплатити за проїзд всіх транспортних засобів. ЕFC є не тільки джерелом доходу в разі сплати за надання послуги, але і ефективним регулятором, так як можна використовувати прогресивні тарифи, які полягають в багаторазовому збільшенні плати, якщо водій їде, наприклад, в центр міста і не користується міським громадським транспортом . Аналогічним прикладом є стягування плати за проїзд через автотранспортний тунель.</w:t>
      </w:r>
    </w:p>
    <w:p w:rsidR="00A207E4" w:rsidRPr="00A207E4" w:rsidRDefault="00A207E4" w:rsidP="00A207E4">
      <w:pPr>
        <w:widowControl w:val="0"/>
        <w:autoSpaceDE w:val="0"/>
        <w:autoSpaceDN w:val="0"/>
        <w:spacing w:before="6" w:line="297" w:lineRule="auto"/>
        <w:ind w:left="138" w:right="108" w:firstLine="707"/>
        <w:jc w:val="both"/>
        <w:rPr>
          <w:rFonts w:ascii="Arial" w:eastAsia="Arial" w:hAnsi="Arial" w:cs="Arial"/>
          <w:spacing w:val="-5"/>
          <w:sz w:val="28"/>
          <w:szCs w:val="28"/>
          <w:lang w:val="uk-UA" w:eastAsia="en-US"/>
        </w:rPr>
      </w:pP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Інтегральна система електронної оплати EFC - це прийнята платформа, яка стандартизована на рівні країн ЄС в рамках робочої групи CEN TC278. Складовою частиною групи стандартів, розроблених робочою групою WG1 «</w:t>
      </w:r>
      <w:proofErr w:type="spellStart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Electronic</w:t>
      </w:r>
      <w:proofErr w:type="spellEnd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 xml:space="preserve"> </w:t>
      </w:r>
      <w:proofErr w:type="spellStart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Free</w:t>
      </w:r>
      <w:proofErr w:type="spellEnd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 xml:space="preserve"> </w:t>
      </w:r>
      <w:proofErr w:type="spellStart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Collection</w:t>
      </w:r>
      <w:proofErr w:type="spellEnd"/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», являються методи обміну інформацією про електронний платіж як між окремими транспортними операторами (суб'єкти, які надають платні транспортні послуги), так і між окремими системами платежу (фінансові установи) .</w:t>
      </w:r>
    </w:p>
    <w:p w:rsidR="00A207E4" w:rsidRPr="00A207E4" w:rsidRDefault="00A207E4" w:rsidP="00A207E4">
      <w:pPr>
        <w:widowControl w:val="0"/>
        <w:autoSpaceDE w:val="0"/>
        <w:autoSpaceDN w:val="0"/>
        <w:spacing w:before="6" w:line="297" w:lineRule="auto"/>
        <w:ind w:left="138" w:right="108" w:firstLine="707"/>
        <w:jc w:val="both"/>
        <w:rPr>
          <w:rFonts w:ascii="Arial" w:eastAsia="Arial" w:hAnsi="Arial" w:cs="Arial"/>
          <w:spacing w:val="-5"/>
          <w:sz w:val="28"/>
          <w:szCs w:val="28"/>
          <w:lang w:val="uk-UA" w:eastAsia="en-US"/>
        </w:rPr>
      </w:pP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Інтегральна система EFC по даній концепції складається з наступних частин.</w:t>
      </w:r>
    </w:p>
    <w:p w:rsidR="00A207E4" w:rsidRPr="00A207E4" w:rsidRDefault="00A207E4" w:rsidP="00A207E4">
      <w:pPr>
        <w:widowControl w:val="0"/>
        <w:autoSpaceDE w:val="0"/>
        <w:autoSpaceDN w:val="0"/>
        <w:spacing w:before="6" w:line="297" w:lineRule="auto"/>
        <w:ind w:left="138" w:right="108" w:firstLine="707"/>
        <w:jc w:val="both"/>
        <w:rPr>
          <w:rFonts w:ascii="Arial" w:eastAsia="Arial" w:hAnsi="Arial" w:cs="Arial"/>
          <w:spacing w:val="-5"/>
          <w:sz w:val="28"/>
          <w:szCs w:val="28"/>
          <w:lang w:val="uk-UA" w:eastAsia="en-US"/>
        </w:rPr>
      </w:pP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 xml:space="preserve">Призначенням контрольної системи є зведення до </w:t>
      </w: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мінімуму</w:t>
      </w:r>
      <w:r w:rsidR="00FA3428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 xml:space="preserve"> несплати</w:t>
      </w: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 xml:space="preserve"> за проїзд. Несплата може бути навмисною і ненавмисною. Ненавмисні неплатежі можуть мати місце, наприклад, при відмові OBU, при якому водій був готовий заплат</w:t>
      </w:r>
      <w:r w:rsidR="00FA3428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ити за проїзд. У разі навмисної</w:t>
      </w: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 xml:space="preserve"> не</w:t>
      </w:r>
      <w:r w:rsidR="00FA3428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сплати</w:t>
      </w: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 xml:space="preserve"> мова йде про обман. Як приклад можна навести випадок, коли водій навмисно ставить неправильні параметри OBU, наприклад, задає нижчий тариф, або коли водій закриває OBU, в результаті чого неможливо здійснити відлік.</w:t>
      </w:r>
    </w:p>
    <w:p w:rsidR="00A207E4" w:rsidRPr="00A207E4" w:rsidRDefault="00A207E4" w:rsidP="00A207E4">
      <w:pPr>
        <w:widowControl w:val="0"/>
        <w:autoSpaceDE w:val="0"/>
        <w:autoSpaceDN w:val="0"/>
        <w:spacing w:before="6" w:line="297" w:lineRule="auto"/>
        <w:ind w:left="138" w:right="108" w:firstLine="707"/>
        <w:jc w:val="both"/>
        <w:rPr>
          <w:rFonts w:ascii="Arial" w:eastAsia="Arial" w:hAnsi="Arial" w:cs="Arial"/>
          <w:spacing w:val="-5"/>
          <w:sz w:val="28"/>
          <w:szCs w:val="28"/>
          <w:lang w:val="uk-UA" w:eastAsia="en-US"/>
        </w:rPr>
      </w:pP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Створення добре діючих контрольних систем є абсолютною необхідністю, бо найдосконаліша система EFC втрачає важливість, якщо виявлено, що проводиться контроль не являється послідовним. Кажуть, що один програний судовий процес з неплатником може привести під</w:t>
      </w:r>
      <w:r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 xml:space="preserve"> сумнів всю систе</w:t>
      </w: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му електронного платежу.</w:t>
      </w:r>
    </w:p>
    <w:p w:rsidR="00A207E4" w:rsidRPr="00A207E4" w:rsidRDefault="00A207E4" w:rsidP="00A207E4">
      <w:pPr>
        <w:widowControl w:val="0"/>
        <w:autoSpaceDE w:val="0"/>
        <w:autoSpaceDN w:val="0"/>
        <w:jc w:val="both"/>
        <w:rPr>
          <w:rFonts w:ascii="Arial" w:eastAsia="Arial" w:hAnsi="Arial" w:cs="Arial"/>
          <w:spacing w:val="-5"/>
          <w:sz w:val="28"/>
          <w:szCs w:val="28"/>
          <w:lang w:val="uk-UA" w:eastAsia="en-US"/>
        </w:rPr>
      </w:pPr>
    </w:p>
    <w:p w:rsidR="00A207E4" w:rsidRPr="00A207E4" w:rsidRDefault="00A207E4" w:rsidP="00A207E4">
      <w:pPr>
        <w:widowControl w:val="0"/>
        <w:autoSpaceDE w:val="0"/>
        <w:autoSpaceDN w:val="0"/>
        <w:jc w:val="both"/>
        <w:rPr>
          <w:rFonts w:ascii="Arial" w:eastAsia="Arial" w:hAnsi="Arial" w:cs="Arial"/>
          <w:spacing w:val="-5"/>
          <w:sz w:val="28"/>
          <w:szCs w:val="28"/>
          <w:lang w:val="uk-UA" w:eastAsia="en-US"/>
        </w:rPr>
      </w:pP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Контрольні системи можна розділити на два основні класи:</w:t>
      </w:r>
    </w:p>
    <w:p w:rsidR="00A207E4" w:rsidRPr="00A207E4" w:rsidRDefault="00A207E4" w:rsidP="00A207E4">
      <w:pPr>
        <w:widowControl w:val="0"/>
        <w:autoSpaceDE w:val="0"/>
        <w:autoSpaceDN w:val="0"/>
        <w:jc w:val="both"/>
        <w:rPr>
          <w:rFonts w:ascii="Arial" w:eastAsia="Arial" w:hAnsi="Arial" w:cs="Arial"/>
          <w:spacing w:val="-5"/>
          <w:sz w:val="28"/>
          <w:szCs w:val="28"/>
          <w:lang w:val="uk-UA" w:eastAsia="en-US"/>
        </w:rPr>
      </w:pPr>
    </w:p>
    <w:p w:rsidR="00A207E4" w:rsidRPr="00A207E4" w:rsidRDefault="00A207E4" w:rsidP="00A207E4">
      <w:pPr>
        <w:widowControl w:val="0"/>
        <w:autoSpaceDE w:val="0"/>
        <w:autoSpaceDN w:val="0"/>
        <w:jc w:val="both"/>
        <w:rPr>
          <w:rFonts w:ascii="Arial" w:eastAsia="Arial" w:hAnsi="Arial" w:cs="Arial"/>
          <w:spacing w:val="-5"/>
          <w:sz w:val="28"/>
          <w:szCs w:val="28"/>
          <w:lang w:val="uk-UA" w:eastAsia="en-US"/>
        </w:rPr>
      </w:pP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- мобільні,</w:t>
      </w:r>
    </w:p>
    <w:p w:rsidR="00A207E4" w:rsidRPr="00A207E4" w:rsidRDefault="00A207E4" w:rsidP="00A207E4">
      <w:pPr>
        <w:widowControl w:val="0"/>
        <w:autoSpaceDE w:val="0"/>
        <w:autoSpaceDN w:val="0"/>
        <w:jc w:val="both"/>
        <w:rPr>
          <w:rFonts w:ascii="Arial" w:eastAsia="Arial" w:hAnsi="Arial" w:cs="Arial"/>
          <w:spacing w:val="-5"/>
          <w:sz w:val="28"/>
          <w:szCs w:val="28"/>
          <w:lang w:val="uk-UA" w:eastAsia="en-US"/>
        </w:rPr>
      </w:pPr>
    </w:p>
    <w:p w:rsidR="00A207E4" w:rsidRPr="00A207E4" w:rsidRDefault="00A207E4" w:rsidP="00A207E4">
      <w:pPr>
        <w:widowControl w:val="0"/>
        <w:autoSpaceDE w:val="0"/>
        <w:autoSpaceDN w:val="0"/>
        <w:rPr>
          <w:rFonts w:ascii="Arial" w:eastAsia="Arial" w:hAnsi="Arial" w:cs="Arial"/>
          <w:sz w:val="28"/>
          <w:szCs w:val="22"/>
          <w:lang w:val="uk-UA" w:eastAsia="en-US"/>
        </w:rPr>
      </w:pPr>
      <w:r w:rsidRPr="00A207E4">
        <w:rPr>
          <w:rFonts w:ascii="Arial" w:eastAsia="Arial" w:hAnsi="Arial" w:cs="Arial"/>
          <w:spacing w:val="-5"/>
          <w:sz w:val="28"/>
          <w:szCs w:val="28"/>
          <w:lang w:val="uk-UA" w:eastAsia="en-US"/>
        </w:rPr>
        <w:t>-стаціонарні (фіксовані).</w:t>
      </w:r>
    </w:p>
    <w:p w:rsidR="00A207E4" w:rsidRPr="00A207E4" w:rsidRDefault="00A207E4" w:rsidP="00A207E4">
      <w:pPr>
        <w:rPr>
          <w:lang w:val="uk-UA"/>
        </w:rPr>
      </w:pPr>
    </w:p>
    <w:sectPr w:rsidR="00A207E4" w:rsidRPr="00A20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F6176"/>
    <w:multiLevelType w:val="multilevel"/>
    <w:tmpl w:val="5E5EBE6E"/>
    <w:lvl w:ilvl="0">
      <w:start w:val="2"/>
      <w:numFmt w:val="decimal"/>
      <w:lvlText w:val="%1"/>
      <w:lvlJc w:val="left"/>
      <w:pPr>
        <w:ind w:left="1376" w:hanging="526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68" w:hanging="526"/>
        <w:jc w:val="right"/>
      </w:pPr>
      <w:rPr>
        <w:rFonts w:ascii="Arial" w:eastAsia="Arial" w:hAnsi="Arial" w:cs="Arial" w:hint="default"/>
        <w:b/>
        <w:bCs/>
        <w:spacing w:val="-6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2881" w:hanging="752"/>
        <w:jc w:val="right"/>
      </w:pPr>
      <w:rPr>
        <w:rFonts w:ascii="Arial" w:eastAsia="Arial" w:hAnsi="Arial" w:cs="Arial" w:hint="default"/>
        <w:b/>
        <w:bCs/>
        <w:i/>
        <w:spacing w:val="-6"/>
        <w:w w:val="100"/>
        <w:sz w:val="28"/>
        <w:szCs w:val="28"/>
      </w:rPr>
    </w:lvl>
    <w:lvl w:ilvl="3">
      <w:numFmt w:val="bullet"/>
      <w:lvlText w:val="•"/>
      <w:lvlJc w:val="left"/>
      <w:pPr>
        <w:ind w:left="3753" w:hanging="752"/>
      </w:pPr>
      <w:rPr>
        <w:rFonts w:hint="default"/>
      </w:rPr>
    </w:lvl>
    <w:lvl w:ilvl="4">
      <w:numFmt w:val="bullet"/>
      <w:lvlText w:val="•"/>
      <w:lvlJc w:val="left"/>
      <w:pPr>
        <w:ind w:left="4546" w:hanging="752"/>
      </w:pPr>
      <w:rPr>
        <w:rFonts w:hint="default"/>
      </w:rPr>
    </w:lvl>
    <w:lvl w:ilvl="5">
      <w:numFmt w:val="bullet"/>
      <w:lvlText w:val="•"/>
      <w:lvlJc w:val="left"/>
      <w:pPr>
        <w:ind w:left="5339" w:hanging="752"/>
      </w:pPr>
      <w:rPr>
        <w:rFonts w:hint="default"/>
      </w:rPr>
    </w:lvl>
    <w:lvl w:ilvl="6">
      <w:numFmt w:val="bullet"/>
      <w:lvlText w:val="•"/>
      <w:lvlJc w:val="left"/>
      <w:pPr>
        <w:ind w:left="6133" w:hanging="752"/>
      </w:pPr>
      <w:rPr>
        <w:rFonts w:hint="default"/>
      </w:rPr>
    </w:lvl>
    <w:lvl w:ilvl="7">
      <w:numFmt w:val="bullet"/>
      <w:lvlText w:val="•"/>
      <w:lvlJc w:val="left"/>
      <w:pPr>
        <w:ind w:left="6926" w:hanging="752"/>
      </w:pPr>
      <w:rPr>
        <w:rFonts w:hint="default"/>
      </w:rPr>
    </w:lvl>
    <w:lvl w:ilvl="8">
      <w:numFmt w:val="bullet"/>
      <w:lvlText w:val="•"/>
      <w:lvlJc w:val="left"/>
      <w:pPr>
        <w:ind w:left="7719" w:hanging="7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E4"/>
    <w:rsid w:val="00020CE1"/>
    <w:rsid w:val="00A207E4"/>
    <w:rsid w:val="00FA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8BDD"/>
  <w15:chartTrackingRefBased/>
  <w15:docId w15:val="{DCE00D3D-B6F9-4F12-9DF7-762B14F4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2020-04-17T22:12:00Z</dcterms:created>
  <dcterms:modified xsi:type="dcterms:W3CDTF">2020-04-17T22:35:00Z</dcterms:modified>
</cp:coreProperties>
</file>