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05" w:rsidRPr="00563F05" w:rsidRDefault="00563F05" w:rsidP="00563F05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</w:pPr>
      <w:r w:rsidRPr="00563F05"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  <w:t>Побудова геологічних карт гірських порід, що залягають горизонтально</w:t>
      </w:r>
    </w:p>
    <w:p w:rsidR="00563F05" w:rsidRDefault="00563F05" w:rsidP="00563F05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При дослідженні крупних об’єктів – великих ділянок земної кори доводиться відображати їх в масштабі, зменшувати, упускаючи при цьому частини, деталі, але виграючи в цілісності зображення. Одним з таких прийомів є складання геологічних карт, тобто своєрідних моделей крупних ділянок земної кори. </w:t>
      </w: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b/>
          <w:i/>
          <w:lang w:val="uk-UA"/>
        </w:rPr>
        <w:t>Геологічною картою</w:t>
      </w:r>
      <w:r w:rsidRPr="00563F05">
        <w:rPr>
          <w:rStyle w:val="fontstyle21"/>
          <w:rFonts w:ascii="Times New Roman" w:hAnsi="Times New Roman" w:cs="Times New Roman"/>
          <w:lang w:val="uk-UA"/>
        </w:rPr>
        <w:t xml:space="preserve"> називається вертикальна проекція на горизонтальну площину природних і штучних виходів гірських порід, яка виконана, як правило, в зменшеному масштабі. </w:t>
      </w: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Всі геологічні карти залежно від масштабу підрозділяються на п’ять типів: оглядові (дрібніше 1:1000000), які відображають геологічну будову континентів або держав; дрібномасштабні (регіональні – 1:500000), що дають уяву про геологічну будову яких-небудь регіонів, об’єднаних спільністю геологічного розвитку (геологічна карта Карпат, Українського щита та ін.); середньомасштабні (1:200000 – 1:100000) – відображають геологічну будову окремих районів крупних геологічних структур (геологічна карта Дніпропетровської області та ін.), великомасштабні (1:50000 – 1:25000) та детальні (1:10000 – 1:1000) будуються для невеликих за площею ділянок земної кори (геологічна карта Криворізького залізорудного басейну тощо). </w:t>
      </w: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Зміст карти визначається її різновидом: геологічна, гідрогеологічна, геоморфологічна, прогнозна. Роль геологічних карт дуже велика, вони є могутнім інструментом дослідження і пізнання будови земної кори, концентрують в собі об’ємну інформацію, яка накопичена, як в цілому по Україні, так і по окремим її регіонам. </w:t>
      </w: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Аркуш (планшет) геологічної карти повинен мати обов’язкові елементи: геологічну карту, стратиграфічну колонку, геологічні розрізи і умовні позначення. </w:t>
      </w:r>
    </w:p>
    <w:p w:rsidR="00563F05" w:rsidRPr="00563F05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Геологічні карти складаються і видаються у вигляді планшетів і мають ту ж номенклатуру, що топографічні планшети. Геологічна карта будується на топографічній основі, з якої зазвичай видаляються умовні знаки, що не дають уяви про будову рельєфу. Горизонталі на дрібномасштабних картах часто теж розріджуються. Геологічна ситуація з акцентом на конкретний зміст залежно від різновиду карт відображається за допомогою умовних знаків складу, віку і умов залягання гірських порід (рис. </w:t>
      </w:r>
      <w:r w:rsidR="00FC2DD3">
        <w:rPr>
          <w:rStyle w:val="fontstyle21"/>
          <w:rFonts w:ascii="Times New Roman" w:hAnsi="Times New Roman" w:cs="Times New Roman"/>
          <w:lang w:val="uk-UA"/>
        </w:rPr>
        <w:t>1</w:t>
      </w:r>
      <w:r w:rsidRPr="00563F05">
        <w:rPr>
          <w:rStyle w:val="fontstyle21"/>
          <w:rFonts w:ascii="Times New Roman" w:hAnsi="Times New Roman" w:cs="Times New Roman"/>
          <w:lang w:val="uk-UA"/>
        </w:rPr>
        <w:t xml:space="preserve">). На власне геологічній, тобто віковій карті і на її різновидах видаляється покрив четвертинних континентальних відкладів, що займають 90% поверхні суходолу. На карті четвертинні відкладення показуються в тих випадках, коли неможливо встановити будову порід, що їх підстилають або, якщо четвертинні відкладення містять корисні копалини, наприклад, воду. </w:t>
      </w:r>
    </w:p>
    <w:p w:rsidR="005C1BB7" w:rsidRDefault="00563F05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  <w:r w:rsidRPr="00563F05">
        <w:rPr>
          <w:rStyle w:val="fontstyle21"/>
          <w:rFonts w:ascii="Times New Roman" w:hAnsi="Times New Roman" w:cs="Times New Roman"/>
          <w:lang w:val="uk-UA"/>
        </w:rPr>
        <w:t xml:space="preserve">Стратиграфічна колонка (рис. 2) будується в лівій частині планшета геологічної карти. В ній повинні бути відображені вікова послідовність (система, відділ, індекс), потужність, склад всіх шарів гірських порід, які нанесені на геологічну карту або відомі за даними буріння. Масштаб </w:t>
      </w:r>
      <w:r w:rsidRPr="00563F05">
        <w:rPr>
          <w:rStyle w:val="fontstyle21"/>
          <w:rFonts w:ascii="Times New Roman" w:hAnsi="Times New Roman" w:cs="Times New Roman"/>
          <w:lang w:val="uk-UA"/>
        </w:rPr>
        <w:lastRenderedPageBreak/>
        <w:t>стратиграфічної колонки повинен відповідати масштабу карти або може бути змінений, але так, щоб шар мінімальної потужності складав в масштабі колонки 4 мм.</w:t>
      </w:r>
    </w:p>
    <w:p w:rsidR="00F64056" w:rsidRPr="00563F05" w:rsidRDefault="00F64056" w:rsidP="00563F05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lang w:val="uk-UA"/>
        </w:rPr>
      </w:pPr>
    </w:p>
    <w:p w:rsidR="00563F05" w:rsidRPr="00563F05" w:rsidRDefault="00563F05" w:rsidP="00563F0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563F05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>ГЕОЛОГІЧНА КАРТА МАСШТАБ 1:10000</w:t>
      </w:r>
    </w:p>
    <w:p w:rsidR="00563F05" w:rsidRDefault="00563F05" w:rsidP="00563F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6A3B688" wp14:editId="4EA547AB">
            <wp:extent cx="4857750" cy="344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05" w:rsidRDefault="00563F05" w:rsidP="00563F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563F0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Рис. </w:t>
      </w:r>
      <w:r w:rsidR="00FC2DD3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1. </w:t>
      </w:r>
      <w:r w:rsidRPr="00563F0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Зразок фрагменту геологічної карти.</w:t>
      </w:r>
    </w:p>
    <w:p w:rsidR="00563F05" w:rsidRPr="00563F05" w:rsidRDefault="00563F05" w:rsidP="00563F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563F05" w:rsidRDefault="00563F05" w:rsidP="00563F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9B79F35" wp14:editId="72237074">
            <wp:extent cx="3076575" cy="3914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05" w:rsidRPr="00563F05" w:rsidRDefault="00FC2DD3" w:rsidP="00563F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Рис. 2.</w:t>
      </w:r>
      <w:r w:rsidR="00563F05" w:rsidRPr="00563F0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Зразок стратиграфічної колонки.</w:t>
      </w:r>
    </w:p>
    <w:p w:rsidR="00F64056" w:rsidRDefault="00563F05" w:rsidP="00563F05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563F0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При будь-якому вибраному масштабі довжина стратиграфічної колонки не повинна перевищувати довжини планшета геологічної карти. Стратиграфічну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колонку починають будувати зверху з наймолодшого шару гірських порід, а потім далі вниз по мірі збільшення віку. Потужність першого і останнього шару, як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правило, не відома, тому для них приймається потужність в масштабі 1 см, а у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відповідній графі «потужність» ставиться прочерк. Якщо потужність одного і того ж шару різко змінюється, в графі «потужність» фіксуються межи коливань, а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по вертикалі відкладається середня потужність в масштабі стратиграфічної колонки. В стратиграфічну колонку вносять тільки істинну потужність шару.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563F05" w:rsidRDefault="00563F05" w:rsidP="00563F05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Залежно від складності геологічної будови району для кожного планшета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геологічної карти будуються один або декілька розрізів. Лінії розрізів вибираються так, щоб можна було якнайповніше відобразити основні риси геологічної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будови території, що представлена на карті. При горизонтальному заляганні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гірських порід найбільш раціональний напрям розрізу – лінія, яка проходить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через найвищу і найнижчу точки рельєфу, впоперек простягання найбільшої річкової долини. Масштаби розрізів повинні відповідати масштабу геологічної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карти, виключенням є побудова розрізів товщ, які залягають горизонтально. В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цьому випадку дозволено зменшувати вертикальний масштаб так, щоб висота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розрізу складала 10-12 см, а шар мінімальної потужності був не менше 4 мм. На</w:t>
      </w:r>
      <w:r w:rsid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геологічному розрізі повинні бути представлені всі шари гірських порід, відомих за даними буріння або геологічними даними (рис. </w:t>
      </w:r>
      <w:r w:rsidR="00FC2DD3"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).</w:t>
      </w:r>
    </w:p>
    <w:p w:rsidR="00F64056" w:rsidRDefault="00F64056" w:rsidP="00F640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95F92D9" wp14:editId="6719E533">
            <wp:extent cx="5257800" cy="3152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056" w:rsidRPr="00F64056" w:rsidRDefault="00F64056" w:rsidP="00F64056">
      <w:pPr>
        <w:spacing w:after="0" w:line="240" w:lineRule="auto"/>
        <w:ind w:firstLine="284"/>
        <w:jc w:val="center"/>
        <w:rPr>
          <w:rFonts w:ascii="TimesNewRomanPSMT" w:hAnsi="TimesNewRomanPSMT"/>
          <w:i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Рис. </w:t>
      </w:r>
      <w:r w:rsidR="00FC2DD3">
        <w:rPr>
          <w:rFonts w:ascii="TimesNewRomanPSMT" w:hAnsi="TimesNewRomanPSMT"/>
          <w:i/>
          <w:color w:val="000000"/>
          <w:sz w:val="28"/>
          <w:szCs w:val="28"/>
          <w:lang w:val="uk-UA"/>
        </w:rPr>
        <w:t>3.</w:t>
      </w:r>
      <w:r w:rsidRPr="00F64056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Зразок побудови та оформлення геологічного розрізу.</w:t>
      </w:r>
    </w:p>
    <w:p w:rsidR="00F64056" w:rsidRDefault="00F64056" w:rsidP="00563F05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F64056" w:rsidRDefault="00F64056" w:rsidP="00563F05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Умовні позначення повинні бути розміщені в правій частині планшету. Вони являють собою прямокутники, куди виносяться всі умовні знаки з геологічної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карти і розрізів, за допомогою яких описані: вік, літологічний склад порід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(рис. </w:t>
      </w:r>
      <w:r w:rsidR="00FC2DD3">
        <w:rPr>
          <w:rFonts w:ascii="TimesNewRomanPSMT" w:hAnsi="TimesNewRomanPSMT"/>
          <w:color w:val="000000"/>
          <w:sz w:val="28"/>
          <w:szCs w:val="28"/>
          <w:lang w:val="uk-UA"/>
        </w:rPr>
        <w:t>4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). Умовні знаки повинні починатися з наймолодших за віком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шарів осадових гірських порід, потім розшифровуються метаморфічні і магматичні гірські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породи в тому ж віковому порядку. Закінчуються умовні позначення знаками ліній розрізів, горизонталей місцевості, свердловин, розривних порушень.</w:t>
      </w:r>
    </w:p>
    <w:p w:rsidR="00F64056" w:rsidRPr="00B0149F" w:rsidRDefault="00B0149F" w:rsidP="00F640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4741" cy="321004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960" cy="322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056" w:rsidRPr="00F64056" w:rsidRDefault="00F64056" w:rsidP="00F64056">
      <w:pPr>
        <w:spacing w:after="0" w:line="240" w:lineRule="auto"/>
        <w:ind w:firstLine="284"/>
        <w:jc w:val="center"/>
        <w:rPr>
          <w:rFonts w:ascii="TimesNewRomanPSMT" w:hAnsi="TimesNewRomanPSMT"/>
          <w:i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Рис. </w:t>
      </w:r>
      <w:r w:rsidR="00FC2DD3">
        <w:rPr>
          <w:rFonts w:ascii="TimesNewRomanPSMT" w:hAnsi="TimesNewRomanPSMT"/>
          <w:i/>
          <w:color w:val="000000"/>
          <w:sz w:val="28"/>
          <w:szCs w:val="28"/>
          <w:lang w:val="uk-UA"/>
        </w:rPr>
        <w:t>4.</w:t>
      </w:r>
      <w:r w:rsidRPr="00F64056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Зразок оформлення умовних позначень.</w:t>
      </w: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Горизонтальне залягання шарів гірських порід є первинним, непорушеним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і властиво, як правило, молодим осадовим товщам. Горизонтальне або близьке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до нього залягання обумовлене накопиченням і сортуванням осаду у водоймищах, за рахунок чого покрівля і підошва шарів гірських порід, що послідовно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формуються, виявляються паралельними і горизонтальними. Горизонтальним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залягання вважається у тому випадку, коли кут нахилу шарів не перевищує 5-7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градусів.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На геологічних картах з горизонталями шари гірських порід, що залягають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горизонтально, розпізнаються за наступними ознаками.</w:t>
      </w: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1. Межі між різновіковими шарами гірських порід проходять паралельно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або співпадають з горизонталями місцевості.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2. Межі між різновіковими шарами гірських порід мають неправильні, часто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замкнуті контури, цілком залежать від характеру рельєфу. При достатньо розчленованому рельєфі шари мають вид паралельних смуг, що концентрично охоплюють підняття. У ярах і долинах річок ці смуги витягнуті уздовж схилів, причому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молоді шари складають більш високі елементи рельєфу (вододіли), а стародавні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приурочені до берегів річок. Таким чином, спостерігається наступна закономірність: наймолодшим шарам відповідають найбільші абсолютні висотні відмітки, 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більш давнім – найменші.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F64056" w:rsidRDefault="00F64056" w:rsidP="00F64056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64056">
        <w:rPr>
          <w:rFonts w:ascii="TimesNewRomanPSMT" w:hAnsi="TimesNewRomanPSMT"/>
          <w:color w:val="000000"/>
          <w:sz w:val="28"/>
          <w:szCs w:val="28"/>
          <w:lang w:val="uk-UA"/>
        </w:rPr>
        <w:t>3. При незначній розчленованості рельєфу шари, що залягають горизонтально, на карті відображаються або у вигляді одного суцільного поля, зафарбованого в колір найбільш молодшого шару гірських порід, або у вигляді декількох широких різнокольорових смуг.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sectPr w:rsidR="00F6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F0"/>
    <w:rsid w:val="00563F05"/>
    <w:rsid w:val="005C1BB7"/>
    <w:rsid w:val="00761BF0"/>
    <w:rsid w:val="00B0149F"/>
    <w:rsid w:val="00B84686"/>
    <w:rsid w:val="00F64056"/>
    <w:rsid w:val="00F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BF26-B6EA-4EBA-AEE6-7FBBB776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63F0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63F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2020-04-14T06:11:00Z</dcterms:created>
  <dcterms:modified xsi:type="dcterms:W3CDTF">2020-04-14T07:42:00Z</dcterms:modified>
</cp:coreProperties>
</file>