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B8" w:rsidRPr="000A1A1D" w:rsidRDefault="000B19B8" w:rsidP="000A1A1D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ФОРМИ ЗАЛЯГАННЯ </w:t>
      </w:r>
      <w:r w:rsidR="002C48AA"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ТІЛ КОРИСНИХ КОПАЛИН ТА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ПОРІД </w:t>
      </w:r>
    </w:p>
    <w:p w:rsidR="000B19B8" w:rsidRPr="000A1A1D" w:rsidRDefault="000B19B8" w:rsidP="002A7165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E41AED" w:rsidRPr="000A1A1D" w:rsidRDefault="00622165" w:rsidP="000B19B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1</w:t>
      </w:r>
      <w:r w:rsidR="004C176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E41AED" w:rsidRPr="000A1A1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Форми залягання тіл корисних копалин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Природні геологічні тіла мають складні геометрично неправильні форми, однак за співвідношеннями розмірів у трьох напрямках серед них виділяють окремі ідеалізовані форми. За умовами залягання по відношенню до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вмісних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гірських порід розрізняють згідні та січні рудні тіла.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родовищ твердих корисних копалин можна виділити три морфологічних типи покладів: пласкі, витягнені в одному напрямку </w:t>
      </w:r>
      <w:r w:rsidR="000453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ізометричні. 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ПЛАСКІ ТІЛА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характеризуються двома протяжними і одним коротким розміром. До пласких тіл належать пласти і жили. Основні елементи, які визначають геологічну позицію і розміри пластів – напрям простягання і довжина за простяганням, напрям падіння, кут падіння, довжина за падінням і потужність пласта (</w:t>
      </w:r>
      <w:r w:rsidR="00C812A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ис.</w:t>
      </w:r>
      <w:r w:rsidR="00C812A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.1). Зазвичай пластові поклади мають велику довжину – до десятків кілометрів </w:t>
      </w:r>
      <w:r w:rsidR="00CF700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 падінням</w:t>
      </w:r>
      <w:r w:rsidR="00CF700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до 2 км. Потужність – від ледве помітних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пропластків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до сотень метрів. Приклади – вугільні пласти Донбасу (сер. 0,7м), солі в Солікамську (700м). 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Пласти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найбільш типові для осадових родовищ руди, вугілля, неметалічних корисних копалин. Метасоматичні тіла, які розвиваються по окремих пластах осадових порід набувають характеру пластоподібних покладів. Пласт може розділятись на окремі шари. В залежності від цього розрізняють пласти прості (без прошарків породи) і складні (з прошарками).</w:t>
      </w:r>
    </w:p>
    <w:p w:rsidR="00E41AED" w:rsidRPr="000A1A1D" w:rsidRDefault="00E41AED" w:rsidP="00C812AE">
      <w:pPr>
        <w:ind w:firstLine="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A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7875" cy="24758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Жили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(рис.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.2) – це тіла в гірських породах, що виникли внаслідок прямого заповнення тріщин мінеральними агрегатами або метасоматичного заміщення порід мінеральною речовиною вздовж тріщин. 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Жили бувають прості і складні. Елементи залягання їх, у разі складного залягання можна визначати тільки наближено (рис.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.2).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 деталями морфології і характеру зміни потужності серед жил виділяються: сідлоподібні,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гніздоподібні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вервечкові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камерні, опірені і драбинчасті (рис.</w:t>
      </w:r>
      <w:r w:rsidR="00C812A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.3).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Сідлоподібна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утворюється при накопиченні речовини в шарнірах складок (рис. 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.3.1).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Гніздоподібна</w:t>
      </w:r>
      <w:proofErr w:type="spellEnd"/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відносно некрупне локальне скупчення корисної копалини (рис.1.3.2). Часто гнізда переходять в ізометричні тіла. Прикладом можуть слугувати рудні тіла деяких родовищ золотих, свинець-цинкових, ртутних і інших руд.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Вервечкова</w:t>
      </w:r>
      <w:proofErr w:type="spellEnd"/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характеризуються чергуванням в її площині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роздувів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пережимів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які іноді переходять в тонкі провідники (рис. 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.3.3).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Камерна жила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відрізняється ще більш різкими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роздувами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які в формі крупних накопичень ніби нанизані на жильний шов (рис. 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.3.4).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Опірені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відносяться до складних, які заповнюють тріщини скиду або зсуву і тріщини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опірення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які відходять від неї (рис. 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.3.5).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Драбинчасті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 виповнюють поперечні тріщини в пластах або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дайках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крихких порід, які залягають серед більш пластичних утворень (рис. </w:t>
      </w:r>
      <w:r w:rsidR="00232F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.3.6).</w:t>
      </w:r>
    </w:p>
    <w:p w:rsidR="00E41AED" w:rsidRDefault="00E41AED" w:rsidP="00C812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622165" w:rsidRPr="000A1A1D" w:rsidRDefault="00622165" w:rsidP="00C812A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41AED" w:rsidRPr="000A1A1D" w:rsidRDefault="00E41AED" w:rsidP="00C812A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D529E2" wp14:editId="63B4A136">
            <wp:extent cx="4922195" cy="6279676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81" cy="632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ED" w:rsidRPr="000A1A1D" w:rsidRDefault="00E41AED" w:rsidP="00232F8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4952" cy="731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14" cy="734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Жильні родовища інколи складені однією жилою, а частіше із груп – пучків, або сімейств жил. Рудні поля, утворені жильними родовищами називають жильними полями (рис. 1.4. А). Якщо більш-менш ізометричний об’єм гірської породи пронизаний дрібними і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різноорієнтованими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жилками, які створюють своєрідний клубок зосередження, і насичений 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вкрапленістю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мінеральної речовини то виділяється </w:t>
      </w:r>
      <w:proofErr w:type="spellStart"/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штокверкове</w:t>
      </w:r>
      <w:proofErr w:type="spellEnd"/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рудне тіло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(рис. 1.4. Б). Така порода з прожилками і вкрапленням цінних мінералів добувається цілком як корисна копалина. Приклад: тіла деяких родовищ міді, молібдену (</w:t>
      </w:r>
      <w:proofErr w:type="spellStart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Ганнівська</w:t>
      </w:r>
      <w:proofErr w:type="spellEnd"/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ділянка Українського щита), олова та інші. </w:t>
      </w:r>
    </w:p>
    <w:p w:rsidR="00E41AED" w:rsidRPr="000A1A1D" w:rsidRDefault="00E41AED" w:rsidP="001B1AE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60814" cy="6506595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88" cy="650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80" w:rsidRDefault="00232F80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Тіла, що відрізняються меншою площею поширення та відносно більшою потужністю, що досить плавно змінюється від центра до периферії, мають назву </w:t>
      </w: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лінзи.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Умовно можна вважати, що лінзами називаються тіла, у яких відношення потужності до двох інших розмірів більше 0,01, при меншому значенні цієї величини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пластами. Нерідко в практиці тіла перехідних між ними форм називають пластоподібними або лінзоподібними. Лінзи і лінзоподібні поклади за морфологією належать до утворень перехідних між ізометричними і плоскими тілами. 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ІЗОМЕТРИЧНІ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накопичення мінеральної речовини приблизно рівновеликі в усіх вимірах. Основний елемент, який визначає розміри і форму ізометричних рудних тіл є їх поперечний переріз. До них відносяться гнізда, штокверки і штоки.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Шток 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крупний більш-менш ізометричний поклад суцільної або майже суцільної мінеральної сировини). Як приклади можна назвати штоки повареної солі, деякі гідротермальні рудні поклади і інші.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 випадку більшої протяжності такі багаті ділянки в тілі жили називають </w:t>
      </w: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рудними стовпами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E41AED" w:rsidRPr="000A1A1D" w:rsidRDefault="00E41AED" w:rsidP="00E41A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Витягнуті по одній осі тіла корисних копалин називають </w:t>
      </w:r>
      <w:r w:rsidRPr="000A1A1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трубами, трубками або трубоподібними покладами</w:t>
      </w:r>
      <w:r w:rsidRPr="000A1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Морфологія і умови їх залягання визначаються кутом занурення або пірнання, довжиною за напрямом занурення і поперечним перетином (рис.1.5).</w:t>
      </w:r>
    </w:p>
    <w:p w:rsidR="001B1AE5" w:rsidRDefault="00E41AED" w:rsidP="001B1AE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E41A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874" cy="731288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551" cy="732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Pr="000A1A1D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 xml:space="preserve">. Форми </w:t>
      </w:r>
      <w:r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залягання магматичних порід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Первинні магми, утворюючись на різних глибинах, мають тенденцію формуватися в  великі маси, які просуваються у верхні горизонти земної кори, де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літостатичний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тиск менший. При визначених геологічних і, в першу чергу, тектонічних умовах магма не досягає поверхні Землі і застигає (кристалізується) на різній глибині, утворюючи тіла неоднакової форми і розміру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інтрузиви.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Будь-яке інтрузивне тіло оточене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вмісними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породами або рамою,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взаємод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ючи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ними, володіє двома контактовими зонами. Вплив високотемпературної, збагаченої флюїдами магми на оточуючі інтрузивне тіло породи приводить до їх зміни, яка виражена по-різному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слабкого ущільнення і дегідратації до повної перекристалізації і заміщення первинних порід. Така зона шириною від перших сантиметрів до десятків кілометрів називається зоною </w:t>
      </w:r>
      <w:proofErr w:type="spellStart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екзоконтакту</w:t>
      </w:r>
      <w:proofErr w:type="spellEnd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,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тобто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зовнішнім контактом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(рис.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1). Іншим чином, сама магма, яка укорінюється, особливо крайові частини магматичного тіла, взаємодіють з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вмісними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породами, швидше охолоджуються, частково асимілюючи породи рами, в результате чого змінюються склад магми, її структура і текстура. Така зона змінених магматичних порід в крайовій частині інтрузиву називається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зоною </w:t>
      </w:r>
      <w:proofErr w:type="spellStart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ендоконтакту</w:t>
      </w:r>
      <w:proofErr w:type="spellEnd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,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тобто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внутрішньою зоною.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4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Залежно від глибини формування інтрузивні масиви поділяються на </w:t>
      </w:r>
      <w:proofErr w:type="spellStart"/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приповерхневі</w:t>
      </w:r>
      <w:proofErr w:type="spellEnd"/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субвулканічні</w:t>
      </w:r>
      <w:proofErr w:type="spellEnd"/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(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останнє слово означає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що магма майже підійшла до поверхні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але все ж таки не вийшла на неї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обто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утворився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«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майже вулкан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субвулкан</w:t>
      </w:r>
      <w:proofErr w:type="spellEnd"/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до перших сотень метрів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середньоглибинні</w:t>
      </w:r>
      <w:proofErr w:type="spellEnd"/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гіпабісальні</w:t>
      </w:r>
      <w:proofErr w:type="spellEnd"/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,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1-1,5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км і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глибині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абісальні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,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глибше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1-1,5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Подібний розподіл не дуже строгий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але в цілому достатньо чіткий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4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Відносно до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вмісних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порід інтрузиви поділяються на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згідні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незгідні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Незгідні інтрузивні тіла перетинають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проривають пласти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вмісних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порід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4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До найбільш розповсюджених незгідних тіл відносяться </w:t>
      </w:r>
      <w:proofErr w:type="spellStart"/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дайки</w:t>
      </w:r>
      <w:proofErr w:type="spellEnd"/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довжина яких набагато разів більша ширини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а площини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ендоконтактів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практично паралельні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(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рис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. 2).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4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Дайки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володіють довжиною від десятків метрів до сотень кілометрів і шириною від перших десятків сантиметрів до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5-10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км і укорінюються по ослаблених зонах кори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тріщинах і розломах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Важливу роль відіграє також процес гідравлічного розриву, який пов'язаний з тиском магматичного розплаву, що піднімається, так як явище тектонічного розтягу, яке супроводжується утворенням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зяючих тріщин відриву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може мати місце лише на глибинах до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1,5-3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Глибше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де як раз і зароджуються широко розповсюджені базальтові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дайки</w:t>
      </w:r>
      <w:proofErr w:type="spellEnd"/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наявність пустот виключене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тому лише гідророзрив може забезпечити розсування порід і укорінення магми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Дайки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можуть бути одиночними або групуватися в кільцеві або радіальні рої паралельних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дайок</w:t>
      </w:r>
      <w:proofErr w:type="spellEnd"/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Радіальні і кільцеві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дайки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часто приурочені до інтрузивних тіл і вулканів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коли впливає розпірний тиск магми на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вмісні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породи і останні розтріскуються з утворенням кільцевих і радіальних тріщин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Кільцеві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дайки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можуть бути не лише вертикальними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але й конічними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ніби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lastRenderedPageBreak/>
        <w:t>підєднуються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до магматичного резервуару на глибині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Комплекси паралельних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дайок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розвинені в сучасних серединно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-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океанічних хребтах в зонах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спредингу</w:t>
      </w:r>
      <w:proofErr w:type="spellEnd"/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обто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там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де активно відбувається тектонічний розтяг земної кори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дайок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необхідно відрізняти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магматичні жили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які мають неправильну гіллясту форму і набагато менші розміри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Style w:val="fontstyle4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Також широко розповсюджені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штоки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стовпоподібні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інтрузиви ізометричної форми з крутими контактами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площею менше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100-150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2165" w:rsidRDefault="00622165" w:rsidP="00622165">
      <w:pPr>
        <w:spacing w:after="0" w:line="240" w:lineRule="auto"/>
        <w:jc w:val="center"/>
        <w:rPr>
          <w:rStyle w:val="fontstyle51"/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DC04462" wp14:editId="340C3D4B">
            <wp:extent cx="6159159" cy="2398426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4566" cy="247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65" w:rsidRDefault="00622165" w:rsidP="00622165">
      <w:pPr>
        <w:spacing w:after="0" w:line="240" w:lineRule="auto"/>
        <w:jc w:val="center"/>
        <w:rPr>
          <w:rStyle w:val="fontstyle51"/>
          <w:rFonts w:ascii="Times New Roman" w:hAnsi="Times New Roman" w:cs="Times New Roman"/>
          <w:sz w:val="28"/>
          <w:szCs w:val="28"/>
          <w:lang w:val="uk-UA"/>
        </w:rPr>
      </w:pPr>
    </w:p>
    <w:p w:rsidR="00622165" w:rsidRPr="000A1A1D" w:rsidRDefault="00622165" w:rsidP="00622165">
      <w:pPr>
        <w:spacing w:after="0" w:line="240" w:lineRule="auto"/>
        <w:jc w:val="center"/>
        <w:rPr>
          <w:rStyle w:val="fontstyle5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Рис</w:t>
      </w:r>
      <w:r w:rsidRPr="000A1A1D">
        <w:rPr>
          <w:rStyle w:val="fontstyle61"/>
          <w:rFonts w:ascii="Times New Roman" w:hAnsi="Times New Roman" w:cs="Times New Roman"/>
          <w:sz w:val="28"/>
          <w:szCs w:val="28"/>
          <w:lang w:val="uk-UA"/>
        </w:rPr>
        <w:t>.</w:t>
      </w:r>
      <w:r w:rsidRPr="000A1A1D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2.</w:t>
      </w:r>
      <w:r w:rsidRPr="000A1A1D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1</w:t>
      </w:r>
      <w:r w:rsidRPr="000A1A1D">
        <w:rPr>
          <w:rStyle w:val="fontstyle6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51"/>
          <w:rFonts w:ascii="Times New Roman" w:hAnsi="Times New Roman" w:cs="Times New Roman"/>
          <w:sz w:val="28"/>
          <w:szCs w:val="28"/>
          <w:lang w:val="uk-UA"/>
        </w:rPr>
        <w:t>Схема будови гранітного штоку</w:t>
      </w:r>
    </w:p>
    <w:p w:rsidR="00622165" w:rsidRPr="000A1A1D" w:rsidRDefault="00622165" w:rsidP="006221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1 – шток, 2 – </w:t>
      </w:r>
      <w:proofErr w:type="spellStart"/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>вмісні</w:t>
      </w:r>
      <w:proofErr w:type="spellEnd"/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 породи (рама інтрузиву), 3 – зона </w:t>
      </w:r>
      <w:proofErr w:type="spellStart"/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>екзоконтакту</w:t>
      </w:r>
      <w:proofErr w:type="spellEnd"/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, 4 – зона </w:t>
      </w:r>
      <w:proofErr w:type="spellStart"/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>ендоконтакту</w:t>
      </w:r>
      <w:proofErr w:type="spellEnd"/>
      <w:r w:rsidRPr="000A1A1D">
        <w:rPr>
          <w:rStyle w:val="fontstyle51"/>
          <w:rFonts w:ascii="Times New Roman" w:hAnsi="Times New Roman" w:cs="Times New Roman"/>
          <w:b w:val="0"/>
          <w:i/>
          <w:sz w:val="28"/>
          <w:szCs w:val="28"/>
          <w:lang w:val="uk-UA"/>
        </w:rPr>
        <w:t>, 5 – провисання покрівлі</w:t>
      </w:r>
    </w:p>
    <w:p w:rsidR="00622165" w:rsidRDefault="00622165" w:rsidP="00622165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622165" w:rsidRDefault="00622165" w:rsidP="00622165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Крупні гранітні інтрузиви площею в багато сотень і тисячі 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називаються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>батолітами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Спостерігаючи за крутими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незгідними з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вмісними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породами контактами раніше думали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що подібні гігантські інтрузиви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«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уходять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далеко в глибину і не мають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«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дна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Однак згодом було доведено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що батоліти володіють вертикальною потужністю в перші кілометри і аж ніяк не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>«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бездонні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Займаючи величезні площі і об’єми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гранітні батоліти утворюються в результаті магматичного заміщення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вмістних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порід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тому внутрішня структура батолітів часто визначається структурою тих товщ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які підлягали такому заміщенню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Від батолітів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які мають неправильну форму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часто відходять </w:t>
      </w:r>
      <w:r w:rsidRPr="000A1A1D">
        <w:rPr>
          <w:rStyle w:val="fontstyle21"/>
          <w:rFonts w:ascii="Times New Roman" w:hAnsi="Times New Roman" w:cs="Times New Roman"/>
          <w:sz w:val="28"/>
          <w:szCs w:val="28"/>
          <w:lang w:val="uk-UA"/>
        </w:rPr>
        <w:t xml:space="preserve">апофізи </w:t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A1A1D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більш дрібні гіллясті інтрузиви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які використовують ослаблені зони в рамі батоліту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Крупніші батоліти відомі в Андах Південної Америки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де вони безперервно прослідковуються більш ніж на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1000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мають ширину біля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100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в Північно-Американських Кордильєрах довжина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батоліта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превищує</w:t>
      </w:r>
      <w:proofErr w:type="spellEnd"/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2000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км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Батоліти </w:t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0A1A1D">
        <w:rPr>
          <w:rStyle w:val="fontstyle4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це абісаль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ні інтрузиви, як і більшість штоків, на відміну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дайки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приповерхевими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малоглибинними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утвореннями.</w:t>
      </w: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Згідні інтрузиви володіють різноманітною формою. В платформних областях серед них найбільш широко розповсюджені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сіли,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 пластові інтрузиви, які залягають серед шарів паралельно їх напластуванню. Широко розвинені базальтові сіли в Тунгуській синеклізі Сибірської платформи, де вони утворюють багатоповерхові системи плоских лінзоподібних інтрузивів,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які з’єднані вузькими і тонкими підвідними каналами. Потужність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сілів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змінюється від перших десятків сантиметрів до сотень метрів. Сіли часто диференційовані, і тоді в їх підошві накопичуються більш важкі мінерали ранньої кристалізації. Сіли утворюються в умовах тектонічного розтягу, і загальне збільшення потужності шаруватих товщ за рахунок укорінення в них пластових інтрузивів може досягати багатьох сотень метрів і навіть перших кілометрів. При цьому шари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вмісних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порід не деформуються, а лише переміщаються по вертикалі.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165" w:rsidRDefault="00622165" w:rsidP="00622165"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49829FB" wp14:editId="6C8F63D0">
            <wp:extent cx="4826562" cy="5021705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5507" cy="513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65" w:rsidRPr="000A1A1D" w:rsidRDefault="00622165" w:rsidP="00622165">
      <w:pPr>
        <w:spacing w:after="0" w:line="240" w:lineRule="auto"/>
        <w:jc w:val="center"/>
        <w:rPr>
          <w:rFonts w:ascii="TimesNewRomanPSMT" w:hAnsi="TimesNewRomanPSMT"/>
          <w:b/>
          <w:i/>
          <w:color w:val="000000"/>
          <w:sz w:val="28"/>
          <w:szCs w:val="28"/>
          <w:lang w:val="uk-UA"/>
        </w:rPr>
      </w:pPr>
      <w:r w:rsidRPr="000A1A1D">
        <w:rPr>
          <w:rFonts w:ascii="TimesNewRomanPSMT" w:hAnsi="TimesNewRomanPSMT"/>
          <w:b/>
          <w:i/>
          <w:color w:val="000000"/>
          <w:sz w:val="28"/>
          <w:szCs w:val="28"/>
          <w:lang w:val="uk-UA"/>
        </w:rPr>
        <w:t>Рис.</w:t>
      </w:r>
      <w:r>
        <w:rPr>
          <w:rFonts w:ascii="TimesNewRomanPSMT" w:hAnsi="TimesNewRomanPSMT"/>
          <w:b/>
          <w:i/>
          <w:color w:val="000000"/>
          <w:sz w:val="28"/>
          <w:szCs w:val="28"/>
          <w:lang w:val="uk-UA"/>
        </w:rPr>
        <w:t>2.</w:t>
      </w:r>
      <w:r w:rsidRPr="000A1A1D">
        <w:rPr>
          <w:rFonts w:ascii="TimesNewRomanPSMT" w:hAnsi="TimesNewRomanPSMT"/>
          <w:b/>
          <w:i/>
          <w:color w:val="000000"/>
          <w:sz w:val="28"/>
          <w:szCs w:val="28"/>
          <w:lang w:val="uk-UA"/>
        </w:rPr>
        <w:t>2. Форми інтрузивних тіл:</w:t>
      </w:r>
    </w:p>
    <w:p w:rsidR="00622165" w:rsidRDefault="00622165" w:rsidP="00622165">
      <w:pPr>
        <w:spacing w:after="0" w:line="240" w:lineRule="auto"/>
        <w:jc w:val="both"/>
        <w:rPr>
          <w:rFonts w:ascii="TimesNewRomanPSMT" w:hAnsi="TimesNewRomanPSMT"/>
          <w:i/>
          <w:color w:val="000000"/>
          <w:sz w:val="28"/>
          <w:szCs w:val="28"/>
          <w:lang w:val="uk-UA"/>
        </w:rPr>
      </w:pP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1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>дайки</w:t>
      </w:r>
      <w:proofErr w:type="spellEnd"/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, 2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штоки, 3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батоліт, 4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>гарполіт</w:t>
      </w:r>
      <w:proofErr w:type="spellEnd"/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, 5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багатоярусні сіли, </w:t>
      </w:r>
    </w:p>
    <w:p w:rsidR="00622165" w:rsidRPr="000A1A1D" w:rsidRDefault="00622165" w:rsidP="00622165">
      <w:pPr>
        <w:spacing w:after="0" w:line="240" w:lineRule="auto"/>
        <w:jc w:val="both"/>
        <w:rPr>
          <w:rFonts w:ascii="TimesNewRomanPSMT" w:hAnsi="TimesNewRomanPSMT"/>
          <w:i/>
          <w:color w:val="000000"/>
          <w:sz w:val="28"/>
          <w:szCs w:val="28"/>
          <w:lang w:val="uk-UA"/>
        </w:rPr>
      </w:pP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6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лополіт, 7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лаколіт, 8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магматичний </w:t>
      </w:r>
      <w:proofErr w:type="spellStart"/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>діапір</w:t>
      </w:r>
      <w:proofErr w:type="spellEnd"/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, 9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факоліт, 10 </w:t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NewRomanPSMT" w:hAnsi="TimesNewRomanPSMT"/>
          <w:i/>
          <w:color w:val="000000"/>
          <w:sz w:val="28"/>
          <w:szCs w:val="28"/>
          <w:lang w:val="uk-UA"/>
        </w:rPr>
        <w:t xml:space="preserve"> бісмаліт</w:t>
      </w:r>
    </w:p>
    <w:p w:rsidR="00622165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Лополіт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чашоподібний згідний інтрузив, який залягає в синкліналях і мульдах. Розміри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лополітов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діаметрі можуть сягати десятків кілометрів, а потужність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багатьох сотень метрів. Як правило, лополіти розвинені в платформних структурах, складені породами основного складу і формуються в умовах тектонічного розтягу і опускання. Крупніші диференційовані лополіти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Бушвельдський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Південній Африці і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Седбері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Канаді.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lastRenderedPageBreak/>
        <w:t xml:space="preserve">Лаколіти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являють собою грибоподібні тіла, що свідчить про сильний гідростатичний тиск магми, який перевищує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літостатичний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момент її укорінення. Зазвичай лаколіти відносяться до інтрузивів малої глибини. Багато інтрузивних масивів, що описуються як лаколіти, наприклад, в районі Мінеральних Вод на Північному Кавказі, або на Південному березі Криму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Аюдаг,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Кастель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володіють згідними контактами лише у верхній, антиклінальній частині. Їх більш глибокі контактові зони уже рвучі і в цілому форма тіла нагадує редьку хвостом вниз, тобто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магматичний </w:t>
      </w:r>
      <w:proofErr w:type="spellStart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діапір</w:t>
      </w:r>
      <w:proofErr w:type="spellEnd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,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не лаколіт.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Існують й інші менш розповсюджені форми інтрузивних тіл.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Факоліт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лінзоподібні тіла, які розташовані в склепіннях антиклінальних складок, згідно з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вмісними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породами.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Гарполіт</w:t>
      </w:r>
      <w:proofErr w:type="spellEnd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серпоподібний інтрузив, по суті, різновид факоліту.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Хоноліт</w:t>
      </w:r>
      <w:proofErr w:type="spellEnd"/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інтрузив неправильної форми, який утворився в найбільш ослабленій зоні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вмісних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порід, ніби заповнює «пустоти» в товщі.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Бісмаліт </w:t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sym w:font="Symbol" w:char="F02D"/>
      </w:r>
      <w:r w:rsidRPr="000A1A1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грибоподібний інтрузив, подібний до лаколіту, але ускладнений циліндричним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горстоподібним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підняттям, ніби штампом в центральній частині. </w:t>
      </w:r>
    </w:p>
    <w:p w:rsidR="00622165" w:rsidRPr="000A1A1D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Всі ці інтрузиви, як правило,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малоглибинні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розвинені в складчастих областях.</w:t>
      </w:r>
    </w:p>
    <w:p w:rsidR="00622165" w:rsidRDefault="00622165" w:rsidP="006221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Проблема прост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ору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інтрузивному </w:t>
      </w:r>
      <w:proofErr w:type="spellStart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магматизм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говорюється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десятил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іть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лив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непрост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 справа стосується величезних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гранітних батолітів.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інших випадках це питання вирішується простіше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 мова іде про укорінення магматичного розплаву в більш високі горизонти земної кори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то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йо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суванні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вверх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відіграють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роль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сил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по-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суті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одними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важ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ливіши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тектон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обстановки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вмісн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Природно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магма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рухається туди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менший тиск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тобто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тектонічно послаблені 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иникають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утворенні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в,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склепіннях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антиклінальних складок,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замикаючому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флексур, в кра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йо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зонах проги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в, синекліз, впадин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 д.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Саме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таких структурах,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з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находя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ся в обстанов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тектон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озтягу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формуют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ся інтрузиви. Характерн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цьому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відношенні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потужніст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ю в сотн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 метрі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 укорінюються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шаруваті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пород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сувають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пласти, практич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деформ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уючи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Утворення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багатоповерхових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пластових інтрузивів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можливе лише у випадку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загального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озтягу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шаруватої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A1A1D">
        <w:rPr>
          <w:rFonts w:ascii="Times New Roman" w:hAnsi="Times New Roman" w:cs="Times New Roman"/>
          <w:color w:val="000000"/>
          <w:sz w:val="28"/>
          <w:szCs w:val="28"/>
          <w:lang w:val="uk-UA"/>
        </w:rPr>
        <w:t>д.</w:t>
      </w:r>
    </w:p>
    <w:p w:rsidR="00622165" w:rsidRPr="009276D6" w:rsidRDefault="00622165" w:rsidP="00622165">
      <w:pPr>
        <w:spacing w:after="0" w:line="240" w:lineRule="auto"/>
        <w:ind w:firstLine="567"/>
        <w:jc w:val="both"/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</w:pP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Важ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ливу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роль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відіграє 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г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дростатич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ний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тиск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магм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її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нап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р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озклинювальна дія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к, напри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клад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випадку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да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йо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 П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д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дією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напор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магм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прип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мают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ь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ся</w:t>
      </w:r>
      <w:proofErr w:type="spellEnd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деформуються пласти г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ськи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х пор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д. Сильне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зминання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пласт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існ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их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то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щ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добре спостерігається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в </w:t>
      </w:r>
      <w:proofErr w:type="spellStart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кзоконтактов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х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зонах інтрузивних 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л. Таким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чином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, активн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або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«силов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»,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дія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магм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на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існі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пород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безсумнівна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622165" w:rsidRDefault="00622165" w:rsidP="00622165">
      <w:pPr>
        <w:spacing w:after="0" w:line="240" w:lineRule="auto"/>
        <w:ind w:firstLine="567"/>
        <w:jc w:val="both"/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</w:pP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Су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ттєвими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є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процеси асиміляції, ко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агресивна магма «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засвоює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»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част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ину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ід 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 рам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інтрузиву, сама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при цьому змінюється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утворенням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гібридних пор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д.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Але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вс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ці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яв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ища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для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пояснення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проблем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прост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великих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батолітів,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які 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адені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«нормальними»,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переважно </w:t>
      </w:r>
      <w:proofErr w:type="spellStart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біотитовими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гран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тами,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мають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бмежен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е значен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 Г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вну роль в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цьому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випадку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відіграють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процеси магматич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ого зам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щен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я,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існі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пород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перетворюються під дією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поток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трансмагматич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их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озчині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в. При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дії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останніх здійснюється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винос х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ч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их компонентів,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надлишкових відносно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втектик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засвоєння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компонентів,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які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близ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ькі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втектич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ного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клад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 гранітної магми. При таком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процес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існі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пород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перер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б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люються 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на 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ці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щ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о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вирішує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проблему прост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батолітів. Граніт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які залягають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на 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ці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генерації магми, називаються автохтонними, а граніт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пов’язані з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перем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щен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 магм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sym w:font="Symbol" w:char="F02D"/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ал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охтонн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ми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 С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клад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автохтонних гран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ів залежить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від складу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існ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их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д. Форм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ування </w:t>
      </w:r>
      <w:proofErr w:type="spellStart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алохтонни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х</w:t>
      </w:r>
      <w:proofErr w:type="spellEnd"/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гран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відбувається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в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декілька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тап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sym w:font="Symbol" w:char="F02D"/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фаз укорінення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. При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цьому ранні укорінення 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характеризуються б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ьш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основним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складом</w:t>
      </w:r>
      <w:r w:rsidRPr="009276D6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622165" w:rsidRPr="009276D6" w:rsidRDefault="00622165" w:rsidP="00622165">
      <w:pPr>
        <w:spacing w:after="0" w:line="240" w:lineRule="auto"/>
        <w:ind w:firstLine="567"/>
        <w:jc w:val="both"/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</w:pP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Внутр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ішня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будова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інтрузивів в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явля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є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ь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ся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за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форм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ою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ї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х контакт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по 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ієнтованих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перви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нних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текстура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х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які виникають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в магматич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но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ще то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, ко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ли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оно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находилось в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рідкому стані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пов’язаному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ор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ієнтуванням 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мінералів, струй магми р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ізного складу і в’язкості, направленої кристалізації. Як правило, вони паралельні до </w:t>
      </w:r>
      <w:proofErr w:type="spellStart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екзоконтактів</w:t>
      </w:r>
      <w:proofErr w:type="spellEnd"/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 При вистиганні магматичних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інтрузивних 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л в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иникають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тріщин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які розташовуються досить 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закономірно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відносно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до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перви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нних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текстур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потоку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Вивчаючи ці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тріщин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да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є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т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ь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ся в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ідновити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перви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нну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структуру інтрузиву,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навіть якщо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не видно 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йо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го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160325"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контактових зон</w:t>
      </w:r>
      <w:r>
        <w:rPr>
          <w:rStyle w:val="fontstyle51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812A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До </w:t>
      </w:r>
      <w:proofErr w:type="spellStart"/>
      <w:r w:rsidRPr="00C812A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субвулканічних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(зв’язкових) інтрузивних тіл належать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приповерхневі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магматичні форми, які мають явний зв'язок з поверхневими вулканічними апаратами.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2737F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Неки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вулканічні жерловини – трубоподібні і розширені у верхній частині канали, які заповнені суцільною лавою або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пірокластичною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породою. В нижній частині часто переходять 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дайки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Діаметри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неків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зазвичай не перевищують сотні метрів.</w:t>
      </w:r>
    </w:p>
    <w:p w:rsidR="00622165" w:rsidRPr="000F68AC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2737F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Діатреми</w:t>
      </w:r>
      <w:proofErr w:type="spellEnd"/>
      <w:r w:rsidRPr="00B2737F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 xml:space="preserve"> (трубки вибуху)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sym w:font="Symbol" w:char="F02D"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гігантські циліндричні, іноді зверху розширені воронкоподібні канали. Характерні для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ультраосновних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порід. Як правило, складені пірокластичними,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уламково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-магматичними породами. Діаметри їх бувають різними – від сотень метрів до десятків кілометрів. Трубки вибуху часто містять алмази та інші мінерали, які утворені при високому тиску: гранати,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стишовіт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коесіт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Велика кількість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діатрем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зустрічається серед трапових плато в Якутії, Африці, Індії.</w:t>
      </w:r>
    </w:p>
    <w:p w:rsidR="00622165" w:rsidRPr="000539B1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Якщо рідкий магматичний розплав досягає земної поверхні, то відбувається його </w:t>
      </w:r>
      <w:r w:rsidRPr="00C812A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виверження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характер якого визначається складом розплаву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йо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 температуро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тиском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концентрац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ією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чих компонент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 іншими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параметрами. Одн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ією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 найважливіших 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причин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вивержень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магм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є її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дегазація.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Саме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газ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ув’язнені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озплаві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служат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тем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рушійним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фактором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який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викликає виверження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Залежно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 кількості газів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ї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складу 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температур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они мо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ж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лят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ися 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магм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відносно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спок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йно, то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ді відбувається виливання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665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ефузія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лавових поток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в. Ко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ли гази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відділяються швидко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відбувається миттєве закипання розплаву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магма 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є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ся 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оз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еними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газовими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бульбашками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що викликає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потужне вибухове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виверження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sym w:font="Symbol" w:char="F02D"/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665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експлозію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Якщо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магма в’язка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 її 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температура невисока, то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розплав повільно витискається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давл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юється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 поверхн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відбувається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кструз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 магми.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Таким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чином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спос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б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швидкість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відділення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чих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компонентів визначають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три 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форм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 вивержень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ефузивн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е,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ксплозивне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</w:t>
      </w:r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кструзивне</w:t>
      </w:r>
      <w:proofErr w:type="spellEnd"/>
      <w:r w:rsidRPr="000539B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Існує два основних типи вулканічних вивержень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тріщинний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 центральний.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тріщинними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типом виливання, зазвичай пов’язані </w:t>
      </w:r>
      <w:r w:rsidRPr="0046742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лавові покрови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які іноді розповсюджені на великих площах і мають витриману потужність (іноді сягає декілька сотень метрів). Покрови часто асоціюють з комплексами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сілів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(трапи Середньо-Сибірського плоскогір’я). Лавові потоки утворені породами переважно основного і середнього складу. Крупні покрови, які розповсюджені на великих площах, називаються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платопокровами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(найчастіше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платобазальти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 центральним типом виливів зазвичай пов’язують утворення порівняно вузьких </w:t>
      </w:r>
      <w:r w:rsidRPr="0046742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лавових потоків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що мають форму язиків, рукавів, які по мірі віддалення від осередку виливання зменшуються по товщині і виклинюються. Довжина язиків може коливатися від сотень метрів до 150 км.</w:t>
      </w:r>
    </w:p>
    <w:p w:rsidR="00622165" w:rsidRPr="00B2737F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 центральному типі наземного вулканізму лави накопичуються поблизу вулканічних апаратів. При цьому лави основного складу утворюють протяжні потоки, з витриманою потужністю і рівними хвилястими поверхнями. Лави кислого і середнього складу утворюють потоки з валунним накопиченням шматків застиглої кірки покрову. Вони мають невелику протяжність і змінну товщину. Це призводить до утворення навколо кратера вулкану високих вулканічних </w:t>
      </w:r>
      <w:r w:rsidRPr="0046742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конусів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 крутими схилами. Газові бульбашки, які виникають під кіркою потоків можуть утворювати камери і тунелі, що сягають в довжину кілометрів, а на поверхні – </w:t>
      </w:r>
      <w:r w:rsidRPr="0046742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куполи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 </w:t>
      </w:r>
      <w:r w:rsidRPr="0046742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вали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674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 виверженні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дуже в’язкої </w:t>
      </w:r>
      <w:r w:rsidRPr="004674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ислої лави утворюються, як зазначалося,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екструзивні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тіла – вулканічні </w:t>
      </w:r>
      <w:r w:rsidRPr="00C444AE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куполи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маси лави, які піднялися з жерла вулкану і вже нездатні до подальшого руху. Висота таких куполів сягає 1 км при поперечнику основи 2-2,5 км, мають круті схили і плоску основу. Наприклад, вулканічний купол в Північному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Вайомінгу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«Вежа Диявола»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sym w:font="Symbol" w:char="F02D"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гігантська стовпчаста окремість, яка утворилася при охолодженні масиву з довжиною окремих колон в середньому 2 м і товщиною 5 м.</w:t>
      </w:r>
    </w:p>
    <w:p w:rsidR="00622165" w:rsidRPr="0046742E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екструзивних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тіл також належать </w:t>
      </w:r>
      <w:bookmarkStart w:id="0" w:name="_GoBack"/>
      <w:r w:rsidRPr="006B09B8">
        <w:rPr>
          <w:rFonts w:ascii="Times New Roman" w:eastAsia="Calibri" w:hAnsi="Times New Roman" w:cs="Times New Roman"/>
          <w:i/>
          <w:color w:val="000000"/>
          <w:sz w:val="28"/>
          <w:szCs w:val="28"/>
          <w:lang w:val="uk-UA"/>
        </w:rPr>
        <w:t>голки</w:t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(лавові обеліски) – вулканічні утворення загостреної форми, які виникають внаслідок витискування із жерла вулкана в’язкої, зазвичай кислої лави.</w:t>
      </w:r>
    </w:p>
    <w:p w:rsidR="00622165" w:rsidRDefault="00622165" w:rsidP="006221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622165" w:rsidRDefault="00622165" w:rsidP="001B1AE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sectPr w:rsidR="0062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+1">
    <w:altName w:val="Times New Roman"/>
    <w:panose1 w:val="00000000000000000000"/>
    <w:charset w:val="00"/>
    <w:family w:val="roman"/>
    <w:notTrueType/>
    <w:pitch w:val="default"/>
  </w:font>
  <w:font w:name="TimesNewRomanPS-ItalicMT+1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MT+1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C02EB"/>
    <w:multiLevelType w:val="hybridMultilevel"/>
    <w:tmpl w:val="2D520DEA"/>
    <w:lvl w:ilvl="0" w:tplc="9F22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6F"/>
    <w:rsid w:val="0004536F"/>
    <w:rsid w:val="000539B1"/>
    <w:rsid w:val="000A1A1D"/>
    <w:rsid w:val="000B19B8"/>
    <w:rsid w:val="000F68AC"/>
    <w:rsid w:val="00160325"/>
    <w:rsid w:val="001B1AE5"/>
    <w:rsid w:val="00203579"/>
    <w:rsid w:val="0022674C"/>
    <w:rsid w:val="00232F80"/>
    <w:rsid w:val="0026665E"/>
    <w:rsid w:val="002A7165"/>
    <w:rsid w:val="002C48AA"/>
    <w:rsid w:val="003B23C8"/>
    <w:rsid w:val="00426231"/>
    <w:rsid w:val="0046742E"/>
    <w:rsid w:val="004C1767"/>
    <w:rsid w:val="005D6110"/>
    <w:rsid w:val="00622165"/>
    <w:rsid w:val="00642A28"/>
    <w:rsid w:val="00674FCB"/>
    <w:rsid w:val="006B09B8"/>
    <w:rsid w:val="007132B0"/>
    <w:rsid w:val="0074439E"/>
    <w:rsid w:val="007D13D9"/>
    <w:rsid w:val="008747D9"/>
    <w:rsid w:val="0092124F"/>
    <w:rsid w:val="009276D6"/>
    <w:rsid w:val="009A055D"/>
    <w:rsid w:val="009A686F"/>
    <w:rsid w:val="00AC04BA"/>
    <w:rsid w:val="00B2737F"/>
    <w:rsid w:val="00C251D4"/>
    <w:rsid w:val="00C444AE"/>
    <w:rsid w:val="00C812AE"/>
    <w:rsid w:val="00C86BEF"/>
    <w:rsid w:val="00CC5EBD"/>
    <w:rsid w:val="00CF700B"/>
    <w:rsid w:val="00D032C9"/>
    <w:rsid w:val="00DB4F96"/>
    <w:rsid w:val="00E009CF"/>
    <w:rsid w:val="00E41AED"/>
    <w:rsid w:val="00E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BAB4F-2D8B-4139-87D0-66C8C92C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A7165"/>
    <w:rPr>
      <w:rFonts w:ascii="TimesNewRomanPSMT+1" w:hAnsi="TimesNewRomanPSMT+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A7165"/>
    <w:rPr>
      <w:rFonts w:ascii="TimesNewRomanPS-ItalicMT+1" w:hAnsi="TimesNewRomanPS-ItalicMT+1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2A716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2A71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2A7165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2A7165"/>
    <w:rPr>
      <w:rFonts w:ascii="TimesNewRomanPS-BoldMT+1" w:hAnsi="TimesNewRomanPS-BoldMT+1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0B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2020-03-31T04:44:00Z</dcterms:created>
  <dcterms:modified xsi:type="dcterms:W3CDTF">2020-03-31T17:17:00Z</dcterms:modified>
</cp:coreProperties>
</file>