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1D" w:rsidRPr="007F04F1" w:rsidRDefault="00DB101D" w:rsidP="00CE4AF9">
      <w:pPr>
        <w:pStyle w:val="Heading1"/>
        <w:numPr>
          <w:ilvl w:val="0"/>
          <w:numId w:val="1"/>
        </w:numPr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F04F1">
        <w:rPr>
          <w:rFonts w:ascii="Times New Roman" w:hAnsi="Times New Roman" w:cs="Times New Roman"/>
          <w:bCs w:val="0"/>
          <w:sz w:val="28"/>
          <w:szCs w:val="28"/>
        </w:rPr>
        <w:t>Опис навчальної дисципліни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3180"/>
        <w:gridCol w:w="2065"/>
        <w:gridCol w:w="2126"/>
      </w:tblGrid>
      <w:tr w:rsidR="00DB101D" w:rsidRPr="00CE4AF9" w:rsidTr="00CE4AF9">
        <w:trPr>
          <w:trHeight w:val="803"/>
        </w:trPr>
        <w:tc>
          <w:tcPr>
            <w:tcW w:w="2552" w:type="dxa"/>
            <w:vMerge w:val="restart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180" w:type="dxa"/>
            <w:vMerge w:val="restart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DB101D" w:rsidRPr="00CE4AF9" w:rsidTr="00536924">
        <w:trPr>
          <w:trHeight w:val="549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126" w:type="dxa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DB101D" w:rsidRPr="00CE4AF9" w:rsidTr="00CE4AF9">
        <w:trPr>
          <w:trHeight w:val="409"/>
        </w:trPr>
        <w:tc>
          <w:tcPr>
            <w:tcW w:w="2552" w:type="dxa"/>
            <w:vMerge w:val="restart"/>
            <w:vAlign w:val="center"/>
          </w:tcPr>
          <w:p w:rsidR="00DB101D" w:rsidRPr="00316EC8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кредитів  – </w:t>
            </w: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3180" w:type="dxa"/>
          </w:tcPr>
          <w:p w:rsidR="00DB101D" w:rsidRPr="00536924" w:rsidRDefault="00DB101D" w:rsidP="00536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:rsidR="00DB101D" w:rsidRPr="00CE4AF9" w:rsidRDefault="00DB101D" w:rsidP="00536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sz w:val="24"/>
                <w:szCs w:val="24"/>
                <w:lang w:val="uk-UA"/>
              </w:rPr>
              <w:t>0305 «Економіка і підприємництво»</w:t>
            </w:r>
          </w:p>
        </w:tc>
        <w:tc>
          <w:tcPr>
            <w:tcW w:w="4191" w:type="dxa"/>
            <w:gridSpan w:val="2"/>
            <w:vMerge w:val="restart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DB101D" w:rsidRPr="00CE4AF9" w:rsidTr="00CE4AF9">
        <w:trPr>
          <w:trHeight w:val="409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Align w:val="center"/>
          </w:tcPr>
          <w:p w:rsidR="00DB101D" w:rsidRPr="00536924" w:rsidRDefault="00DB101D" w:rsidP="00536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Напрям підготовки </w:t>
            </w:r>
          </w:p>
          <w:p w:rsidR="00DB101D" w:rsidRPr="00CE4AF9" w:rsidRDefault="00DB101D" w:rsidP="00536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sz w:val="24"/>
                <w:szCs w:val="24"/>
                <w:lang w:val="uk-UA"/>
              </w:rPr>
              <w:t>6.030505 «Управління персоналом і економіка праці»</w:t>
            </w:r>
          </w:p>
        </w:tc>
        <w:tc>
          <w:tcPr>
            <w:tcW w:w="4191" w:type="dxa"/>
            <w:gridSpan w:val="2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01D" w:rsidRPr="00CE4AF9" w:rsidTr="00CE4AF9">
        <w:trPr>
          <w:trHeight w:val="170"/>
        </w:trPr>
        <w:tc>
          <w:tcPr>
            <w:tcW w:w="2552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Модулів – </w:t>
            </w:r>
          </w:p>
        </w:tc>
        <w:tc>
          <w:tcPr>
            <w:tcW w:w="3180" w:type="dxa"/>
            <w:vMerge w:val="restart"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(професійне</w:t>
            </w:r>
          </w:p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спрямування):</w:t>
            </w:r>
          </w:p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_______________</w:t>
            </w:r>
          </w:p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DB101D" w:rsidRPr="00CE4AF9" w:rsidTr="00536924">
        <w:trPr>
          <w:trHeight w:val="207"/>
        </w:trPr>
        <w:tc>
          <w:tcPr>
            <w:tcW w:w="2552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Змістових модулів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2126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DB101D" w:rsidRPr="00CE4AF9" w:rsidTr="00CE4AF9">
        <w:trPr>
          <w:trHeight w:val="232"/>
        </w:trPr>
        <w:tc>
          <w:tcPr>
            <w:tcW w:w="2552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Індивідуальне науково-дослідне завдання ___________</w:t>
            </w:r>
          </w:p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(назва)</w:t>
            </w: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DB101D" w:rsidRPr="00CE4AF9" w:rsidTr="00536924">
        <w:trPr>
          <w:trHeight w:val="323"/>
        </w:trPr>
        <w:tc>
          <w:tcPr>
            <w:tcW w:w="2552" w:type="dxa"/>
            <w:vMerge w:val="restart"/>
            <w:vAlign w:val="center"/>
          </w:tcPr>
          <w:p w:rsidR="00DB101D" w:rsidRPr="003155B4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2126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DB101D" w:rsidRPr="00CE4AF9" w:rsidTr="00CE4AF9">
        <w:trPr>
          <w:trHeight w:val="322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DB101D" w:rsidRPr="00CE4AF9" w:rsidTr="00536924">
        <w:trPr>
          <w:trHeight w:val="320"/>
        </w:trPr>
        <w:tc>
          <w:tcPr>
            <w:tcW w:w="2552" w:type="dxa"/>
            <w:vMerge w:val="restart"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Тижневих годин для денної форми навчання:</w:t>
            </w:r>
          </w:p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</w:p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- </w:t>
            </w:r>
          </w:p>
        </w:tc>
        <w:tc>
          <w:tcPr>
            <w:tcW w:w="3180" w:type="dxa"/>
            <w:vMerge w:val="restart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Освітньо-кваліфікаційний рівень: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бакалавр</w:t>
            </w:r>
          </w:p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126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DB101D" w:rsidRPr="00CE4AF9" w:rsidTr="00CE4AF9">
        <w:trPr>
          <w:trHeight w:val="320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Практичні, семінарські</w:t>
            </w:r>
          </w:p>
        </w:tc>
      </w:tr>
      <w:tr w:rsidR="00DB101D" w:rsidRPr="00CE4AF9" w:rsidTr="00536924">
        <w:trPr>
          <w:trHeight w:val="320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126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DB101D" w:rsidRPr="00CE4AF9" w:rsidTr="00CE4AF9">
        <w:trPr>
          <w:trHeight w:val="138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</w:tr>
      <w:tr w:rsidR="00DB101D" w:rsidRPr="00CE4AF9" w:rsidTr="00536924">
        <w:trPr>
          <w:trHeight w:val="138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B101D" w:rsidRPr="00CE4AF9" w:rsidTr="00CE4AF9">
        <w:trPr>
          <w:trHeight w:val="138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B101D" w:rsidRPr="00CE4AF9" w:rsidTr="00536924">
        <w:trPr>
          <w:trHeight w:val="138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126" w:type="dxa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DB101D" w:rsidRPr="00CE4AF9" w:rsidTr="00CE4AF9">
        <w:trPr>
          <w:trHeight w:val="138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Індивідуальні завдання: </w:t>
            </w: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</w:tr>
      <w:tr w:rsidR="00DB101D" w:rsidRPr="00CE4AF9" w:rsidTr="00CE4AF9">
        <w:trPr>
          <w:trHeight w:val="138"/>
        </w:trPr>
        <w:tc>
          <w:tcPr>
            <w:tcW w:w="2552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DB101D" w:rsidRPr="00CE4AF9" w:rsidRDefault="00DB101D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контролю: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залік</w:t>
            </w:r>
          </w:p>
        </w:tc>
      </w:tr>
    </w:tbl>
    <w:p w:rsidR="00DB101D" w:rsidRPr="0063713A" w:rsidRDefault="00DB101D" w:rsidP="005369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bCs/>
          <w:sz w:val="28"/>
          <w:szCs w:val="28"/>
          <w:lang w:val="uk-UA"/>
        </w:rPr>
        <w:t>Примітка</w:t>
      </w:r>
      <w:r w:rsidRPr="0063713A">
        <w:rPr>
          <w:rFonts w:ascii="Times New Roman" w:hAnsi="Times New Roman"/>
          <w:sz w:val="28"/>
          <w:szCs w:val="28"/>
          <w:lang w:val="uk-UA"/>
        </w:rPr>
        <w:t>.</w:t>
      </w:r>
    </w:p>
    <w:p w:rsidR="00DB101D" w:rsidRPr="0063713A" w:rsidRDefault="00DB101D" w:rsidP="005369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DB101D" w:rsidRPr="0063713A" w:rsidRDefault="00DB101D" w:rsidP="005369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для денної форми навчання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1:1,2;</w:t>
      </w:r>
    </w:p>
    <w:p w:rsidR="00DB101D" w:rsidRPr="0063713A" w:rsidRDefault="00DB101D" w:rsidP="005369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для заочної форми навчання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1:8.</w:t>
      </w:r>
    </w:p>
    <w:p w:rsidR="00DB101D" w:rsidRPr="0063713A" w:rsidRDefault="00DB101D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63713A" w:rsidRDefault="00DB101D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63713A" w:rsidRDefault="00DB101D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63713A" w:rsidRDefault="00DB101D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63713A" w:rsidRDefault="00DB101D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63713A" w:rsidRDefault="00DB101D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63713A" w:rsidRDefault="00DB101D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4E7E90">
        <w:rPr>
          <w:rFonts w:ascii="Times New Roman" w:hAnsi="Times New Roman"/>
          <w:sz w:val="28"/>
          <w:szCs w:val="28"/>
          <w:lang w:val="uk-UA"/>
        </w:rPr>
        <w:t>нноваційний розвиток системи освіти й науки є найважливішим в системі стратегічних напрямів соціально-економічного розвитку України, оскільки рівень розвитку освітньої сфери визначає рівень соціально-економічного розвитку країни. Рівень культури реалізації системи суспільних відносин визначається ступенем освіченості людини і є міцним чинником  подальшого розвитку суспільства.</w:t>
      </w:r>
      <w:r w:rsidRPr="004E7E90">
        <w:rPr>
          <w:rFonts w:ascii="Times New Roman" w:hAnsi="Times New Roman"/>
          <w:sz w:val="28"/>
          <w:szCs w:val="28"/>
        </w:rPr>
        <w:t xml:space="preserve"> 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Сучасному фахівцю з управління персоналом і економіки праці потрібне вміння керувати й управляти трудовим потенціалом підприємства по-новому, використовуючи ринкові й державні методи його регулювання. При цьому нові знання й уміння сучасних студентів повинні бути підкріплені серйозним фундаментом минулого досвіду попередніх поколінь  фахівців з даної галузі.Соціально-економічний розвиток держави  значною мірою буде залежати від інтелектуального потенціалу, рівня професійної освіти його громадян.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 xml:space="preserve">Розуміння цього потребує нових сучасних підходів до навчальної та  виховної роботи серед студентів, розповсюдження знань щодо формування й становлення системи освіти як такої та системи університетської освіти зокрема. Такому сприяє курс «Вища освіта України і Болонський процес», який є  складовою підготовки магістрів . </w:t>
      </w:r>
    </w:p>
    <w:p w:rsidR="00DB101D" w:rsidRPr="00277FC9" w:rsidRDefault="00DB101D" w:rsidP="00316EC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7FC9">
        <w:rPr>
          <w:rFonts w:ascii="Times New Roman" w:hAnsi="Times New Roman"/>
          <w:b/>
          <w:sz w:val="28"/>
          <w:szCs w:val="28"/>
          <w:lang w:val="uk-UA"/>
        </w:rPr>
        <w:t>2.Мета та завдання курсу: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- ознайомлення студентів з системою вищої освіти в світі та в Україні;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- висвітлення необхідності адаптації системи вищої освіти України до європейського освітнього простору;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- вивчення історії формування та хронології болонського процесу;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- ознайомлення з національною концепцією розвитку вищої (зокрема економічної) освіти у світлі Болонського процесу;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- ознайомлення із європейськими стандартами  вищої освіти;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- ознайомлення з національними програмами реформування вищої освіти в Україні в аспекті Болонської угоди;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 xml:space="preserve">- ознайомлення з принципами організації навчального процесу в умовах Болонської системи;      </w:t>
      </w:r>
    </w:p>
    <w:p w:rsidR="00DB101D" w:rsidRPr="004E7E90" w:rsidRDefault="00DB101D" w:rsidP="00316EC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- ознайомлення з принципами організації ознайомлення з принципами організації системи й структурою студентського самоврядування</w:t>
      </w:r>
    </w:p>
    <w:p w:rsidR="00DB101D" w:rsidRPr="00277FC9" w:rsidRDefault="00DB101D" w:rsidP="00277FC9">
      <w:pPr>
        <w:pStyle w:val="ListParagraph"/>
        <w:tabs>
          <w:tab w:val="left" w:pos="3900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:rsidR="00DB101D" w:rsidRPr="00277FC9" w:rsidRDefault="00DB101D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7FC9">
        <w:rPr>
          <w:rFonts w:ascii="Times New Roman" w:hAnsi="Times New Roman"/>
          <w:b/>
          <w:sz w:val="28"/>
          <w:szCs w:val="28"/>
          <w:lang w:val="uk-UA"/>
        </w:rPr>
        <w:t xml:space="preserve">У результаті вивчення навчальної дисципліни студент повинен знати: </w:t>
      </w:r>
    </w:p>
    <w:p w:rsidR="00DB101D" w:rsidRPr="004E7E90" w:rsidRDefault="00DB101D" w:rsidP="0063713A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основні положення нормативних актів у сфері вищої освіти;</w:t>
      </w:r>
    </w:p>
    <w:p w:rsidR="00DB101D" w:rsidRPr="004E7E90" w:rsidRDefault="00DB101D" w:rsidP="0063713A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 xml:space="preserve">особливості системи вищої освіти в Україні в контексті вимог Болонського процесу ; </w:t>
      </w:r>
    </w:p>
    <w:p w:rsidR="00DB101D" w:rsidRPr="004E7E90" w:rsidRDefault="00DB101D" w:rsidP="0063713A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зміст основних положень нормативних актів України, які визначають процес та особливості організації системи вищої освіти в контексті вимог Болонського процесу;</w:t>
      </w:r>
    </w:p>
    <w:p w:rsidR="00DB101D" w:rsidRPr="004E7E90" w:rsidRDefault="00DB101D" w:rsidP="0063713A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 xml:space="preserve">зміст основних положень локальних нормативних актів ЖДТУ, які визначають процес та особливості навчання в ЖДТУ в контексті вимог Болонського процесу; </w:t>
      </w:r>
    </w:p>
    <w:p w:rsidR="00DB101D" w:rsidRPr="004E7E90" w:rsidRDefault="00DB101D" w:rsidP="0063713A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 xml:space="preserve"> основні етапи формування та розвитку Болонського процесу в Європі та Україні;</w:t>
      </w:r>
    </w:p>
    <w:p w:rsidR="00DB101D" w:rsidRPr="004E7E90" w:rsidRDefault="00DB101D" w:rsidP="0063713A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 xml:space="preserve"> сутність реформування вищої освіти в Україні в контексті вимог Болонської угоди;</w:t>
      </w:r>
    </w:p>
    <w:p w:rsidR="00DB101D" w:rsidRPr="004E7E90" w:rsidRDefault="00DB101D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b/>
          <w:i/>
          <w:sz w:val="28"/>
          <w:szCs w:val="28"/>
          <w:lang w:val="uk-UA"/>
        </w:rPr>
        <w:t>У результаті вивчення навчальної дисципліни студент повинен вміти</w:t>
      </w:r>
      <w:r w:rsidRPr="004E7E90">
        <w:rPr>
          <w:rFonts w:ascii="Times New Roman" w:hAnsi="Times New Roman"/>
          <w:sz w:val="28"/>
          <w:szCs w:val="28"/>
          <w:lang w:val="uk-UA"/>
        </w:rPr>
        <w:t xml:space="preserve"> орієнтуватися в системі нормативних актів у сфері вищої освіти та застосовувати їх у навчальній діяльності. </w:t>
      </w:r>
    </w:p>
    <w:p w:rsidR="00DB101D" w:rsidRPr="004E7E90" w:rsidRDefault="00DB101D" w:rsidP="004E7E90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E7E90">
        <w:rPr>
          <w:rFonts w:ascii="Times New Roman" w:hAnsi="Times New Roman"/>
          <w:b/>
          <w:i/>
          <w:sz w:val="28"/>
          <w:szCs w:val="28"/>
          <w:lang w:val="uk-UA"/>
        </w:rPr>
        <w:t xml:space="preserve">3. </w:t>
      </w:r>
      <w:r w:rsidRPr="004E7E90">
        <w:rPr>
          <w:rFonts w:ascii="Times New Roman" w:hAnsi="Times New Roman"/>
          <w:b/>
          <w:i/>
          <w:sz w:val="28"/>
          <w:szCs w:val="28"/>
        </w:rPr>
        <w:t>МЕТОДИКА ВИКЛАДАННЯ, ФОРМИ ТА МЕТОДИ НАВЧАННЯ.</w:t>
      </w:r>
    </w:p>
    <w:p w:rsidR="00DB101D" w:rsidRPr="004E7E90" w:rsidRDefault="00DB101D" w:rsidP="004E7E9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</w:rPr>
        <w:t>У процесі викладання курсу використовуються наступні форми навчання: лекційні (інформативні, проблемні), семінарські заняття, дискусії; методи навчання: метод опитування, «мозкові атаки», рольові ігри, вирішення задач, складання економічних кросвордів тощо.</w:t>
      </w:r>
    </w:p>
    <w:p w:rsidR="00DB101D" w:rsidRDefault="00DB101D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4E7E90" w:rsidRDefault="00DB101D" w:rsidP="004E7E90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4E7E90">
        <w:rPr>
          <w:rFonts w:ascii="Times New Roman" w:hAnsi="Times New Roman"/>
          <w:b/>
          <w:i/>
          <w:sz w:val="28"/>
          <w:szCs w:val="28"/>
          <w:lang w:val="uk-UA"/>
        </w:rPr>
        <w:t xml:space="preserve">4.НАВЧАЛЬНА ПРОГРАМА КУРСУ «Вища освіта України і Болонський процес» </w:t>
      </w:r>
      <w:r w:rsidRPr="004E7E90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ab/>
      </w:r>
    </w:p>
    <w:p w:rsidR="00DB101D" w:rsidRPr="004E7E90" w:rsidRDefault="00DB101D" w:rsidP="004E7E90">
      <w:pPr>
        <w:pStyle w:val="Heading2"/>
        <w:spacing w:before="180" w:after="180"/>
        <w:ind w:left="360" w:right="180"/>
        <w:jc w:val="both"/>
        <w:rPr>
          <w:lang w:val="uk-UA"/>
        </w:rPr>
      </w:pPr>
      <w:r w:rsidRPr="004E7E90">
        <w:rPr>
          <w:rFonts w:ascii="Times New Roman" w:hAnsi="Times New Roman"/>
          <w:bCs w:val="0"/>
          <w:i w:val="0"/>
          <w:iCs w:val="0"/>
          <w:lang w:val="uk-UA" w:eastAsia="uk-UA"/>
        </w:rPr>
        <w:t>Змістовний модуль №1.</w:t>
      </w:r>
    </w:p>
    <w:p w:rsidR="00DB101D" w:rsidRPr="004E7E90" w:rsidRDefault="00DB101D" w:rsidP="004E7E90">
      <w:pPr>
        <w:pStyle w:val="Heading2"/>
        <w:spacing w:before="180" w:after="180"/>
        <w:ind w:right="18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4E7E90">
        <w:rPr>
          <w:rFonts w:ascii="Times New Roman" w:hAnsi="Times New Roman" w:cs="Times New Roman"/>
          <w:i w:val="0"/>
          <w:lang w:val="uk-UA"/>
        </w:rPr>
        <w:t>Тема 1.</w:t>
      </w:r>
      <w:r w:rsidRPr="004E7E9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4E7E90">
        <w:rPr>
          <w:rFonts w:ascii="Times New Roman" w:hAnsi="Times New Roman" w:cs="Times New Roman"/>
          <w:bCs w:val="0"/>
          <w:i w:val="0"/>
          <w:iCs w:val="0"/>
          <w:lang w:val="uk-UA" w:eastAsia="uk-UA"/>
        </w:rPr>
        <w:t xml:space="preserve">Національна доктрина розвитку освіти в Україні в ХХІ столітті:  її зміст і стратегія реалізації. </w:t>
      </w:r>
      <w:r w:rsidRPr="004E7E90">
        <w:rPr>
          <w:rFonts w:ascii="Times New Roman" w:hAnsi="Times New Roman" w:cs="Times New Roman"/>
          <w:b w:val="0"/>
          <w:i w:val="0"/>
          <w:lang w:val="uk-UA" w:eastAsia="uk-UA"/>
        </w:rPr>
        <w:t>Конституція України про освіту.</w:t>
      </w:r>
      <w:r w:rsidRPr="004E7E90">
        <w:rPr>
          <w:rFonts w:ascii="Times New Roman" w:hAnsi="Times New Roman" w:cs="Times New Roman"/>
          <w:b w:val="0"/>
          <w:i w:val="0"/>
          <w:lang w:val="uk-UA"/>
        </w:rPr>
        <w:t xml:space="preserve"> Правові </w:t>
      </w:r>
      <w:r w:rsidRPr="004E7E90">
        <w:rPr>
          <w:rFonts w:ascii="Times New Roman" w:hAnsi="Times New Roman" w:cs="Times New Roman"/>
          <w:b w:val="0"/>
          <w:i w:val="0"/>
          <w:lang w:val="uk-UA" w:eastAsia="uk-UA"/>
        </w:rPr>
        <w:t>механізми управління вищою освітою в Україні.</w:t>
      </w:r>
      <w:r w:rsidRPr="004E7E90">
        <w:rPr>
          <w:rFonts w:ascii="Times New Roman" w:hAnsi="Times New Roman" w:cs="Times New Roman"/>
          <w:b w:val="0"/>
          <w:i w:val="0"/>
          <w:lang w:val="uk-UA"/>
        </w:rPr>
        <w:t xml:space="preserve"> Закон України «Про вищу освіту»: загальна характеристика, структура,</w:t>
      </w:r>
      <w:r w:rsidRPr="004E7E90">
        <w:rPr>
          <w:rFonts w:ascii="Times New Roman" w:hAnsi="Times New Roman" w:cs="Times New Roman"/>
          <w:b w:val="0"/>
          <w:i w:val="0"/>
          <w:lang w:val="uk-UA" w:eastAsia="uk-UA"/>
        </w:rPr>
        <w:t xml:space="preserve"> зміст і механізми реалізації.   Концепція Державної програми розвитку вищої освіти в Україні на 2006-2010 роки; наказ МОНУ за № 49 від 23 січня 2004 року «Про затвердження Програми дій щодо реалізації в системі вищої освіти і науки України на 2010-2015 роки»: її зміст і оцінка реалізації. Комплексна цільова програма (ЦКП) розвитку єдиної освітньої інформаційної сфери 2010-2015 роки на прикладі України, Росії та США. Стратегія розвитку кращих університетів України: інструменти і механізми її реалізації.</w:t>
      </w:r>
      <w:r w:rsidRPr="004E7E90">
        <w:rPr>
          <w:rFonts w:ascii="Times New Roman" w:hAnsi="Times New Roman" w:cs="Times New Roman"/>
          <w:b w:val="0"/>
          <w:i w:val="0"/>
          <w:lang w:val="uk-UA"/>
        </w:rPr>
        <w:t xml:space="preserve"> Особливості системи вищої освіти за новітнім законодавством.</w:t>
      </w:r>
    </w:p>
    <w:p w:rsidR="00DB101D" w:rsidRPr="0071496A" w:rsidRDefault="00DB101D" w:rsidP="0071496A">
      <w:pPr>
        <w:ind w:right="2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1496A">
        <w:rPr>
          <w:rFonts w:ascii="Times New Roman" w:hAnsi="Times New Roman"/>
          <w:b/>
          <w:sz w:val="28"/>
          <w:szCs w:val="28"/>
          <w:lang w:val="uk-UA"/>
        </w:rPr>
        <w:t>Тема 2.Хронологія подій Болонського процесу та основні етапи щодо створення зони Європейської вищої освіти</w:t>
      </w:r>
      <w:r w:rsidRPr="0071496A">
        <w:rPr>
          <w:rFonts w:ascii="Times New Roman" w:hAnsi="Times New Roman"/>
          <w:sz w:val="28"/>
          <w:szCs w:val="28"/>
          <w:lang w:val="uk-UA"/>
        </w:rPr>
        <w:t>. Сорбонська декларація від 25 травня 1998 року (м. Париж). Болонська конвенція: спільна заява європейських Міністрів освіти 18-19 червня 1999 року м. Болон'я; конференція вищих навчальних закладів і освітніх організацій 29-30 березня 2001 року, м. Саламанка; комюніке зустрічі європейських Міністрів, відповідальних за вищу освіту, 19-20 вересня 2003 року, м. Берлін; 19 травня 2005 року – дата підписання згоди про перехід Донецького національного університету на кредитно-модульну систему в умовах Болонського процесу (Італія).Лісабонська конвенція.</w:t>
      </w:r>
      <w:r w:rsidRPr="0071496A">
        <w:rPr>
          <w:rFonts w:ascii="Times New Roman" w:hAnsi="Times New Roman"/>
          <w:sz w:val="28"/>
          <w:szCs w:val="28"/>
        </w:rPr>
        <w:t> </w:t>
      </w:r>
      <w:r w:rsidRPr="0071496A">
        <w:rPr>
          <w:rFonts w:ascii="Times New Roman" w:hAnsi="Times New Roman"/>
          <w:sz w:val="28"/>
          <w:szCs w:val="28"/>
          <w:lang w:val="uk-UA"/>
        </w:rPr>
        <w:t>Необхідність підвищення міжнародної конкурентоспроможності європейської системи вищої освіти як основне завдання системи вищої освіти в Європі.</w:t>
      </w:r>
      <w:r w:rsidRPr="0071496A">
        <w:rPr>
          <w:rFonts w:ascii="Times New Roman" w:hAnsi="Times New Roman"/>
          <w:b/>
          <w:sz w:val="28"/>
          <w:szCs w:val="28"/>
        </w:rPr>
        <w:t xml:space="preserve"> </w:t>
      </w:r>
    </w:p>
    <w:p w:rsidR="00DB101D" w:rsidRPr="0071496A" w:rsidRDefault="00DB101D" w:rsidP="0071496A">
      <w:pPr>
        <w:ind w:right="2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1496A">
        <w:rPr>
          <w:rFonts w:ascii="Times New Roman" w:hAnsi="Times New Roman"/>
          <w:b/>
          <w:sz w:val="28"/>
          <w:szCs w:val="28"/>
          <w:lang w:val="uk-UA"/>
        </w:rPr>
        <w:t>Тема 3. Болонський процес: сутність та зміст.</w:t>
      </w:r>
      <w:r w:rsidRPr="007149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496A">
        <w:rPr>
          <w:rStyle w:val="Strong"/>
          <w:rFonts w:ascii="Times New Roman" w:hAnsi="Times New Roman"/>
          <w:b w:val="0"/>
          <w:sz w:val="28"/>
          <w:szCs w:val="28"/>
        </w:rPr>
        <w:t>Болонський процес</w:t>
      </w:r>
      <w:r w:rsidRPr="0071496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71496A"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Pr="0071496A">
        <w:rPr>
          <w:rFonts w:ascii="Times New Roman" w:hAnsi="Times New Roman"/>
          <w:sz w:val="28"/>
          <w:szCs w:val="28"/>
        </w:rPr>
        <w:t xml:space="preserve">процес структурного реформування національних систем вищої освіти країн Європи, зміни освітніх програм і потрібних інституційних перетворень у вищих навчальних закладах Європи. 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Запровадження дво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циклового навчання.</w:t>
      </w:r>
      <w:r w:rsidRPr="0071496A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Запровадження кредитної системи.</w:t>
      </w:r>
      <w:r w:rsidRPr="0071496A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Контроль якості освіти.</w:t>
      </w:r>
      <w:r w:rsidRPr="0071496A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Розширення мобільності</w:t>
      </w:r>
      <w:r w:rsidRPr="0071496A">
        <w:rPr>
          <w:rFonts w:ascii="Times New Roman" w:hAnsi="Times New Roman"/>
          <w:color w:val="000000"/>
          <w:sz w:val="28"/>
          <w:szCs w:val="28"/>
        </w:rPr>
        <w:t xml:space="preserve"> студентів</w:t>
      </w:r>
      <w:r w:rsidRPr="0071496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Pr="0071496A">
        <w:rPr>
          <w:rFonts w:ascii="Times New Roman" w:hAnsi="Times New Roman"/>
          <w:color w:val="000000"/>
          <w:sz w:val="28"/>
          <w:szCs w:val="28"/>
        </w:rPr>
        <w:t xml:space="preserve"> викладацького та іншого персоналу для взаємного збагачення європейським досвідом.</w:t>
      </w:r>
      <w:r w:rsidRPr="0071496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Забезпечення працевлаштування випускників.</w:t>
      </w:r>
      <w:r w:rsidRPr="0071496A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Забезпечення привабливості європейської системи освіти.</w:t>
      </w:r>
      <w:r w:rsidRPr="0071496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1496A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оціальні аспекти</w:t>
      </w:r>
      <w:r w:rsidRPr="0071496A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71496A">
        <w:rPr>
          <w:rFonts w:ascii="Times New Roman" w:hAnsi="Times New Roman"/>
          <w:color w:val="000000"/>
          <w:sz w:val="28"/>
          <w:szCs w:val="28"/>
          <w:lang w:val="uk-UA"/>
        </w:rPr>
        <w:t xml:space="preserve">Болонського процесу. </w:t>
      </w:r>
      <w:r w:rsidRPr="0071496A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Забезпечення тісніших зв'язків між вищою освітою та дослідними системами</w:t>
      </w:r>
      <w:r w:rsidRPr="0071496A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71496A">
        <w:rPr>
          <w:rFonts w:ascii="Times New Roman" w:hAnsi="Times New Roman"/>
          <w:color w:val="000000"/>
          <w:sz w:val="28"/>
          <w:szCs w:val="28"/>
          <w:lang w:val="uk-UA"/>
        </w:rPr>
        <w:t xml:space="preserve">в кожній з країн-учасниць.Взаємовизнання дипломів. </w:t>
      </w:r>
      <w:r w:rsidRPr="0071496A">
        <w:rPr>
          <w:rFonts w:ascii="Times New Roman" w:hAnsi="Times New Roman"/>
          <w:color w:val="000000"/>
          <w:sz w:val="28"/>
          <w:szCs w:val="28"/>
        </w:rPr>
        <w:t>Diploma</w:t>
      </w:r>
      <w:r w:rsidRPr="0071496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496A">
        <w:rPr>
          <w:rFonts w:ascii="Times New Roman" w:hAnsi="Times New Roman"/>
          <w:color w:val="000000"/>
          <w:sz w:val="28"/>
          <w:szCs w:val="28"/>
        </w:rPr>
        <w:t>Supplement</w:t>
      </w:r>
      <w:r w:rsidRPr="0071496A">
        <w:rPr>
          <w:rFonts w:ascii="Times New Roman" w:hAnsi="Times New Roman"/>
          <w:color w:val="000000"/>
          <w:sz w:val="28"/>
          <w:szCs w:val="28"/>
          <w:lang w:val="uk-UA"/>
        </w:rPr>
        <w:t xml:space="preserve"> — європейський зразок Додатка до диплома.</w:t>
      </w:r>
      <w:r w:rsidRPr="007149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B101D" w:rsidRPr="006C058B" w:rsidRDefault="00DB101D" w:rsidP="006C058B">
      <w:pPr>
        <w:ind w:right="2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058B">
        <w:rPr>
          <w:rFonts w:ascii="Times New Roman" w:hAnsi="Times New Roman"/>
          <w:b/>
          <w:sz w:val="28"/>
          <w:szCs w:val="28"/>
          <w:lang w:val="uk-UA"/>
        </w:rPr>
        <w:t>Тема 4. Загальні принципи формування систем вищої освіти європейських країн.</w:t>
      </w:r>
      <w:r w:rsidRPr="006C058B">
        <w:rPr>
          <w:rFonts w:ascii="Times New Roman" w:hAnsi="Times New Roman"/>
          <w:sz w:val="28"/>
          <w:szCs w:val="28"/>
          <w:lang w:val="uk-UA"/>
        </w:rPr>
        <w:t xml:space="preserve"> Пріоритети збереження культурної різноманітності національних систем освіти.  Завдання поліпшення міжнародної співпраці, мобільності, працевлаштування студентів у європейському чи міжнародному ареалі, міжнародної конкурентоспроможності закладів вищої освіти.Тенденції у системі освіти європейськиї країн.Унітарна та бінарна системи вищої освіти.Вдосконалення та розширення «короткої і професіоналізованої» вищої освіти. </w:t>
      </w:r>
    </w:p>
    <w:p w:rsidR="00DB101D" w:rsidRPr="006C058B" w:rsidRDefault="00DB101D" w:rsidP="006C058B">
      <w:pPr>
        <w:ind w:right="2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C058B">
        <w:rPr>
          <w:rFonts w:ascii="Times New Roman" w:hAnsi="Times New Roman"/>
          <w:b/>
          <w:sz w:val="28"/>
          <w:szCs w:val="28"/>
          <w:lang w:val="uk-UA"/>
        </w:rPr>
        <w:t xml:space="preserve">Тема 5.Загальна характеристика Європейської кредитно-трансферної системи накопичення </w:t>
      </w:r>
      <w:r w:rsidRPr="006C058B">
        <w:rPr>
          <w:rFonts w:ascii="Times New Roman" w:hAnsi="Times New Roman"/>
          <w:b/>
          <w:sz w:val="28"/>
          <w:szCs w:val="28"/>
        </w:rPr>
        <w:t>ECTS</w:t>
      </w:r>
      <w:r w:rsidRPr="006C058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6C058B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Європейська система перезарахування кредитів (</w:t>
      </w:r>
      <w:r w:rsidRPr="006C058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ECTS</w:t>
      </w:r>
      <w:r w:rsidRPr="006C058B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)</w:t>
      </w:r>
      <w:r w:rsidRPr="006C058B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6C058B">
        <w:rPr>
          <w:rFonts w:ascii="Times New Roman" w:hAnsi="Times New Roman"/>
          <w:sz w:val="28"/>
          <w:szCs w:val="28"/>
          <w:lang w:val="uk-UA"/>
        </w:rPr>
        <w:t xml:space="preserve">як засіб покращення визнання освіти для навчання за кордоном.Ключові елементи </w:t>
      </w:r>
      <w:r w:rsidRPr="006C058B">
        <w:rPr>
          <w:rFonts w:ascii="Times New Roman" w:hAnsi="Times New Roman"/>
          <w:sz w:val="28"/>
          <w:szCs w:val="28"/>
        </w:rPr>
        <w:t>ECTS</w:t>
      </w:r>
      <w:r w:rsidRPr="006C058B">
        <w:rPr>
          <w:rFonts w:ascii="Times New Roman" w:hAnsi="Times New Roman"/>
          <w:sz w:val="28"/>
          <w:szCs w:val="28"/>
          <w:lang w:val="uk-UA"/>
        </w:rPr>
        <w:t>:</w:t>
      </w:r>
      <w:r w:rsidRPr="006C058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C058B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інформація,</w:t>
      </w:r>
      <w:r w:rsidRPr="006C058B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6C058B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взаємній угода</w:t>
      </w:r>
      <w:r w:rsidRPr="006C058B">
        <w:rPr>
          <w:rFonts w:ascii="Times New Roman" w:hAnsi="Times New Roman"/>
          <w:b/>
          <w:sz w:val="28"/>
          <w:szCs w:val="28"/>
          <w:lang w:val="uk-UA"/>
        </w:rPr>
        <w:t>,</w:t>
      </w:r>
      <w:r w:rsidRPr="006C058B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6C058B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використання кредитів </w:t>
      </w:r>
      <w:r w:rsidRPr="006C058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ECTS</w:t>
      </w:r>
      <w:r w:rsidRPr="006C058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lang w:val="uk-UA"/>
        </w:rPr>
        <w:t>,</w:t>
      </w:r>
      <w:r w:rsidRPr="006C058B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прозорість</w:t>
      </w:r>
      <w:r w:rsidRPr="006C058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C058B">
        <w:rPr>
          <w:rStyle w:val="apple-converted-space"/>
          <w:rFonts w:ascii="Times New Roman" w:hAnsi="Times New Roman"/>
          <w:bCs/>
          <w:color w:val="000000"/>
          <w:sz w:val="28"/>
          <w:szCs w:val="28"/>
          <w:lang w:val="uk-UA"/>
        </w:rPr>
        <w:t>та засоби її забезпечення.</w:t>
      </w:r>
      <w:r w:rsidRPr="006C058B">
        <w:rPr>
          <w:rFonts w:ascii="Times New Roman" w:hAnsi="Times New Roman"/>
          <w:sz w:val="28"/>
          <w:szCs w:val="28"/>
          <w:lang w:val="uk-UA"/>
        </w:rPr>
        <w:t xml:space="preserve">Добровільна участь, прозорість, гнучкість і клімат взаємної довіри та впевненості </w:t>
      </w:r>
      <w:r w:rsidRPr="006C058B">
        <w:rPr>
          <w:rFonts w:ascii="Times New Roman" w:hAnsi="Times New Roman"/>
          <w:sz w:val="28"/>
          <w:szCs w:val="28"/>
        </w:rPr>
        <w:t>ECTS</w:t>
      </w:r>
      <w:r w:rsidRPr="006C058B">
        <w:rPr>
          <w:rFonts w:ascii="Times New Roman" w:hAnsi="Times New Roman"/>
          <w:sz w:val="28"/>
          <w:szCs w:val="28"/>
          <w:lang w:val="uk-UA"/>
        </w:rPr>
        <w:t>.</w:t>
      </w:r>
      <w:r w:rsidRPr="006C05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B101D" w:rsidRPr="004E7E90" w:rsidRDefault="00DB101D" w:rsidP="004E7E90">
      <w:pPr>
        <w:pStyle w:val="Heading2"/>
        <w:shd w:val="clear" w:color="auto" w:fill="FFFFFF"/>
        <w:spacing w:before="180" w:after="180"/>
        <w:ind w:right="180"/>
        <w:jc w:val="both"/>
        <w:rPr>
          <w:rFonts w:ascii="Times New Roman" w:hAnsi="Times New Roman" w:cs="Times New Roman"/>
          <w:b w:val="0"/>
          <w:bCs w:val="0"/>
          <w:i w:val="0"/>
          <w:color w:val="000000"/>
          <w:lang w:val="uk-UA"/>
        </w:rPr>
      </w:pPr>
      <w:r w:rsidRPr="006C058B">
        <w:rPr>
          <w:rFonts w:ascii="Times New Roman" w:hAnsi="Times New Roman" w:cs="Times New Roman"/>
          <w:i w:val="0"/>
          <w:lang w:val="uk-UA"/>
        </w:rPr>
        <w:t>Тем</w:t>
      </w:r>
      <w:r w:rsidRPr="004E7E90">
        <w:rPr>
          <w:rFonts w:ascii="Times New Roman" w:hAnsi="Times New Roman" w:cs="Times New Roman"/>
          <w:i w:val="0"/>
          <w:lang w:val="uk-UA"/>
        </w:rPr>
        <w:t>а 6.Кредитно-модульна система навчання.П</w:t>
      </w:r>
      <w:r w:rsidRPr="004E7E90">
        <w:rPr>
          <w:rFonts w:ascii="Times New Roman" w:hAnsi="Times New Roman" w:cs="Times New Roman"/>
          <w:i w:val="0"/>
        </w:rPr>
        <w:t>ризначення кредитів ECTS та шкала оцінювання</w:t>
      </w:r>
      <w:r w:rsidRPr="004E7E90">
        <w:rPr>
          <w:rFonts w:ascii="Times New Roman" w:hAnsi="Times New Roman" w:cs="Times New Roman"/>
          <w:i w:val="0"/>
          <w:lang w:val="uk-UA"/>
        </w:rPr>
        <w:t>.</w:t>
      </w:r>
      <w:r w:rsidRPr="004E7E90">
        <w:rPr>
          <w:rStyle w:val="Strong"/>
          <w:rFonts w:ascii="Times New Roman" w:hAnsi="Times New Roman"/>
          <w:i w:val="0"/>
          <w:color w:val="000000"/>
        </w:rPr>
        <w:t>Призначення кредитів ECTS розділам курсу.</w:t>
      </w:r>
      <w:r w:rsidRPr="004E7E90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4E7E90">
        <w:rPr>
          <w:rStyle w:val="Strong"/>
          <w:rFonts w:ascii="Times New Roman" w:hAnsi="Times New Roman"/>
          <w:i w:val="0"/>
          <w:color w:val="000000"/>
        </w:rPr>
        <w:t>Зв'язок між кредитами ECTS і рівнем та складністю розділу курсу.</w:t>
      </w:r>
      <w:r w:rsidRPr="004E7E90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4E7E90">
        <w:rPr>
          <w:rStyle w:val="Strong"/>
          <w:rFonts w:ascii="Times New Roman" w:hAnsi="Times New Roman"/>
          <w:i w:val="0"/>
          <w:color w:val="000000"/>
        </w:rPr>
        <w:t>Зв'язок між кредитами ECTS та кількістю аудиторних годин.</w:t>
      </w:r>
      <w:r w:rsidRPr="004E7E90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4E7E90">
        <w:rPr>
          <w:rFonts w:ascii="Times New Roman" w:hAnsi="Times New Roman" w:cs="Times New Roman"/>
          <w:i w:val="0"/>
        </w:rPr>
        <w:t xml:space="preserve"> </w:t>
      </w:r>
      <w:r w:rsidRPr="004E7E90">
        <w:rPr>
          <w:rStyle w:val="Strong"/>
          <w:rFonts w:ascii="Times New Roman" w:hAnsi="Times New Roman"/>
          <w:i w:val="0"/>
          <w:color w:val="000000"/>
        </w:rPr>
        <w:t>Присвоєння кредитів для розділів курсу, що пропонуються в рамках більш ніж однієї ступеневої програми.</w:t>
      </w:r>
      <w:r w:rsidRPr="004E7E90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4E7E90">
        <w:rPr>
          <w:rStyle w:val="Strong"/>
          <w:rFonts w:ascii="Times New Roman" w:hAnsi="Times New Roman"/>
          <w:i w:val="0"/>
          <w:color w:val="000000"/>
        </w:rPr>
        <w:t>Присвоєння кредитів факультативним розділам курсів.</w:t>
      </w:r>
      <w:r w:rsidRPr="004E7E90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4E7E90">
        <w:rPr>
          <w:rStyle w:val="Strong"/>
          <w:rFonts w:ascii="Times New Roman" w:hAnsi="Times New Roman"/>
          <w:i w:val="0"/>
          <w:color w:val="000000"/>
        </w:rPr>
        <w:t>Присвоєння кредитів у випадках, коли офіційна тривалість навчання є меншою, ніж середній час, використаний студентами для його завершення.</w:t>
      </w:r>
      <w:r w:rsidRPr="004E7E90">
        <w:rPr>
          <w:rFonts w:ascii="Times New Roman" w:hAnsi="Times New Roman" w:cs="Times New Roman"/>
          <w:b w:val="0"/>
          <w:i w:val="0"/>
        </w:rPr>
        <w:t>Присвоєння та перезарахування студентам кредитів ECTS</w:t>
      </w:r>
      <w:r w:rsidRPr="004E7E90">
        <w:rPr>
          <w:rFonts w:ascii="Times New Roman" w:hAnsi="Times New Roman" w:cs="Times New Roman"/>
          <w:b w:val="0"/>
          <w:i w:val="0"/>
          <w:lang w:val="uk-UA"/>
        </w:rPr>
        <w:t>.</w:t>
      </w:r>
      <w:r w:rsidRPr="004E7E90">
        <w:rPr>
          <w:rFonts w:ascii="Times New Roman" w:hAnsi="Times New Roman" w:cs="Times New Roman"/>
          <w:i w:val="0"/>
          <w:lang w:val="uk-UA"/>
        </w:rPr>
        <w:t xml:space="preserve"> </w:t>
      </w:r>
      <w:r w:rsidRPr="004E7E90">
        <w:rPr>
          <w:rStyle w:val="Strong"/>
          <w:rFonts w:ascii="Times New Roman" w:hAnsi="Times New Roman"/>
          <w:i w:val="0"/>
          <w:color w:val="000000"/>
          <w:lang w:val="uk-UA"/>
        </w:rPr>
        <w:t>Відмінність між призначенням кредитів для розділів курсу і присвоєнням кредитів студентам.Дії закладу</w:t>
      </w:r>
      <w:r w:rsidRPr="004E7E90">
        <w:rPr>
          <w:rFonts w:ascii="Times New Roman" w:hAnsi="Times New Roman" w:cs="Times New Roman"/>
          <w:i w:val="0"/>
          <w:lang w:val="uk-UA"/>
        </w:rPr>
        <w:t xml:space="preserve"> </w:t>
      </w:r>
      <w:r w:rsidRPr="004E7E90">
        <w:rPr>
          <w:rFonts w:ascii="Times New Roman" w:hAnsi="Times New Roman" w:cs="Times New Roman"/>
          <w:b w:val="0"/>
          <w:i w:val="0"/>
          <w:lang w:val="uk-UA"/>
        </w:rPr>
        <w:t xml:space="preserve">із присвоєння та перезарахування студентам кредитів </w:t>
      </w:r>
      <w:r w:rsidRPr="004E7E90">
        <w:rPr>
          <w:rFonts w:ascii="Times New Roman" w:hAnsi="Times New Roman" w:cs="Times New Roman"/>
          <w:b w:val="0"/>
          <w:i w:val="0"/>
        </w:rPr>
        <w:t>ECTS</w:t>
      </w:r>
      <w:r w:rsidRPr="004E7E90">
        <w:rPr>
          <w:rFonts w:ascii="Times New Roman" w:hAnsi="Times New Roman" w:cs="Times New Roman"/>
          <w:b w:val="0"/>
          <w:i w:val="0"/>
          <w:lang w:val="uk-UA"/>
        </w:rPr>
        <w:t>.</w:t>
      </w:r>
      <w:r w:rsidRPr="004E7E90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4E7E90">
        <w:rPr>
          <w:rStyle w:val="Strong"/>
          <w:rFonts w:ascii="Times New Roman" w:hAnsi="Times New Roman"/>
          <w:i w:val="0"/>
          <w:color w:val="000000"/>
        </w:rPr>
        <w:t>Перезарахування кредитів ECTS.</w:t>
      </w:r>
      <w:r w:rsidRPr="004E7E90">
        <w:rPr>
          <w:rFonts w:ascii="Times New Roman" w:hAnsi="Times New Roman" w:cs="Times New Roman"/>
          <w:b w:val="0"/>
          <w:i w:val="0"/>
          <w:color w:val="000000"/>
        </w:rPr>
        <w:t xml:space="preserve"> </w:t>
      </w:r>
    </w:p>
    <w:p w:rsidR="00DB101D" w:rsidRPr="004E7E90" w:rsidRDefault="00DB101D" w:rsidP="004E7E90">
      <w:pPr>
        <w:ind w:right="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7E90">
        <w:rPr>
          <w:rFonts w:ascii="Times New Roman" w:hAnsi="Times New Roman"/>
          <w:b/>
          <w:sz w:val="28"/>
          <w:szCs w:val="28"/>
          <w:lang w:val="uk-UA"/>
        </w:rPr>
        <w:t>Тема 7. Адаптація вищої освіти України до європейської вищої освіти.</w:t>
      </w:r>
      <w:r w:rsidRPr="004E7E90">
        <w:rPr>
          <w:rFonts w:ascii="Times New Roman" w:hAnsi="Times New Roman"/>
          <w:sz w:val="28"/>
          <w:szCs w:val="28"/>
          <w:lang w:val="uk-UA"/>
        </w:rPr>
        <w:t xml:space="preserve">Стратегічні напрями модернізації освіти і наукиУкраїни. Основні завдання у сфері адаптації вищої освіти України до європейської вищої освіти. </w:t>
      </w:r>
      <w:r w:rsidRPr="004E7E90">
        <w:rPr>
          <w:rFonts w:ascii="Times New Roman" w:hAnsi="Times New Roman"/>
          <w:sz w:val="28"/>
          <w:szCs w:val="28"/>
        </w:rPr>
        <w:t>Основні принципи входження України  в європейський і світовий інформаційний простір.</w:t>
      </w:r>
      <w:r w:rsidRPr="004E7E90">
        <w:rPr>
          <w:rFonts w:ascii="Times New Roman" w:hAnsi="Times New Roman"/>
          <w:sz w:val="28"/>
          <w:szCs w:val="28"/>
          <w:lang w:val="uk-UA" w:eastAsia="uk-UA"/>
        </w:rPr>
        <w:t xml:space="preserve"> Матеріали Міністерства освіти і науки України, які регламентують процес впровадження кредитно-модульної системи в підготовку: бакалаврів, спеціалістів та магістрів. Положення МОН України про організацію навчального процесу в умовах кредитно-модульної системи підготовки фахівців: наказ МОН № 49 від 23.01.2004 р. „Про затвердження Програми дій щодо реалізації положень Болонської декларації в системі вищої освіти і науки України на 2004-2005 роки"; Програма дій щодо реалізації положень Болонської декларації в системі вищої освіти і науки України; заходи щодо реалізації положень Болонської декларації в системі вищої освіти і науки України на 2005-2010 роки. </w:t>
      </w:r>
    </w:p>
    <w:p w:rsidR="00DB101D" w:rsidRPr="004E7E90" w:rsidRDefault="00DB101D" w:rsidP="004E7E90">
      <w:pPr>
        <w:ind w:right="2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7E90">
        <w:rPr>
          <w:rFonts w:ascii="Times New Roman" w:hAnsi="Times New Roman"/>
          <w:sz w:val="28"/>
          <w:szCs w:val="28"/>
          <w:lang w:val="uk-UA" w:eastAsia="uk-UA"/>
        </w:rPr>
        <w:t>Концепція розвитку вищої освіти України до 2020 року: механізм та інструменти її реалізації. Накази МОН України про реформування процесу підготовки бакалаврів, спеціалістів та магістрів в сучасних умовах і на середньострокову перспективу.</w:t>
      </w:r>
    </w:p>
    <w:p w:rsidR="00DB101D" w:rsidRPr="004E7E90" w:rsidRDefault="00DB101D" w:rsidP="004E7E90">
      <w:pPr>
        <w:widowControl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b/>
          <w:sz w:val="28"/>
          <w:szCs w:val="28"/>
          <w:lang w:val="uk-UA"/>
        </w:rPr>
        <w:t>Тема 8. Економічна освіта на сучасному етапі: стан, досягнення, модернізація та проблеми розвитку.</w:t>
      </w:r>
    </w:p>
    <w:p w:rsidR="00DB101D" w:rsidRPr="004E7E90" w:rsidRDefault="00DB101D" w:rsidP="004E7E9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Основні характеристики потенціалу сучасного фахівця в сфері управління персоналом і економіки праці, підготовленого університетом. Зміст сучасної підготовки фахівця з управління персоналом і економіки праці: відповідність державним (соціальним), професійним вимогам в умовах ринкового середовища, вимогам часу до особистості майбутнього фахівця; задоволення основних потреб особистості у професійній самореалізації.</w:t>
      </w:r>
    </w:p>
    <w:p w:rsidR="00DB101D" w:rsidRPr="004E7E90" w:rsidRDefault="00DB101D" w:rsidP="004E7E9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Створення в державі передумов для побудови студентами індивідуальної освітньої траєкторії психолого-педагогічна діагностика особистих та потенційних професійних якостей студента управління персоналом, діагностика та узагальнення результатів. Формування та розвиток навчальної та професійної мотивації студентів-економістів. Формування системи професійних пріоритетів та цінностей. Актуалізація майбутньої професійної діяльності для тих, хто має стати гарним, високопрофесійним фахівцем. Формування державницької позиції в своїй професії та вміння захищати і відстоювати своє рішення.</w:t>
      </w:r>
    </w:p>
    <w:p w:rsidR="00DB101D" w:rsidRPr="004E7E90" w:rsidRDefault="00DB101D" w:rsidP="004E7E9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 xml:space="preserve">Фахова підготовка: мета, завдання, сутність, структура, принципи побудови. ОКХ: принципова модель ОКХ; державний компонент ОКХ; регіонально-вузівський компонент ОКХ; характеристика ОКХ за спеціальністю “Управління персоналом і економіка праці ”. Класифікація видів і класів завдань, що вирішуються випускниками спеціальності при виконанні професійних обов’язків, а також видів і рівнів сформованості необхідних умінь. Поняття професіограми: структура, компоненти, психологічна складова.Основні та адаптивні види професійної діяльності управлінців персоналом у сфері суспільного виробництва. Система професійних функцій фахівця з управління персоналом і економіки праці (функціональна модель фахівця). Основні виробничі функції і типові завдання діяльностіфахівця з управління персоналом і економіки праці. Необхідні вміння для виконання даних функцій і завдань стосовно спеціальності “Управління персоналом і економіка праці”. </w:t>
      </w:r>
    </w:p>
    <w:p w:rsidR="00DB101D" w:rsidRPr="004E7E90" w:rsidRDefault="00DB101D" w:rsidP="004E7E90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7E90">
        <w:rPr>
          <w:rFonts w:ascii="Times New Roman" w:hAnsi="Times New Roman"/>
          <w:b/>
          <w:sz w:val="28"/>
          <w:szCs w:val="28"/>
          <w:lang w:val="uk-UA"/>
        </w:rPr>
        <w:t xml:space="preserve">Тема 9. Розвиток змісту та вдосконалення науково-методичного забезпечення вищої економічної освіти в Україні  </w:t>
      </w:r>
    </w:p>
    <w:p w:rsidR="00DB101D" w:rsidRPr="004E7E90" w:rsidRDefault="00DB101D" w:rsidP="004E7E9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7E90">
        <w:rPr>
          <w:rFonts w:ascii="Times New Roman" w:hAnsi="Times New Roman"/>
          <w:sz w:val="28"/>
          <w:szCs w:val="28"/>
          <w:lang w:val="uk-UA"/>
        </w:rPr>
        <w:t>Стандартизація вищої економічної освіти та напрямки її розвитку. Розвиток науково-методичного забезпечення навчального процесу. Упровадження кредитно-модульної системи організації навчального процесу. Діагностика знань студентів в умовах кредитно-модульної системи та способи підвищення її об’єктивності. Використання кращих результатів наукових досліджень у навчальному процесі. Поглиблення зв’язків між економічною освітою та практикою.Підвищення конкурентоспроможності випускників на ринку праці та розвиток системи їх працевлаштування.</w:t>
      </w:r>
    </w:p>
    <w:p w:rsidR="00DB101D" w:rsidRPr="004E7E90" w:rsidRDefault="00DB101D" w:rsidP="004E7E9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101D" w:rsidRDefault="00DB101D" w:rsidP="00AA7474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B101D" w:rsidRDefault="00DB101D" w:rsidP="00AA7474">
      <w:pPr>
        <w:widowControl w:val="0"/>
        <w:spacing w:after="0" w:line="36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63713A">
        <w:rPr>
          <w:rFonts w:ascii="Times New Roman" w:hAnsi="Times New Roman"/>
          <w:b/>
          <w:bCs/>
          <w:sz w:val="28"/>
          <w:szCs w:val="28"/>
          <w:lang w:val="uk-UA"/>
        </w:rPr>
        <w:t>4. Структура навчальної дисципліни</w:t>
      </w:r>
      <w:r w:rsidRPr="00AA7474">
        <w:rPr>
          <w:rFonts w:ascii="Times New Roman" w:hAnsi="Times New Roman"/>
          <w:sz w:val="32"/>
          <w:szCs w:val="32"/>
          <w:lang w:val="uk-UA"/>
        </w:rPr>
        <w:t xml:space="preserve"> </w:t>
      </w:r>
    </w:p>
    <w:tbl>
      <w:tblPr>
        <w:tblW w:w="945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837"/>
        <w:gridCol w:w="1442"/>
        <w:gridCol w:w="855"/>
        <w:gridCol w:w="29"/>
        <w:gridCol w:w="1051"/>
        <w:gridCol w:w="27"/>
        <w:gridCol w:w="1237"/>
        <w:gridCol w:w="1437"/>
      </w:tblGrid>
      <w:tr w:rsidR="00DB101D" w:rsidRPr="0000041A" w:rsidTr="00BF2C21">
        <w:trPr>
          <w:trHeight w:val="285"/>
        </w:trPr>
        <w:tc>
          <w:tcPr>
            <w:tcW w:w="540" w:type="dxa"/>
            <w:vMerge w:val="restart"/>
            <w:vAlign w:val="center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п\п</w:t>
            </w:r>
          </w:p>
        </w:tc>
        <w:tc>
          <w:tcPr>
            <w:tcW w:w="2837" w:type="dxa"/>
            <w:vMerge w:val="restart"/>
            <w:vAlign w:val="center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еми</w:t>
            </w:r>
          </w:p>
        </w:tc>
        <w:tc>
          <w:tcPr>
            <w:tcW w:w="1442" w:type="dxa"/>
            <w:vMerge w:val="restart"/>
            <w:vAlign w:val="center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годин</w:t>
            </w:r>
          </w:p>
        </w:tc>
        <w:tc>
          <w:tcPr>
            <w:tcW w:w="3199" w:type="dxa"/>
            <w:gridSpan w:val="5"/>
            <w:tcBorders>
              <w:bottom w:val="single" w:sz="4" w:space="0" w:color="auto"/>
            </w:tcBorders>
            <w:vAlign w:val="center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Аудиторні заняття</w:t>
            </w:r>
          </w:p>
        </w:tc>
        <w:tc>
          <w:tcPr>
            <w:tcW w:w="1437" w:type="dxa"/>
            <w:vMerge w:val="restart"/>
            <w:vAlign w:val="center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B101D" w:rsidRPr="0000041A" w:rsidTr="00BF2C21">
        <w:trPr>
          <w:trHeight w:val="331"/>
        </w:trPr>
        <w:tc>
          <w:tcPr>
            <w:tcW w:w="540" w:type="dxa"/>
            <w:vMerge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  <w:vMerge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2" w:type="dxa"/>
            <w:vMerge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лекційні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1437" w:type="dxa"/>
            <w:vMerge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01D" w:rsidRPr="0000041A" w:rsidTr="00BF2C21">
        <w:tc>
          <w:tcPr>
            <w:tcW w:w="9455" w:type="dxa"/>
            <w:gridSpan w:val="9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Змістовний модуль №1</w:t>
            </w:r>
          </w:p>
        </w:tc>
      </w:tr>
      <w:tr w:rsidR="00DB101D" w:rsidRPr="0000041A" w:rsidTr="00BF2C21">
        <w:tc>
          <w:tcPr>
            <w:tcW w:w="540" w:type="dxa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7" w:type="dxa"/>
          </w:tcPr>
          <w:p w:rsidR="00DB101D" w:rsidRPr="00017065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065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Національна доктрина розвитку освіти в Україні в ХХІ столітті:  її зміст і стратегія реалізації</w:t>
            </w: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контексті Болонського процесу.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17065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>Хронологія подій Болонського процесу та основні етапи щодо створення зони Європейської вищої освіти.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17065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>Болонський процес: сутність та зміст.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17065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017065">
              <w:rPr>
                <w:rFonts w:ascii="Times New Roman" w:hAnsi="Times New Roman"/>
                <w:sz w:val="24"/>
                <w:szCs w:val="24"/>
              </w:rPr>
              <w:t>агальні принципи формування систем вищої освіти європейських країн</w:t>
            </w: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2" w:type="dxa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37" w:type="dxa"/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B101D" w:rsidRPr="0000041A" w:rsidTr="00BF2C21">
        <w:trPr>
          <w:trHeight w:val="3000"/>
        </w:trPr>
        <w:tc>
          <w:tcPr>
            <w:tcW w:w="540" w:type="dxa"/>
            <w:tcBorders>
              <w:bottom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DB101D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E73C41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DB101D" w:rsidRPr="00017065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характеристика Європейської кредитно-трансферної системи накопичення </w:t>
            </w:r>
            <w:r w:rsidRPr="00017065">
              <w:rPr>
                <w:rFonts w:ascii="Times New Roman" w:hAnsi="Times New Roman"/>
                <w:sz w:val="24"/>
                <w:szCs w:val="24"/>
              </w:rPr>
              <w:t>ECTS</w:t>
            </w: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170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Кредитно-модульна система навчання.Призначення кредитів </w:t>
            </w:r>
            <w:r w:rsidRPr="00017065">
              <w:rPr>
                <w:rFonts w:ascii="Times New Roman" w:hAnsi="Times New Roman"/>
                <w:sz w:val="24"/>
                <w:szCs w:val="24"/>
              </w:rPr>
              <w:t>ECTS</w:t>
            </w:r>
            <w:r w:rsidRPr="00017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шкала оцінювання.</w:t>
            </w:r>
          </w:p>
          <w:p w:rsidR="00DB101D" w:rsidRPr="00E73C41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Адаптація вищої освіти України до європейської вищої освіти. </w:t>
            </w:r>
          </w:p>
          <w:p w:rsidR="00DB101D" w:rsidRPr="00E73C41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C41">
              <w:rPr>
                <w:rFonts w:ascii="Times New Roman" w:hAnsi="Times New Roman"/>
                <w:sz w:val="24"/>
                <w:szCs w:val="24"/>
                <w:lang w:val="uk-UA"/>
              </w:rPr>
              <w:t>Економічна освіта на сучасному етапі: стан, досягнення, модернізація та проблеми розвитку.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Розвиток змісту та вдосконалення науково-методичного забезпечення вищої економічної освіти в Україні</w:t>
            </w: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6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5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1</w:t>
            </w: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1</w:t>
            </w: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</w:t>
            </w: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</w:t>
            </w: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00041A" w:rsidRDefault="00DB101D" w:rsidP="00BF2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DB101D" w:rsidRPr="0000041A" w:rsidTr="00BF2C21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54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Pr="000004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10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DB101D" w:rsidRPr="0000041A" w:rsidRDefault="00DB101D" w:rsidP="00BF2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36</w:t>
            </w:r>
          </w:p>
        </w:tc>
      </w:tr>
    </w:tbl>
    <w:p w:rsidR="00DB101D" w:rsidRDefault="00DB101D" w:rsidP="004119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B101D" w:rsidRDefault="00DB101D" w:rsidP="004119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B101D" w:rsidRPr="00BA60B1" w:rsidRDefault="00DB101D" w:rsidP="004119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5.Теми л</w:t>
      </w:r>
      <w:r w:rsidRPr="00BA60B1">
        <w:rPr>
          <w:rFonts w:ascii="Times New Roman" w:hAnsi="Times New Roman"/>
          <w:b/>
          <w:sz w:val="28"/>
          <w:szCs w:val="28"/>
          <w:lang w:val="uk-UA"/>
        </w:rPr>
        <w:t>екцій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221"/>
        <w:gridCol w:w="1276"/>
      </w:tblGrid>
      <w:tr w:rsidR="00DB101D" w:rsidRPr="00BA60B1" w:rsidTr="00411925">
        <w:tc>
          <w:tcPr>
            <w:tcW w:w="534" w:type="dxa"/>
            <w:vAlign w:val="center"/>
          </w:tcPr>
          <w:p w:rsidR="00DB101D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221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DB101D" w:rsidRPr="00BA60B1" w:rsidTr="00411925">
        <w:trPr>
          <w:trHeight w:val="570"/>
        </w:trPr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Національна доктрина розвитку ос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віти в Україні в ХХІ столітті: </w:t>
            </w:r>
            <w:r w:rsidRPr="00BA60B1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її зміст і стратегія реалізації 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101D" w:rsidRPr="00AA7474" w:rsidTr="00411925">
        <w:trPr>
          <w:trHeight w:val="255"/>
        </w:trPr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21" w:type="dxa"/>
          </w:tcPr>
          <w:p w:rsidR="00DB101D" w:rsidRPr="0004319B" w:rsidRDefault="00DB101D" w:rsidP="000D15D2">
            <w:pPr>
              <w:keepNext/>
              <w:keepLines/>
              <w:ind w:left="-20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9B">
              <w:rPr>
                <w:rFonts w:ascii="Times New Roman" w:hAnsi="Times New Roman"/>
                <w:sz w:val="24"/>
                <w:szCs w:val="24"/>
                <w:lang w:val="uk-UA"/>
              </w:rPr>
              <w:t>Хронологія подій Болонського процесу та основні етапи щодо створення зони Європейської вищої освіти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101D" w:rsidRPr="00AA7474" w:rsidTr="00411925">
        <w:trPr>
          <w:trHeight w:val="255"/>
        </w:trPr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21" w:type="dxa"/>
          </w:tcPr>
          <w:p w:rsidR="00DB101D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043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Болонський процес: сутність та зміст</w:t>
            </w:r>
            <w:r w:rsidRPr="0004319B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:rsidR="00DB101D" w:rsidRPr="0004319B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101D" w:rsidRPr="00BA60B1" w:rsidTr="00411925">
        <w:trPr>
          <w:trHeight w:val="255"/>
        </w:trPr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21" w:type="dxa"/>
          </w:tcPr>
          <w:p w:rsidR="00DB101D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9B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04319B">
              <w:rPr>
                <w:rFonts w:ascii="Times New Roman" w:hAnsi="Times New Roman"/>
                <w:sz w:val="24"/>
                <w:szCs w:val="24"/>
              </w:rPr>
              <w:t>агальні принципи формування систем вищої освіти європейських країн</w:t>
            </w:r>
          </w:p>
          <w:p w:rsidR="00DB101D" w:rsidRPr="0004319B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101D" w:rsidRPr="00BA60B1" w:rsidTr="00411925">
        <w:trPr>
          <w:trHeight w:val="435"/>
        </w:trPr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21" w:type="dxa"/>
          </w:tcPr>
          <w:p w:rsidR="00DB101D" w:rsidRPr="0004319B" w:rsidRDefault="00DB101D" w:rsidP="000D15D2">
            <w:pPr>
              <w:pStyle w:val="Heading2"/>
              <w:spacing w:before="180" w:after="180"/>
              <w:ind w:right="18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431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Загальна характеристика Європейської кредитно-трансферної системи накопичення </w:t>
            </w:r>
            <w:r w:rsidRPr="000431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ECTS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101D" w:rsidRPr="00BA60B1" w:rsidTr="00411925">
        <w:trPr>
          <w:trHeight w:val="358"/>
        </w:trPr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21" w:type="dxa"/>
          </w:tcPr>
          <w:p w:rsidR="00DB101D" w:rsidRPr="0004319B" w:rsidRDefault="00DB101D" w:rsidP="000D15D2">
            <w:pPr>
              <w:pStyle w:val="Heading2"/>
              <w:shd w:val="clear" w:color="auto" w:fill="FFFFFF"/>
              <w:spacing w:before="180" w:after="180"/>
              <w:ind w:right="18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0431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Кредитно-модульна система навчання.П</w:t>
            </w:r>
            <w:r w:rsidRPr="000431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ризначення кредитів ECTS та шкала оцінювання</w:t>
            </w:r>
            <w:r w:rsidRPr="000431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.( 2год)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21" w:type="dxa"/>
          </w:tcPr>
          <w:p w:rsidR="00DB101D" w:rsidRDefault="00DB101D" w:rsidP="004119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0D15D2">
              <w:rPr>
                <w:rFonts w:ascii="Times New Roman" w:hAnsi="Times New Roman"/>
                <w:sz w:val="24"/>
                <w:szCs w:val="24"/>
                <w:lang w:val="uk-UA"/>
              </w:rPr>
              <w:t>Адаптація вищої освіти України до європейської вищої освіти.</w:t>
            </w:r>
            <w:r w:rsidRPr="000D15D2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:rsidR="00DB101D" w:rsidRPr="000D15D2" w:rsidRDefault="00DB101D" w:rsidP="004119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101D" w:rsidRPr="00BA60B1" w:rsidTr="00411925">
        <w:trPr>
          <w:trHeight w:val="555"/>
        </w:trPr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21" w:type="dxa"/>
          </w:tcPr>
          <w:p w:rsidR="00DB101D" w:rsidRPr="000D15D2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5D2">
              <w:rPr>
                <w:rFonts w:ascii="Times New Roman" w:hAnsi="Times New Roman"/>
                <w:sz w:val="24"/>
                <w:szCs w:val="24"/>
                <w:lang w:val="uk-UA"/>
              </w:rPr>
              <w:t>Студентське самоврядування як невід’ємна складова демократизації вищої освіти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101D" w:rsidRPr="00BA60B1" w:rsidTr="00411925">
        <w:trPr>
          <w:trHeight w:val="285"/>
        </w:trPr>
        <w:tc>
          <w:tcPr>
            <w:tcW w:w="534" w:type="dxa"/>
            <w:vAlign w:val="center"/>
          </w:tcPr>
          <w:p w:rsidR="00DB101D" w:rsidRPr="00411925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9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21" w:type="dxa"/>
          </w:tcPr>
          <w:p w:rsidR="00DB101D" w:rsidRPr="00411925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9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276" w:type="dxa"/>
            <w:vAlign w:val="center"/>
          </w:tcPr>
          <w:p w:rsidR="00DB101D" w:rsidRPr="00411925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9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</w:tr>
    </w:tbl>
    <w:p w:rsidR="00DB101D" w:rsidRPr="00411925" w:rsidRDefault="00DB101D" w:rsidP="00EF085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B101D" w:rsidRPr="00BA60B1" w:rsidRDefault="00DB101D" w:rsidP="00BA6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0B1">
        <w:rPr>
          <w:rFonts w:ascii="Times New Roman" w:hAnsi="Times New Roman"/>
          <w:b/>
          <w:sz w:val="28"/>
          <w:szCs w:val="28"/>
          <w:lang w:val="uk-UA"/>
        </w:rPr>
        <w:t>6. Теми практичних та семінарських занять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221"/>
        <w:gridCol w:w="1276"/>
      </w:tblGrid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221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DB101D" w:rsidRPr="000D15D2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21" w:type="dxa"/>
          </w:tcPr>
          <w:p w:rsidR="00DB101D" w:rsidRPr="0004319B" w:rsidRDefault="00DB101D" w:rsidP="000D15D2">
            <w:pPr>
              <w:ind w:right="20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04319B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Національна доктрина розвитку освіти в Україні в ХХІ столітті:  її зміст і стратегія реалізації (2 год.)            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101D" w:rsidRPr="000D15D2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21" w:type="dxa"/>
          </w:tcPr>
          <w:p w:rsidR="00DB101D" w:rsidRPr="0004319B" w:rsidRDefault="00DB101D" w:rsidP="000D15D2">
            <w:pPr>
              <w:keepNext/>
              <w:keepLines/>
              <w:ind w:hanging="2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9B">
              <w:rPr>
                <w:rFonts w:ascii="Times New Roman" w:hAnsi="Times New Roman"/>
                <w:sz w:val="24"/>
                <w:szCs w:val="24"/>
                <w:lang w:val="uk-UA"/>
              </w:rPr>
              <w:t>Хронологія подій Болонського процесу та основні етапи щодо створення зони Європейської вищої освіти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21" w:type="dxa"/>
          </w:tcPr>
          <w:p w:rsidR="00DB101D" w:rsidRPr="0004319B" w:rsidRDefault="00DB101D" w:rsidP="004119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43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Кредитно-модульна система навчання.Призначення кредитів </w:t>
            </w:r>
            <w:r w:rsidRPr="0004319B">
              <w:rPr>
                <w:rFonts w:ascii="Times New Roman" w:hAnsi="Times New Roman"/>
                <w:sz w:val="24"/>
                <w:szCs w:val="24"/>
              </w:rPr>
              <w:t>ECTS</w:t>
            </w:r>
            <w:r w:rsidRPr="00043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шкала оцінювання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21" w:type="dxa"/>
          </w:tcPr>
          <w:p w:rsidR="00DB101D" w:rsidRPr="0004319B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Економічна освіта на сучасному етапі: стан, досягнення, модернізація та проблеми розвитку 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Модульний контроль.Підсумкове заняття</w:t>
            </w:r>
            <w:r w:rsidRPr="00BA60B1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</w:tr>
    </w:tbl>
    <w:p w:rsidR="00DB101D" w:rsidRPr="00411925" w:rsidRDefault="00DB101D" w:rsidP="00BA6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B101D" w:rsidRPr="00BA60B1" w:rsidRDefault="00DB101D" w:rsidP="00BA6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0B1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BA60B1">
        <w:rPr>
          <w:rFonts w:ascii="Times New Roman" w:hAnsi="Times New Roman"/>
          <w:b/>
          <w:sz w:val="28"/>
          <w:szCs w:val="28"/>
          <w:lang w:val="en-US"/>
        </w:rPr>
        <w:t>C</w:t>
      </w:r>
      <w:r w:rsidRPr="00BA60B1">
        <w:rPr>
          <w:rFonts w:ascii="Times New Roman" w:hAnsi="Times New Roman"/>
          <w:b/>
          <w:sz w:val="28"/>
          <w:szCs w:val="28"/>
          <w:lang w:val="uk-UA"/>
        </w:rPr>
        <w:t xml:space="preserve">амостійна робота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221"/>
        <w:gridCol w:w="1276"/>
      </w:tblGrid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221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Комплексна цільова програма (ЦКП) розвитку єдиної освітньої інформаційної сфери 2010-2015 роки на прикладі України, Росії та США. Стратегія розвитку кращих університетів України: інструменти і механізми її реалізації.</w:t>
            </w:r>
            <w:r w:rsidRPr="00BA60B1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21" w:type="dxa"/>
          </w:tcPr>
          <w:p w:rsidR="00DB101D" w:rsidRPr="00F0493C" w:rsidRDefault="00DB101D" w:rsidP="00411925">
            <w:pPr>
              <w:pStyle w:val="BodyText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uk-UA"/>
              </w:rPr>
            </w:pPr>
            <w:r w:rsidRPr="00F0493C">
              <w:rPr>
                <w:rFonts w:ascii="Times New Roman" w:hAnsi="Times New Roman"/>
                <w:i w:val="0"/>
                <w:sz w:val="24"/>
                <w:szCs w:val="24"/>
              </w:rPr>
              <w:t xml:space="preserve">Стратегія вдосконалення професійної підготовки молоді, створення необхідних умов та системи прийому талановитої молоді до вищих навчальних закладів України. 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Концепція розвитку вищої освіти України до 2020 року: механізм та інструменти її реалізації.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Безперервна освіта як одна з провідних вимог Болонського процесу, її необхідність та роль у житті сучасної людини.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Сучасне трактування освіти як загальнолюдської цінності, еволюція парадигм вищої освіти; гуманістична парадигма як основа вищої освіти в XXI столітті: її суть, роль, функції і значення. Цілі і пріоритети національної доктрини розвитку освіти в Україні: національний характер освіти; інтеграція вітчизняної освіти в європейській і світовій простір; очікувані результати.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Загальні принципи створення системи вищої освіти в контексті вимог Болонського процесу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Система управління вищою освітою та її складові. Модель 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правління у галузі вищої освіти в контексті вимог Болонського процесу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Флагмани української освіти: Київський Національний університет імені Т.Г. Шевченка; Національний університет «Київська політехніка»; Києво-Могилянська академія (НАУКМА); Львівська політехніка; Київський національний економічний університет (КНЕУ); Харківський національний університет (ХНУ); Одеський національний економічний університет (ОНЕУ) та інші.</w:t>
            </w:r>
          </w:p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Вищі навчальні заклади Росії, Британії, Америки, Франції, Німеччини, Польщі, Чехії, Іспанії, Японії, Канади, Австрії, Італії, Швеції, Скандинавії та 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Інших зарубіжних країн Європи та світу. Наукове обґрунтування необхідності використання кращого досвіду університетів цих країн в освітянському просторі України.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Науково-мето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дичне забезпечення вищої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контексті вимог Болонського процесу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розвиток навчальної та професійної мотивації студентів-економістів. Формування системи професійних пріоритетів та цінностей.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Система професійних функцій фахівця з управління персоналом і економіки праці (функціональна модель фахівця). Основні виробничі функції і типові завдання діяльності фахівця з управління персоналом і економіки праці.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221" w:type="dxa"/>
          </w:tcPr>
          <w:p w:rsidR="00DB101D" w:rsidRPr="00BA60B1" w:rsidRDefault="00DB101D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Сутність роботи з навчальною та спеціальною літературою: правильна  постановка цілей роботи. Пошук інформації в додатковій літературі. Специфіка роботи з періодичними виданнями.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Орієнтування в книзі та швидкий пошук потрібної інформації (раціональне  читання).</w:t>
            </w:r>
          </w:p>
        </w:tc>
        <w:tc>
          <w:tcPr>
            <w:tcW w:w="1276" w:type="dxa"/>
            <w:vAlign w:val="center"/>
          </w:tcPr>
          <w:p w:rsidR="00DB101D" w:rsidRPr="00BA60B1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B101D" w:rsidRPr="00BA60B1" w:rsidTr="00411925">
        <w:tc>
          <w:tcPr>
            <w:tcW w:w="534" w:type="dxa"/>
            <w:vAlign w:val="center"/>
          </w:tcPr>
          <w:p w:rsidR="00DB101D" w:rsidRPr="00411925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221" w:type="dxa"/>
          </w:tcPr>
          <w:p w:rsidR="00DB101D" w:rsidRPr="00411925" w:rsidRDefault="00DB101D" w:rsidP="00BA60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9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276" w:type="dxa"/>
            <w:vAlign w:val="center"/>
          </w:tcPr>
          <w:p w:rsidR="00DB101D" w:rsidRPr="00411925" w:rsidRDefault="00DB101D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</w:tc>
      </w:tr>
    </w:tbl>
    <w:p w:rsidR="00DB101D" w:rsidRDefault="00DB101D">
      <w:pPr>
        <w:rPr>
          <w:rFonts w:ascii="Times New Roman" w:hAnsi="Times New Roman"/>
          <w:sz w:val="28"/>
          <w:szCs w:val="28"/>
          <w:lang w:val="uk-UA"/>
        </w:rPr>
      </w:pPr>
    </w:p>
    <w:p w:rsidR="00DB101D" w:rsidRDefault="00DB101D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B101D" w:rsidRDefault="00DB101D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B101D" w:rsidRDefault="00DB101D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B101D" w:rsidRDefault="00DB101D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B101D" w:rsidRDefault="00DB101D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B101D" w:rsidRDefault="00DB101D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B101D" w:rsidRPr="00BA60B1" w:rsidRDefault="00DB101D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center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 w:rsidRPr="00CB4FAE">
        <w:rPr>
          <w:rFonts w:ascii="Times New Roman" w:hAnsi="Times New Roman"/>
          <w:b/>
          <w:sz w:val="28"/>
          <w:szCs w:val="28"/>
          <w:lang w:val="uk-UA"/>
        </w:rPr>
        <w:t>8.</w:t>
      </w:r>
      <w:r w:rsidRPr="00BA60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b/>
          <w:spacing w:val="-1"/>
          <w:sz w:val="28"/>
          <w:szCs w:val="28"/>
          <w:lang w:val="uk-UA"/>
        </w:rPr>
        <w:t>Індивідуальні завдання.</w:t>
      </w:r>
      <w:r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b/>
          <w:spacing w:val="-1"/>
          <w:sz w:val="28"/>
          <w:szCs w:val="28"/>
          <w:lang w:val="uk-UA"/>
        </w:rPr>
        <w:t>Т</w:t>
      </w:r>
      <w:r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ематика </w:t>
      </w:r>
      <w:r w:rsidRPr="00BA60B1">
        <w:rPr>
          <w:rFonts w:ascii="Times New Roman" w:hAnsi="Times New Roman"/>
          <w:b/>
          <w:spacing w:val="-1"/>
          <w:sz w:val="28"/>
          <w:szCs w:val="28"/>
          <w:lang w:val="uk-UA"/>
        </w:rPr>
        <w:t>рефератів.</w:t>
      </w:r>
    </w:p>
    <w:p w:rsidR="00DB101D" w:rsidRPr="006C058B" w:rsidRDefault="00DB101D" w:rsidP="006C058B">
      <w:pPr>
        <w:tabs>
          <w:tab w:val="num" w:pos="-142"/>
          <w:tab w:val="left" w:pos="900"/>
        </w:tabs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pPr w:leftFromText="180" w:rightFromText="180" w:vertAnchor="text" w:tblpX="468" w:tblpY="1"/>
        <w:tblOverlap w:val="never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48"/>
        <w:gridCol w:w="4860"/>
      </w:tblGrid>
      <w:tr w:rsidR="00DB101D" w:rsidRPr="00ED514D" w:rsidTr="00BF2C21">
        <w:tc>
          <w:tcPr>
            <w:tcW w:w="5148" w:type="dxa"/>
          </w:tcPr>
          <w:p w:rsidR="00DB101D" w:rsidRPr="00951A2A" w:rsidRDefault="00DB101D" w:rsidP="00BF2C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Т Е М И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З м і с т    СРС</w:t>
            </w:r>
          </w:p>
        </w:tc>
      </w:tr>
      <w:tr w:rsidR="00DB101D" w:rsidRPr="00ED514D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 xml:space="preserve">1. </w:t>
            </w:r>
            <w:r w:rsidRPr="00951A2A">
              <w:rPr>
                <w:rStyle w:val="102"/>
                <w:sz w:val="24"/>
                <w:szCs w:val="24"/>
              </w:rPr>
              <w:t>Ун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верситет як вищий навчал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ь</w:t>
            </w:r>
            <w:r w:rsidRPr="00951A2A">
              <w:rPr>
                <w:rStyle w:val="102"/>
                <w:sz w:val="24"/>
                <w:szCs w:val="24"/>
              </w:rPr>
              <w:t xml:space="preserve">ний заклад: 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стор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я створення та розвиток на сучасному ета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пі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глосарію,   тези відповідей та висвітлення питань за планом , реферати</w:t>
            </w:r>
          </w:p>
        </w:tc>
      </w:tr>
      <w:tr w:rsidR="00DB101D" w:rsidRPr="00ED514D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 xml:space="preserve">2. </w:t>
            </w:r>
            <w:r w:rsidRPr="00951A2A">
              <w:rPr>
                <w:rStyle w:val="102"/>
                <w:sz w:val="24"/>
                <w:szCs w:val="24"/>
              </w:rPr>
              <w:t>Нац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ональна доктрина розвитку осв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ти в Укра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їні</w:t>
            </w:r>
            <w:r w:rsidRPr="00951A2A">
              <w:rPr>
                <w:rStyle w:val="102"/>
                <w:sz w:val="24"/>
                <w:szCs w:val="24"/>
              </w:rPr>
              <w:t xml:space="preserve"> в XXI сто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літті</w:t>
            </w:r>
            <w:r w:rsidRPr="00951A2A">
              <w:rPr>
                <w:rStyle w:val="102"/>
                <w:sz w:val="24"/>
                <w:szCs w:val="24"/>
              </w:rPr>
              <w:t xml:space="preserve">: 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 xml:space="preserve">її </w:t>
            </w:r>
            <w:r w:rsidRPr="00951A2A">
              <w:rPr>
                <w:rStyle w:val="102"/>
                <w:sz w:val="24"/>
                <w:szCs w:val="24"/>
              </w:rPr>
              <w:t xml:space="preserve"> 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 xml:space="preserve">зміст і </w:t>
            </w:r>
            <w:r w:rsidRPr="00951A2A">
              <w:rPr>
                <w:rStyle w:val="102"/>
                <w:sz w:val="24"/>
                <w:szCs w:val="24"/>
              </w:rPr>
              <w:t>стратег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я реал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зац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ії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Домашня контрольна робота з теми     </w:t>
            </w:r>
          </w:p>
        </w:tc>
      </w:tr>
      <w:tr w:rsidR="00DB101D" w:rsidRPr="00951A2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 xml:space="preserve">3. </w:t>
            </w:r>
            <w:r w:rsidRPr="00951A2A">
              <w:rPr>
                <w:rStyle w:val="102"/>
                <w:sz w:val="24"/>
                <w:szCs w:val="24"/>
              </w:rPr>
              <w:t>Реформування вищої ос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ві</w:t>
            </w:r>
            <w:r w:rsidRPr="00951A2A">
              <w:rPr>
                <w:rStyle w:val="102"/>
                <w:sz w:val="24"/>
                <w:szCs w:val="24"/>
              </w:rPr>
              <w:t xml:space="preserve">ти 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 xml:space="preserve">в </w:t>
            </w:r>
            <w:r w:rsidRPr="00951A2A">
              <w:rPr>
                <w:rStyle w:val="102"/>
                <w:sz w:val="24"/>
                <w:szCs w:val="24"/>
              </w:rPr>
              <w:t>Укра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їні і</w:t>
            </w:r>
            <w:r w:rsidRPr="00951A2A">
              <w:rPr>
                <w:rStyle w:val="102"/>
                <w:sz w:val="24"/>
                <w:szCs w:val="24"/>
              </w:rPr>
              <w:t xml:space="preserve"> Болонсъкий процес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глосарію, складання логіко-структурних схем, написання рефератів   </w:t>
            </w:r>
          </w:p>
        </w:tc>
      </w:tr>
      <w:tr w:rsidR="00DB101D" w:rsidRPr="00951A2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 xml:space="preserve">4. </w:t>
            </w:r>
            <w:r w:rsidRPr="00951A2A">
              <w:rPr>
                <w:rStyle w:val="102"/>
                <w:sz w:val="24"/>
                <w:szCs w:val="24"/>
              </w:rPr>
              <w:t>У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ні</w:t>
            </w:r>
            <w:r w:rsidRPr="00951A2A">
              <w:rPr>
                <w:rStyle w:val="102"/>
                <w:sz w:val="24"/>
                <w:szCs w:val="24"/>
              </w:rPr>
              <w:t>верси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т</w:t>
            </w:r>
            <w:r w:rsidRPr="00951A2A">
              <w:rPr>
                <w:rStyle w:val="102"/>
                <w:sz w:val="24"/>
                <w:szCs w:val="24"/>
              </w:rPr>
              <w:t>етсъка осв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та в контекст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 xml:space="preserve"> Болонсъкого процесу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глосарію, складання логіко-структурних схем за темою; підготовка до тестування</w:t>
            </w:r>
          </w:p>
        </w:tc>
      </w:tr>
      <w:tr w:rsidR="00DB101D" w:rsidRPr="00951A2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>5. Фундаменталізація та індивідуалізація підготовки фахівців з вищою освітою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Складання глосарію, підготовка до тестування, вивчення матеріалів лекції</w:t>
            </w:r>
          </w:p>
        </w:tc>
      </w:tr>
      <w:tr w:rsidR="00DB101D" w:rsidRPr="00951A2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 xml:space="preserve">6. </w:t>
            </w:r>
            <w:r w:rsidRPr="00951A2A">
              <w:rPr>
                <w:rStyle w:val="102"/>
                <w:sz w:val="24"/>
                <w:szCs w:val="24"/>
              </w:rPr>
              <w:t>Орган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зац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я навчального процесу в ун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верситет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 за умовами Болонського процесу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Складання глосарію, підготовка до тестування, вивчення матеріалів лекції, короткий конспект тези статуту ЖДТУ</w:t>
            </w:r>
          </w:p>
        </w:tc>
      </w:tr>
      <w:tr w:rsidR="00DB101D" w:rsidRPr="00951A2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 xml:space="preserve">7. </w:t>
            </w:r>
            <w:r w:rsidRPr="00951A2A">
              <w:rPr>
                <w:rStyle w:val="102"/>
                <w:sz w:val="24"/>
                <w:szCs w:val="24"/>
              </w:rPr>
              <w:t>Управл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ння вищою осв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тою в Укр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аїні</w:t>
            </w:r>
            <w:r w:rsidRPr="00951A2A">
              <w:rPr>
                <w:rStyle w:val="102"/>
                <w:sz w:val="24"/>
                <w:szCs w:val="24"/>
              </w:rPr>
              <w:t>: стратег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 xml:space="preserve">я його 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в</w:t>
            </w:r>
            <w:r w:rsidRPr="00951A2A">
              <w:rPr>
                <w:rStyle w:val="102"/>
                <w:sz w:val="24"/>
                <w:szCs w:val="24"/>
              </w:rPr>
              <w:t>досконалення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 xml:space="preserve"> в умовах болонської системи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Критичний огляд літератури та інформаційних баз даних</w:t>
            </w:r>
          </w:p>
        </w:tc>
      </w:tr>
      <w:tr w:rsidR="00DB101D" w:rsidRPr="0071496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 xml:space="preserve">8. </w:t>
            </w:r>
            <w:r w:rsidRPr="00951A2A">
              <w:rPr>
                <w:rStyle w:val="102"/>
                <w:sz w:val="24"/>
                <w:szCs w:val="24"/>
              </w:rPr>
              <w:t>Вищ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 xml:space="preserve"> навчалън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 xml:space="preserve"> заклади Укра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їни</w:t>
            </w:r>
            <w:r w:rsidRPr="00951A2A">
              <w:rPr>
                <w:rStyle w:val="102"/>
                <w:sz w:val="24"/>
                <w:szCs w:val="24"/>
              </w:rPr>
              <w:t xml:space="preserve"> та 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Європи в умовах Болонського процесу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інформації     з історії розвитку вузів України та інших країн, написання рефератів, підготовка до брейн-рингу</w:t>
            </w:r>
          </w:p>
        </w:tc>
      </w:tr>
      <w:tr w:rsidR="00DB101D" w:rsidRPr="00951A2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 xml:space="preserve">9. </w:t>
            </w:r>
            <w:r w:rsidRPr="00951A2A">
              <w:rPr>
                <w:rStyle w:val="102"/>
                <w:sz w:val="24"/>
                <w:szCs w:val="24"/>
              </w:rPr>
              <w:t>Стандарт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и</w:t>
            </w:r>
            <w:r w:rsidRPr="00951A2A">
              <w:rPr>
                <w:rStyle w:val="102"/>
                <w:sz w:val="24"/>
                <w:szCs w:val="24"/>
              </w:rPr>
              <w:t xml:space="preserve"> вищо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ї</w:t>
            </w:r>
            <w:r w:rsidRPr="00951A2A">
              <w:rPr>
                <w:rStyle w:val="102"/>
                <w:sz w:val="24"/>
                <w:szCs w:val="24"/>
              </w:rPr>
              <w:t xml:space="preserve"> осв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ти Укр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аїн</w:t>
            </w:r>
            <w:r w:rsidRPr="00951A2A">
              <w:rPr>
                <w:rStyle w:val="102"/>
                <w:sz w:val="24"/>
                <w:szCs w:val="24"/>
              </w:rPr>
              <w:t>и: зм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ст та необх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дн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стъ вдосконалення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 xml:space="preserve"> у світлі Болонського процесу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пропозицій щодо реформування вищої освіти, заповнення анкет, есе на тему : « Сучасний вищий навчальний заклад: мої мрії і реальність»</w:t>
            </w:r>
          </w:p>
        </w:tc>
      </w:tr>
      <w:tr w:rsidR="00DB101D" w:rsidRPr="00951A2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>10. Е</w:t>
            </w:r>
            <w:r w:rsidRPr="00951A2A">
              <w:rPr>
                <w:rStyle w:val="102"/>
                <w:sz w:val="24"/>
                <w:szCs w:val="24"/>
              </w:rPr>
              <w:t>коном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чна осв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та на сучасному ета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пі</w:t>
            </w:r>
            <w:r w:rsidRPr="00951A2A">
              <w:rPr>
                <w:rStyle w:val="102"/>
                <w:sz w:val="24"/>
                <w:szCs w:val="24"/>
              </w:rPr>
              <w:t>: стан, досягнення, модерн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зац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і</w:t>
            </w:r>
            <w:r w:rsidRPr="00951A2A">
              <w:rPr>
                <w:rStyle w:val="102"/>
                <w:sz w:val="24"/>
                <w:szCs w:val="24"/>
              </w:rPr>
              <w:t>я та проблем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>и</w:t>
            </w:r>
            <w:r w:rsidRPr="00951A2A">
              <w:rPr>
                <w:rStyle w:val="102"/>
                <w:sz w:val="24"/>
                <w:szCs w:val="24"/>
              </w:rPr>
              <w:t xml:space="preserve"> розвитку</w:t>
            </w:r>
            <w:r w:rsidRPr="00951A2A">
              <w:rPr>
                <w:rStyle w:val="102"/>
                <w:sz w:val="24"/>
                <w:szCs w:val="24"/>
                <w:lang w:val="uk-UA"/>
              </w:rPr>
              <w:t xml:space="preserve"> в умовах Болонської системи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коротких доповідей та інформації з відповідної теми  </w:t>
            </w:r>
          </w:p>
        </w:tc>
      </w:tr>
      <w:tr w:rsidR="00DB101D" w:rsidRPr="00951A2A" w:rsidTr="00BF2C21">
        <w:tc>
          <w:tcPr>
            <w:tcW w:w="5148" w:type="dxa"/>
          </w:tcPr>
          <w:p w:rsidR="00DB101D" w:rsidRPr="00951A2A" w:rsidRDefault="00DB101D" w:rsidP="00BF2C21">
            <w:pPr>
              <w:pStyle w:val="10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  <w:lang w:val="uk-UA"/>
              </w:rPr>
            </w:pPr>
            <w:r w:rsidRPr="00951A2A">
              <w:rPr>
                <w:rStyle w:val="102"/>
                <w:sz w:val="24"/>
                <w:szCs w:val="24"/>
                <w:lang w:val="uk-UA"/>
              </w:rPr>
              <w:t>11. Науково-методичне забезпечення вищої економічної освіти в Україні: вдосконалення та розвиток його змісту</w:t>
            </w:r>
          </w:p>
        </w:tc>
        <w:tc>
          <w:tcPr>
            <w:tcW w:w="4860" w:type="dxa"/>
          </w:tcPr>
          <w:p w:rsidR="00DB101D" w:rsidRPr="00951A2A" w:rsidRDefault="00DB101D" w:rsidP="00BF2C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A2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коротких доповідей за темою, що вивчається, на прикладі України та країн з високо розвиненою ринковою економікою</w:t>
            </w:r>
          </w:p>
        </w:tc>
      </w:tr>
    </w:tbl>
    <w:p w:rsidR="00DB101D" w:rsidRPr="00951A2A" w:rsidRDefault="00DB101D" w:rsidP="00951A2A">
      <w:pPr>
        <w:shd w:val="clear" w:color="auto" w:fill="FFEEDD"/>
        <w:jc w:val="center"/>
        <w:rPr>
          <w:rFonts w:ascii="Times New Roman" w:hAnsi="Times New Roman"/>
          <w:vanish/>
          <w:color w:val="000000"/>
          <w:sz w:val="24"/>
          <w:szCs w:val="24"/>
          <w:lang w:val="uk-UA"/>
        </w:rPr>
      </w:pPr>
    </w:p>
    <w:p w:rsidR="00DB101D" w:rsidRPr="00951A2A" w:rsidRDefault="00DB101D" w:rsidP="00951A2A">
      <w:pPr>
        <w:rPr>
          <w:rFonts w:ascii="Times New Roman" w:hAnsi="Times New Roman"/>
          <w:sz w:val="24"/>
          <w:szCs w:val="24"/>
        </w:rPr>
      </w:pPr>
    </w:p>
    <w:p w:rsidR="00DB101D" w:rsidRDefault="00DB101D" w:rsidP="00951A2A">
      <w:pPr>
        <w:spacing w:after="0" w:line="360" w:lineRule="auto"/>
        <w:rPr>
          <w:rFonts w:ascii="Times New Roman" w:hAnsi="Times New Roman"/>
          <w:spacing w:val="-1"/>
          <w:sz w:val="24"/>
          <w:szCs w:val="24"/>
          <w:lang w:val="en-US"/>
        </w:rPr>
      </w:pP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         </w:t>
      </w:r>
    </w:p>
    <w:p w:rsidR="00DB101D" w:rsidRDefault="00DB101D" w:rsidP="00951A2A">
      <w:pPr>
        <w:spacing w:after="0" w:line="360" w:lineRule="auto"/>
        <w:rPr>
          <w:rFonts w:ascii="Times New Roman" w:hAnsi="Times New Roman"/>
          <w:spacing w:val="-1"/>
          <w:sz w:val="24"/>
          <w:szCs w:val="24"/>
          <w:lang w:val="en-US"/>
        </w:rPr>
      </w:pPr>
    </w:p>
    <w:p w:rsidR="00DB101D" w:rsidRPr="00EF085E" w:rsidRDefault="00DB101D" w:rsidP="00951A2A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EF085E">
        <w:rPr>
          <w:rFonts w:ascii="Times New Roman" w:hAnsi="Times New Roman"/>
          <w:b/>
          <w:sz w:val="28"/>
          <w:szCs w:val="28"/>
          <w:lang w:val="uk-UA"/>
        </w:rPr>
        <w:t>9. Методи і форми навчання</w:t>
      </w:r>
    </w:p>
    <w:p w:rsidR="00DB101D" w:rsidRPr="00EF085E" w:rsidRDefault="00DB101D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 xml:space="preserve">Викладання навчальної дисципліни базується на таких основних </w:t>
      </w:r>
      <w:r w:rsidRPr="00EF085E">
        <w:rPr>
          <w:rFonts w:ascii="Times New Roman" w:hAnsi="Times New Roman"/>
          <w:b/>
          <w:sz w:val="28"/>
          <w:szCs w:val="28"/>
          <w:lang w:val="uk-UA"/>
        </w:rPr>
        <w:t>методах:</w:t>
      </w:r>
    </w:p>
    <w:p w:rsidR="00DB101D" w:rsidRPr="00EF085E" w:rsidRDefault="00DB101D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а) за рівнем самостійної розумової діяльності студентів:</w:t>
      </w:r>
    </w:p>
    <w:p w:rsidR="00DB101D" w:rsidRPr="00EF085E" w:rsidRDefault="00DB101D" w:rsidP="00751B3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проблемний виклад матеріалу;</w:t>
      </w:r>
    </w:p>
    <w:p w:rsidR="00DB101D" w:rsidRDefault="00DB101D" w:rsidP="00751B3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частково-пошуковий метод;</w:t>
      </w:r>
    </w:p>
    <w:p w:rsidR="00DB101D" w:rsidRPr="00EF085E" w:rsidRDefault="00DB101D" w:rsidP="00751B3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дослідницький метод;</w:t>
      </w:r>
    </w:p>
    <w:p w:rsidR="00DB101D" w:rsidRPr="00EF085E" w:rsidRDefault="00DB101D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б) за характером логіки пізнання:</w:t>
      </w:r>
    </w:p>
    <w:p w:rsidR="00DB101D" w:rsidRPr="00EF085E" w:rsidRDefault="00DB101D" w:rsidP="00751B3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аналітичний метод;</w:t>
      </w:r>
    </w:p>
    <w:p w:rsidR="00DB101D" w:rsidRPr="00EF085E" w:rsidRDefault="00DB101D" w:rsidP="00751B3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метод синтезу;</w:t>
      </w:r>
    </w:p>
    <w:p w:rsidR="00DB101D" w:rsidRPr="00EF085E" w:rsidRDefault="00DB101D" w:rsidP="00751B3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дедуктивний метод;</w:t>
      </w:r>
    </w:p>
    <w:p w:rsidR="00DB101D" w:rsidRPr="00EF085E" w:rsidRDefault="00DB101D" w:rsidP="00751B3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традуктивний метод;</w:t>
      </w:r>
    </w:p>
    <w:p w:rsidR="00DB101D" w:rsidRPr="00EF085E" w:rsidRDefault="00DB101D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в) словесні методи:</w:t>
      </w:r>
    </w:p>
    <w:p w:rsidR="00DB101D" w:rsidRPr="00EF085E" w:rsidRDefault="00DB101D" w:rsidP="00751B37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розповідь, пояснення, лекція, бесіда, робота з книгою;</w:t>
      </w:r>
    </w:p>
    <w:p w:rsidR="00DB101D" w:rsidRPr="00EF085E" w:rsidRDefault="00DB101D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г) метод наочності викладу матеріалу;</w:t>
      </w:r>
    </w:p>
    <w:p w:rsidR="00DB101D" w:rsidRPr="00EF085E" w:rsidRDefault="00DB101D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 xml:space="preserve">д) практичний метод. </w:t>
      </w:r>
    </w:p>
    <w:p w:rsidR="00DB101D" w:rsidRPr="00EF085E" w:rsidRDefault="00DB101D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 xml:space="preserve">Основними </w:t>
      </w:r>
      <w:r w:rsidRPr="00EF085E">
        <w:rPr>
          <w:b/>
          <w:sz w:val="28"/>
          <w:szCs w:val="28"/>
        </w:rPr>
        <w:t xml:space="preserve">формами </w:t>
      </w:r>
      <w:r w:rsidRPr="00EF085E">
        <w:rPr>
          <w:sz w:val="28"/>
          <w:szCs w:val="28"/>
        </w:rPr>
        <w:t>викладання дисципліни є: навчальні заняття, виконання індивідуальних завдань, самостійна робота студентів і контрольні заходи.</w:t>
      </w:r>
    </w:p>
    <w:p w:rsidR="00DB101D" w:rsidRPr="00EF085E" w:rsidRDefault="00DB101D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>Основними видами навчальних (аудиторних) занять є: лекція, семінарське та індивідуальне заняття, консультація.</w:t>
      </w:r>
    </w:p>
    <w:p w:rsidR="00DB101D" w:rsidRPr="00EF085E" w:rsidRDefault="00DB101D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b/>
          <w:sz w:val="28"/>
          <w:szCs w:val="28"/>
        </w:rPr>
        <w:t>Лекція</w:t>
      </w:r>
      <w:r w:rsidRPr="00EF085E">
        <w:rPr>
          <w:sz w:val="28"/>
          <w:szCs w:val="28"/>
        </w:rPr>
        <w:t xml:space="preserve"> є одним з основних видів навчальних занять і, водночас, методів навчання у викладанні даної дисципліни. Вона покликана формувати у студентів основи знань з</w:t>
      </w:r>
      <w:r w:rsidRPr="00EF085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предмету «</w:t>
      </w:r>
      <w:r w:rsidRPr="00EF085E">
        <w:rPr>
          <w:sz w:val="28"/>
          <w:szCs w:val="28"/>
          <w:lang w:val="uk-UA"/>
        </w:rPr>
        <w:t>Університетської освіти</w:t>
      </w:r>
      <w:r>
        <w:rPr>
          <w:sz w:val="28"/>
          <w:szCs w:val="28"/>
        </w:rPr>
        <w:t>»</w:t>
      </w:r>
      <w:r w:rsidRPr="00EF085E">
        <w:rPr>
          <w:sz w:val="28"/>
          <w:szCs w:val="28"/>
        </w:rPr>
        <w:t>, а також визначати напрямок, основний зміст і характер усіх інших видів навчальних занять та самостійної роботи студентів з даної навчальної дисципліни.</w:t>
      </w:r>
    </w:p>
    <w:p w:rsidR="00DB101D" w:rsidRPr="00EF085E" w:rsidRDefault="00DB101D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b/>
          <w:sz w:val="28"/>
          <w:szCs w:val="28"/>
        </w:rPr>
        <w:t xml:space="preserve">Семінарське заняття </w:t>
      </w:r>
      <w:r w:rsidRPr="00EF085E">
        <w:rPr>
          <w:sz w:val="28"/>
          <w:szCs w:val="28"/>
        </w:rPr>
        <w:t>як вид навчального заняття використовується для організації обговорення студентами питань з попередньо визначених тем робочою навчальною програмою. Семінарські заняття проводяться у формі бесіди (просемінар), рецензування та обговорення рефератів і доповідей, дискусій.</w:t>
      </w:r>
    </w:p>
    <w:p w:rsidR="00DB101D" w:rsidRPr="00EF085E" w:rsidRDefault="00DB101D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b/>
          <w:sz w:val="28"/>
          <w:szCs w:val="28"/>
        </w:rPr>
        <w:t>Самостійна робота</w:t>
      </w:r>
      <w:r w:rsidRPr="00EF085E">
        <w:rPr>
          <w:sz w:val="28"/>
          <w:szCs w:val="28"/>
        </w:rPr>
        <w:t xml:space="preserve"> є основним засобом засвоєння студентом навчального матеріалу з даного предмету в час, вільний від обов'язкових навчальних занять.</w:t>
      </w:r>
    </w:p>
    <w:p w:rsidR="00DB101D" w:rsidRPr="00EF085E" w:rsidRDefault="00DB101D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>Самостійна робота студентів забезпечується всіма навчально-методичними засобами, необхідними для вивчення навчальної дисципліни чи окремої теми: підручниками, навчальними та методичними посібниками, конспектами лекцій тощо.</w:t>
      </w:r>
    </w:p>
    <w:p w:rsidR="00DB101D" w:rsidRPr="00EF085E" w:rsidRDefault="00DB101D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>Студентам також рекомендується для самостійного опрацювання відповідна наукова література та періодичні видання.</w:t>
      </w:r>
    </w:p>
    <w:p w:rsidR="00DB101D" w:rsidRPr="00EF085E" w:rsidRDefault="00DB101D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>Методичне забезпечення самостійної роботи студентів передбачає й засоби самоконтролю (тести, пакети контрольних завдань).</w:t>
      </w:r>
    </w:p>
    <w:p w:rsidR="00DB101D" w:rsidRDefault="00DB101D" w:rsidP="00EF0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EF085E" w:rsidRDefault="00DB101D" w:rsidP="00EF085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b/>
          <w:sz w:val="28"/>
          <w:szCs w:val="28"/>
          <w:lang w:val="uk-UA"/>
        </w:rPr>
        <w:t>10.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F085E">
        <w:rPr>
          <w:rFonts w:ascii="Times New Roman" w:hAnsi="Times New Roman"/>
          <w:b/>
          <w:sz w:val="28"/>
          <w:szCs w:val="28"/>
          <w:lang w:val="uk-UA"/>
        </w:rPr>
        <w:t>Методи контролю</w:t>
      </w:r>
    </w:p>
    <w:p w:rsidR="00DB101D" w:rsidRPr="00EF085E" w:rsidRDefault="00DB101D" w:rsidP="00751B37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поточний контроль знань;</w:t>
      </w:r>
    </w:p>
    <w:p w:rsidR="00DB101D" w:rsidRPr="00EF085E" w:rsidRDefault="00DB101D" w:rsidP="00751B37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модульний контроль;</w:t>
      </w:r>
    </w:p>
    <w:p w:rsidR="00DB101D" w:rsidRPr="00EF085E" w:rsidRDefault="00DB101D" w:rsidP="00751B37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підсумковий (семестровий) контроль у формі залік</w:t>
      </w:r>
    </w:p>
    <w:p w:rsidR="00DB101D" w:rsidRPr="00EF085E" w:rsidRDefault="00DB101D" w:rsidP="00751B37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комплексна контрольна робота.</w:t>
      </w:r>
    </w:p>
    <w:p w:rsidR="00DB101D" w:rsidRPr="00EF085E" w:rsidRDefault="00DB101D" w:rsidP="00EF08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085E">
        <w:rPr>
          <w:rFonts w:ascii="Times New Roman" w:hAnsi="Times New Roman"/>
          <w:b/>
          <w:sz w:val="28"/>
          <w:szCs w:val="28"/>
          <w:lang w:val="uk-UA"/>
        </w:rPr>
        <w:t>11. Розподіл балів, які отримують студенти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510"/>
        <w:gridCol w:w="657"/>
        <w:gridCol w:w="729"/>
        <w:gridCol w:w="579"/>
        <w:gridCol w:w="581"/>
        <w:gridCol w:w="665"/>
        <w:gridCol w:w="497"/>
        <w:gridCol w:w="445"/>
        <w:gridCol w:w="583"/>
        <w:gridCol w:w="729"/>
        <w:gridCol w:w="727"/>
        <w:gridCol w:w="1617"/>
        <w:gridCol w:w="1078"/>
      </w:tblGrid>
      <w:tr w:rsidR="00DB101D" w:rsidRPr="00EF085E" w:rsidTr="00536924">
        <w:trPr>
          <w:cantSplit/>
        </w:trPr>
        <w:tc>
          <w:tcPr>
            <w:tcW w:w="3650" w:type="pct"/>
            <w:gridSpan w:val="12"/>
            <w:tcMar>
              <w:left w:w="57" w:type="dxa"/>
              <w:right w:w="57" w:type="dxa"/>
            </w:tcMar>
            <w:vAlign w:val="center"/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тест (екзамен)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  <w:vAlign w:val="center"/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Сума</w:t>
            </w:r>
          </w:p>
        </w:tc>
      </w:tr>
      <w:tr w:rsidR="00DB101D" w:rsidRPr="00EF085E" w:rsidTr="00536924">
        <w:trPr>
          <w:cantSplit/>
        </w:trPr>
        <w:tc>
          <w:tcPr>
            <w:tcW w:w="3650" w:type="pct"/>
            <w:gridSpan w:val="12"/>
            <w:tcMar>
              <w:left w:w="57" w:type="dxa"/>
              <w:right w:w="57" w:type="dxa"/>
            </w:tcMar>
            <w:vAlign w:val="center"/>
          </w:tcPr>
          <w:p w:rsidR="00DB101D" w:rsidRPr="00EF085E" w:rsidRDefault="00DB101D" w:rsidP="0075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81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DB101D" w:rsidRPr="00EF085E" w:rsidTr="00536924">
        <w:trPr>
          <w:cantSplit/>
        </w:trPr>
        <w:tc>
          <w:tcPr>
            <w:tcW w:w="293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Т1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Т3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Т4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Т7</w:t>
            </w:r>
          </w:p>
        </w:tc>
        <w:tc>
          <w:tcPr>
            <w:tcW w:w="249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Т8</w:t>
            </w:r>
          </w:p>
        </w:tc>
        <w:tc>
          <w:tcPr>
            <w:tcW w:w="223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Т9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DB101D" w:rsidRPr="00536924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DB101D" w:rsidRPr="00536924" w:rsidRDefault="00DB101D" w:rsidP="00951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B101D" w:rsidRPr="00536924" w:rsidRDefault="00DB101D" w:rsidP="00951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01D" w:rsidRPr="00EF085E" w:rsidTr="00536924">
        <w:trPr>
          <w:cantSplit/>
        </w:trPr>
        <w:tc>
          <w:tcPr>
            <w:tcW w:w="293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9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3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DB101D" w:rsidRPr="00EF085E" w:rsidRDefault="00DB101D" w:rsidP="0095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DB101D" w:rsidRPr="00EF085E" w:rsidRDefault="00DB101D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B101D" w:rsidRPr="004E4051" w:rsidRDefault="00DB101D" w:rsidP="00EF085E">
      <w:pPr>
        <w:ind w:firstLine="600"/>
        <w:jc w:val="center"/>
        <w:rPr>
          <w:i/>
          <w:sz w:val="24"/>
          <w:lang w:val="uk-UA"/>
        </w:rPr>
      </w:pPr>
    </w:p>
    <w:p w:rsidR="00DB101D" w:rsidRPr="00B75539" w:rsidRDefault="00DB101D" w:rsidP="00B75539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оцінювання: національ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B75539">
        <w:rPr>
          <w:rFonts w:ascii="Times New Roman" w:hAnsi="Times New Roman"/>
          <w:b/>
          <w:bCs/>
          <w:sz w:val="28"/>
          <w:szCs w:val="28"/>
          <w:lang w:val="uk-UA"/>
        </w:rPr>
        <w:t>а та ECTS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9"/>
        <w:gridCol w:w="1357"/>
        <w:gridCol w:w="3560"/>
        <w:gridCol w:w="2977"/>
      </w:tblGrid>
      <w:tr w:rsidR="00DB101D" w:rsidRPr="00B75539" w:rsidTr="00751B37">
        <w:trPr>
          <w:trHeight w:val="450"/>
        </w:trPr>
        <w:tc>
          <w:tcPr>
            <w:tcW w:w="2029" w:type="dxa"/>
            <w:vMerge w:val="restart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6537" w:type="dxa"/>
            <w:gridSpan w:val="2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DB101D" w:rsidRPr="00B75539" w:rsidTr="00751B37">
        <w:trPr>
          <w:trHeight w:val="450"/>
        </w:trPr>
        <w:tc>
          <w:tcPr>
            <w:tcW w:w="2029" w:type="dxa"/>
            <w:vMerge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77" w:type="dxa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DB101D" w:rsidRPr="00B75539" w:rsidTr="00751B37">
        <w:tc>
          <w:tcPr>
            <w:tcW w:w="2029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560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977" w:type="dxa"/>
            <w:vMerge w:val="restart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DB101D" w:rsidRPr="00B75539" w:rsidTr="00751B37">
        <w:trPr>
          <w:trHeight w:val="194"/>
        </w:trPr>
        <w:tc>
          <w:tcPr>
            <w:tcW w:w="2029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560" w:type="dxa"/>
            <w:vMerge w:val="restart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977" w:type="dxa"/>
            <w:vMerge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01D" w:rsidRPr="00B75539" w:rsidTr="00751B37">
        <w:tc>
          <w:tcPr>
            <w:tcW w:w="2029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560" w:type="dxa"/>
            <w:vMerge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01D" w:rsidRPr="00B75539" w:rsidTr="00751B37">
        <w:tc>
          <w:tcPr>
            <w:tcW w:w="2029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560" w:type="dxa"/>
            <w:vMerge w:val="restart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977" w:type="dxa"/>
            <w:vMerge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01D" w:rsidRPr="00B75539" w:rsidTr="00751B37">
        <w:tc>
          <w:tcPr>
            <w:tcW w:w="2029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560" w:type="dxa"/>
            <w:vMerge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01D" w:rsidRPr="00B75539" w:rsidTr="00751B37">
        <w:tc>
          <w:tcPr>
            <w:tcW w:w="2029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560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77" w:type="dxa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DB101D" w:rsidRPr="00B75539" w:rsidTr="00751B37">
        <w:trPr>
          <w:trHeight w:val="708"/>
        </w:trPr>
        <w:tc>
          <w:tcPr>
            <w:tcW w:w="2029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560" w:type="dxa"/>
            <w:vAlign w:val="center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77" w:type="dxa"/>
          </w:tcPr>
          <w:p w:rsidR="00DB101D" w:rsidRPr="00B75539" w:rsidRDefault="00DB101D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DB101D" w:rsidRDefault="00DB101D" w:rsidP="00B7553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B75539" w:rsidRDefault="00DB101D" w:rsidP="00B7553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sz w:val="28"/>
          <w:szCs w:val="28"/>
          <w:lang w:val="uk-UA"/>
        </w:rPr>
        <w:t>13. Методичне забезпечення</w:t>
      </w:r>
    </w:p>
    <w:p w:rsidR="00DB101D" w:rsidRPr="007F4593" w:rsidRDefault="00DB101D" w:rsidP="007F45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F4593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F4593">
        <w:rPr>
          <w:rFonts w:ascii="Times New Roman" w:hAnsi="Times New Roman"/>
          <w:color w:val="000000"/>
          <w:sz w:val="28"/>
          <w:szCs w:val="28"/>
          <w:lang w:val="uk-UA"/>
        </w:rPr>
        <w:t xml:space="preserve">Шпиталенко Г.А., </w:t>
      </w:r>
      <w:r w:rsidRPr="007F4593">
        <w:rPr>
          <w:rFonts w:ascii="Times New Roman" w:hAnsi="Times New Roman"/>
          <w:sz w:val="28"/>
          <w:szCs w:val="28"/>
          <w:lang w:val="uk-UA"/>
        </w:rPr>
        <w:t xml:space="preserve">Методичні вказівки до практичних та семінарських занять </w:t>
      </w:r>
      <w:r w:rsidRPr="007F4593">
        <w:rPr>
          <w:rFonts w:ascii="Times New Roman" w:hAnsi="Times New Roman"/>
          <w:bCs/>
          <w:color w:val="000000"/>
          <w:sz w:val="28"/>
          <w:szCs w:val="28"/>
          <w:lang w:val="uk-UA"/>
        </w:rPr>
        <w:t>та щодо самостійного вивчення дисципліни «Університетська освіта»</w:t>
      </w:r>
      <w:r w:rsidRPr="007F45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4593">
        <w:rPr>
          <w:rFonts w:ascii="Times New Roman" w:hAnsi="Times New Roman"/>
          <w:color w:val="000000"/>
          <w:sz w:val="28"/>
          <w:szCs w:val="28"/>
          <w:lang w:val="uk-UA"/>
        </w:rPr>
        <w:t>для студентів денної та заочної форм навчання спеціальності 6. 030505 «Управління персоналом і економіка праці». – Житомир: ЖДТУ, 2012. – 58 с.</w:t>
      </w:r>
    </w:p>
    <w:p w:rsidR="00DB101D" w:rsidRPr="00B75539" w:rsidRDefault="00DB101D" w:rsidP="007F459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DB101D" w:rsidRPr="00B75539" w:rsidRDefault="00DB101D" w:rsidP="00B7553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sz w:val="28"/>
          <w:szCs w:val="28"/>
          <w:lang w:val="uk-UA"/>
        </w:rPr>
        <w:t>14. Рекомендована література</w:t>
      </w:r>
    </w:p>
    <w:p w:rsidR="00DB101D" w:rsidRPr="00B75539" w:rsidRDefault="00DB101D" w:rsidP="00B7553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Базова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Болонський процес: документи. – К.: вид-во Європ. Університету 2004. – 169 с.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Ректор</w:t>
      </w:r>
      <w:r w:rsidRPr="00B75539">
        <w:rPr>
          <w:rFonts w:ascii="Times New Roman" w:hAnsi="Times New Roman"/>
          <w:sz w:val="28"/>
          <w:szCs w:val="28"/>
        </w:rPr>
        <w:t>ы национальных ВУЗов: авторитетно о Болонском процессе //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539">
        <w:rPr>
          <w:rFonts w:ascii="Times New Roman" w:hAnsi="Times New Roman"/>
          <w:sz w:val="28"/>
          <w:szCs w:val="28"/>
        </w:rPr>
        <w:t>СтуДень.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75539">
        <w:rPr>
          <w:rFonts w:ascii="Times New Roman" w:hAnsi="Times New Roman"/>
          <w:sz w:val="28"/>
          <w:szCs w:val="28"/>
        </w:rPr>
        <w:t>2005.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75539">
        <w:rPr>
          <w:rFonts w:ascii="Times New Roman" w:hAnsi="Times New Roman"/>
          <w:sz w:val="28"/>
          <w:szCs w:val="28"/>
        </w:rPr>
        <w:t>№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539">
        <w:rPr>
          <w:rFonts w:ascii="Times New Roman" w:hAnsi="Times New Roman"/>
          <w:sz w:val="28"/>
          <w:szCs w:val="28"/>
        </w:rPr>
        <w:t>2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B75539">
        <w:rPr>
          <w:rFonts w:ascii="Times New Roman" w:hAnsi="Times New Roman"/>
          <w:sz w:val="28"/>
          <w:szCs w:val="28"/>
        </w:rPr>
        <w:t>5с.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Створюючи зону вищої освіти Європи //Комюніке конференції міністрів вищої освіти. – Берлін, 19 вересня 2003 року.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Спільні декларація міністрів освіти Європи. Болон’я, 19 червня 1999 року // Маркетинг в Україні. – 2004. – №13. – С.66-68.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Сорбонська декларація./узгодження  структури системи вищої освіти в  Європі. – Париж,  Сорбонна ,25 травня 1998 року. 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Інтеграція вищої освіти в європейській освітній простір //Вища освіта, 2007. – №1. 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</w:rPr>
        <w:t xml:space="preserve">Андрусь </w:t>
      </w:r>
      <w:r w:rsidRPr="00B75539">
        <w:rPr>
          <w:rFonts w:ascii="Times New Roman" w:hAnsi="Times New Roman"/>
          <w:sz w:val="28"/>
          <w:szCs w:val="28"/>
          <w:lang w:val="uk-UA"/>
        </w:rPr>
        <w:t>О. Модульно-проектувальний комплекс: освітнє завдання та  методологічна основа // Вища освіта України. –  2004. – №1. – С. 5-9.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В. Теоретико-методологічні засади модернізації вищої  освіти в Україні на рубежі століть. //Вища освіта України. – №2. – 2001. – С. 5.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В. Модернізація педагогічної освіти України в контексті  Болонського процесу //Вища освіта України. –  2004. – №1. – С.5-9.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В. Педагогічна освіта України в стратегії Болонського  процес // Освіта України. – 2004 – №13. – С.4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В. Наука і вища освіта в Україні :міра інтеграції /Ін-т  вищої освіти України. – К.,2009. – 308 с.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В, Руденко Ю. Характер особистості: гармонія  національних і загально людських цінностей, шляхи формування //Вища освіта України. – 2009. – №1. – С. 13-19.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Антошкіна Л.І Еволюція освітньої парадигми: генерація соціального  капіталу і фінансові проблеми //Формування ринкових відносин в Україні. – 2004. – №7(38). – С. 52-56.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Білуха М.Т.Методологія наукових досліджень: Підручник. –  К.:АБУ,2002. – 408 с.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Болонский </w:t>
      </w:r>
      <w:r w:rsidRPr="00B75539">
        <w:rPr>
          <w:rFonts w:ascii="Times New Roman" w:hAnsi="Times New Roman"/>
          <w:sz w:val="28"/>
          <w:szCs w:val="28"/>
        </w:rPr>
        <w:t>процесс пошел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539">
        <w:rPr>
          <w:rFonts w:ascii="Times New Roman" w:hAnsi="Times New Roman"/>
          <w:sz w:val="28"/>
          <w:szCs w:val="28"/>
        </w:rPr>
        <w:t>// Обучение за рубежом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B75539">
        <w:rPr>
          <w:rFonts w:ascii="Times New Roman" w:hAnsi="Times New Roman"/>
          <w:sz w:val="28"/>
          <w:szCs w:val="28"/>
        </w:rPr>
        <w:t>2004.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75539">
        <w:rPr>
          <w:rFonts w:ascii="Times New Roman" w:hAnsi="Times New Roman"/>
          <w:sz w:val="28"/>
          <w:szCs w:val="28"/>
        </w:rPr>
        <w:t>№4.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75539">
        <w:rPr>
          <w:rFonts w:ascii="Times New Roman" w:hAnsi="Times New Roman"/>
          <w:sz w:val="28"/>
          <w:szCs w:val="28"/>
        </w:rPr>
        <w:t>С.45-46.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Болюбаш Я. Чи визнаватиме Європа Українські дипломи про вищу освіту?  // Сучасна освіта. – 2004. – №3. – С.10-11.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Болюбаш Я. Болонський процес: подолання стереотипів // Освіта України. –2004. – №21. – С.5.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Владимир Янковський. Болонский процесс: путем европейской                      интеграции //Зеркало недели. – № 40 (465) 18 - 24 октября 2003 г. 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Вища освіта України і Болонський процес. Навчальній посібник / Ред. В.Г. Кремінь. – Тернопіль, «Богдан», 2004. – 368 с.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Гребенюк В. Болонський процес і традиції української освіти /  В.Гребенюк, Є.Євсєєв // Новий колегіум. – 2004. – №3. – С. 43-48.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Золотарьова І.М. Курс лекцій, тестові завдання, методичні вказівки до  практичних занять та самостійної роботи з дисципліни «Університетська  освіта». – Харків. – ХНАМГ, 2008.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Козлакова Г. Інформатизація навчального процесу – передумова  інтеграції до європейського освітнього простору // Освіта.–2004. – № 33. – С. 2. 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Колот А.М. Реализац</w:t>
      </w:r>
      <w:r w:rsidRPr="00B75539">
        <w:rPr>
          <w:rFonts w:ascii="Times New Roman" w:hAnsi="Times New Roman"/>
          <w:sz w:val="28"/>
          <w:szCs w:val="28"/>
        </w:rPr>
        <w:t xml:space="preserve">ия основных принципов Болонской декларации при 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539">
        <w:rPr>
          <w:rFonts w:ascii="Times New Roman" w:hAnsi="Times New Roman"/>
          <w:sz w:val="28"/>
          <w:szCs w:val="28"/>
        </w:rPr>
        <w:t xml:space="preserve">подготовке специалистов экономического профиля //Высшая школа. – </w:t>
      </w:r>
      <w:r w:rsidRPr="00B75539">
        <w:rPr>
          <w:rFonts w:ascii="Times New Roman" w:hAnsi="Times New Roman"/>
          <w:sz w:val="28"/>
          <w:szCs w:val="28"/>
          <w:lang w:val="uk-UA"/>
        </w:rPr>
        <w:t>2004. – №2-3. – С. 90-101.</w:t>
      </w:r>
    </w:p>
    <w:p w:rsidR="00DB101D" w:rsidRPr="00B75539" w:rsidRDefault="00DB101D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Коровльов Б. Методична складова Болонського процесу //Освіта. – 2004. –№26. – С.2.</w:t>
      </w:r>
    </w:p>
    <w:p w:rsidR="00DB101D" w:rsidRPr="00B75539" w:rsidRDefault="00DB101D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25. Корсак К. Образо</w:t>
      </w:r>
      <w:r w:rsidRPr="00B75539">
        <w:rPr>
          <w:rFonts w:ascii="Times New Roman" w:hAnsi="Times New Roman"/>
          <w:sz w:val="28"/>
          <w:szCs w:val="28"/>
        </w:rPr>
        <w:t xml:space="preserve">вание нового тысячелетия: применимы ли стандарты? // 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Стандарты и мониторинг. – № 6. – 2001. – С.31. </w:t>
      </w:r>
    </w:p>
    <w:p w:rsidR="00DB101D" w:rsidRPr="00B75539" w:rsidRDefault="00DB101D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26. Основні засади розвитку вищої освіти України в контексті Болонського процесу. – За ред. Кременя В.Г. –Тернопіль, 2004.</w:t>
      </w:r>
    </w:p>
    <w:p w:rsidR="00DB101D" w:rsidRPr="00B75539" w:rsidRDefault="00DB101D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27. Основи психології та педагогіки.- За ред.Степанова О.М., Фіцука Київ, 2003.</w:t>
      </w:r>
    </w:p>
    <w:p w:rsidR="00DB101D" w:rsidRPr="00B75539" w:rsidRDefault="00DB101D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28. Педагогічні технології: теорія та пратика. Навч.-методичний посібник. – За ред. Гриньової М.В. – Полтава, 2006.</w:t>
      </w:r>
    </w:p>
    <w:p w:rsidR="00DB101D" w:rsidRPr="00B75539" w:rsidRDefault="00DB101D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29. Рудавський Ю. Кредитно-модульна система організації навчального процесу як необхідна умова інтеграції вищої технічної освіти в Україні в європейській освітній простір // Аудиторія. – 2004. – № 10. – С. 4-5.</w:t>
      </w:r>
    </w:p>
    <w:p w:rsidR="00DB101D" w:rsidRPr="00B75539" w:rsidRDefault="00DB101D" w:rsidP="00B75539">
      <w:pPr>
        <w:tabs>
          <w:tab w:val="num" w:pos="0"/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30. Сайдаметова З.С. Кредитно – модульна система і вибір навчальної траєкторії // Нові технології навчання. – 2006. – Вип. 43.</w:t>
      </w:r>
    </w:p>
    <w:p w:rsidR="00DB101D" w:rsidRPr="00B75539" w:rsidRDefault="00DB101D" w:rsidP="00B75539">
      <w:pPr>
        <w:tabs>
          <w:tab w:val="num" w:pos="0"/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31.  Семиноженко В. Освіта має починатися зі статусу вчителя в суспільстві // Освіта. – 2004. – №7. –  С.1.</w:t>
      </w:r>
    </w:p>
    <w:p w:rsidR="00DB101D" w:rsidRPr="00B75539" w:rsidRDefault="00DB101D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Сікорський П. Кредитно-модульна технологія у вищих навчальних закладах // Шлях освіти. – 2004. – №3. – С.29-38.</w:t>
      </w:r>
    </w:p>
    <w:p w:rsidR="00DB101D" w:rsidRPr="00B75539" w:rsidRDefault="00DB101D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Сітшаєва З.З. Організайно-методичне забезпечення кредитно-модульної системи організації навчального процесу // Нові технології навчання. – 2006. – № 44.</w:t>
      </w:r>
    </w:p>
    <w:p w:rsidR="00DB101D" w:rsidRPr="00B75539" w:rsidRDefault="00DB101D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Степко М.Ф. Вища освіта України: наступні етапи модернізації // Освіта України. – 2004. – № 54-55. – С. 4-5.</w:t>
      </w:r>
    </w:p>
    <w:p w:rsidR="00DB101D" w:rsidRPr="00B75539" w:rsidRDefault="00DB101D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Таланова Ж. Взаємозв’язок підготовки кадрів вищої кваліфікації і дослідницько-інноваційного потенціалу в регіонах України та країнах ОЕСР: статистично-кореляційний і порівняльний аналіз // Вища освіта України. – 2009. – №1. – С. 106-112.</w:t>
      </w:r>
    </w:p>
    <w:p w:rsidR="00DB101D" w:rsidRPr="00B75539" w:rsidRDefault="00DB101D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Тимошенко О. Особистісна спрямованість освіти як відповідь на виклики глобалізації // Вища освіта України. – 2009. – № 1. – С. 67-72.</w:t>
      </w:r>
    </w:p>
    <w:p w:rsidR="00DB101D" w:rsidRDefault="00DB101D" w:rsidP="00B7553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B101D" w:rsidRDefault="00DB101D" w:rsidP="00B7553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B101D" w:rsidRPr="00B75539" w:rsidRDefault="00DB101D" w:rsidP="00B7553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sz w:val="28"/>
          <w:szCs w:val="28"/>
          <w:lang w:val="uk-UA"/>
        </w:rPr>
        <w:t>15. Інформаційні ресурси</w:t>
      </w:r>
    </w:p>
    <w:p w:rsidR="00DB101D" w:rsidRPr="002B2BF9" w:rsidRDefault="00DB101D" w:rsidP="002B2B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2BF9">
        <w:rPr>
          <w:rFonts w:ascii="Times New Roman" w:hAnsi="Times New Roman"/>
          <w:sz w:val="28"/>
          <w:szCs w:val="28"/>
          <w:lang w:val="uk-UA"/>
        </w:rPr>
        <w:t>Інформаційне забезпечення дисципліни включає в себе:</w:t>
      </w:r>
    </w:p>
    <w:p w:rsidR="00DB101D" w:rsidRPr="002B2BF9" w:rsidRDefault="00DB101D" w:rsidP="002B2B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2BF9">
        <w:rPr>
          <w:rFonts w:ascii="Times New Roman" w:hAnsi="Times New Roman"/>
          <w:sz w:val="28"/>
          <w:szCs w:val="28"/>
          <w:lang w:val="uk-UA"/>
        </w:rPr>
        <w:t>– літературні джерела;</w:t>
      </w:r>
    </w:p>
    <w:p w:rsidR="00DB101D" w:rsidRPr="002B2BF9" w:rsidRDefault="00DB101D" w:rsidP="002B2B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2BF9">
        <w:rPr>
          <w:rFonts w:ascii="Times New Roman" w:hAnsi="Times New Roman"/>
          <w:sz w:val="28"/>
          <w:szCs w:val="28"/>
          <w:lang w:val="uk-UA"/>
        </w:rPr>
        <w:t>– статистичні дані, джерелом яких є офіційний сайт Державного комітету статистики України;</w:t>
      </w:r>
    </w:p>
    <w:p w:rsidR="00DB101D" w:rsidRPr="002B2BF9" w:rsidRDefault="00DB101D" w:rsidP="002B2B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2BF9">
        <w:rPr>
          <w:rFonts w:ascii="Times New Roman" w:hAnsi="Times New Roman"/>
          <w:sz w:val="28"/>
          <w:szCs w:val="28"/>
          <w:lang w:val="uk-UA"/>
        </w:rPr>
        <w:t>– офіційні сайти інформаційних агенцій в Інтернеті.</w:t>
      </w:r>
    </w:p>
    <w:p w:rsidR="00DB101D" w:rsidRPr="00B75539" w:rsidRDefault="00DB101D" w:rsidP="00B7553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101D" w:rsidRPr="00B75539" w:rsidRDefault="00DB10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B101D" w:rsidRPr="00B75539" w:rsidSect="005369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2F6"/>
    <w:multiLevelType w:val="hybridMultilevel"/>
    <w:tmpl w:val="47BECFBA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BE7CBB"/>
    <w:multiLevelType w:val="hybridMultilevel"/>
    <w:tmpl w:val="0C94DAF0"/>
    <w:lvl w:ilvl="0" w:tplc="0D4C661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2350E9F"/>
    <w:multiLevelType w:val="hybridMultilevel"/>
    <w:tmpl w:val="4CD8686C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646D5E"/>
    <w:multiLevelType w:val="hybridMultilevel"/>
    <w:tmpl w:val="1CF095CA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127F3E"/>
    <w:multiLevelType w:val="hybridMultilevel"/>
    <w:tmpl w:val="A42A8E6C"/>
    <w:lvl w:ilvl="0" w:tplc="D948188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5">
    <w:nsid w:val="5BFA5170"/>
    <w:multiLevelType w:val="hybridMultilevel"/>
    <w:tmpl w:val="3F9E1A5A"/>
    <w:lvl w:ilvl="0" w:tplc="7F72DE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1E8AC90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hint="default"/>
      </w:rPr>
    </w:lvl>
    <w:lvl w:ilvl="2" w:tplc="6BD2F95A">
      <w:start w:val="2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1F3926"/>
    <w:multiLevelType w:val="hybridMultilevel"/>
    <w:tmpl w:val="398ADF44"/>
    <w:lvl w:ilvl="0" w:tplc="2E582F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F0F7BDC"/>
    <w:multiLevelType w:val="hybridMultilevel"/>
    <w:tmpl w:val="C964A994"/>
    <w:lvl w:ilvl="0" w:tplc="041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4D7731"/>
    <w:multiLevelType w:val="hybridMultilevel"/>
    <w:tmpl w:val="8BCC7A20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515E6B"/>
    <w:multiLevelType w:val="hybridMultilevel"/>
    <w:tmpl w:val="A42E07F4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19C9E4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C042E1"/>
    <w:multiLevelType w:val="hybridMultilevel"/>
    <w:tmpl w:val="E196B192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13A"/>
    <w:rsid w:val="0000041A"/>
    <w:rsid w:val="00017065"/>
    <w:rsid w:val="0004319B"/>
    <w:rsid w:val="000D15D2"/>
    <w:rsid w:val="00277FC9"/>
    <w:rsid w:val="002B2BF9"/>
    <w:rsid w:val="003155B4"/>
    <w:rsid w:val="00316EC8"/>
    <w:rsid w:val="003E1696"/>
    <w:rsid w:val="003E430B"/>
    <w:rsid w:val="00411925"/>
    <w:rsid w:val="00451D46"/>
    <w:rsid w:val="00466596"/>
    <w:rsid w:val="004E4051"/>
    <w:rsid w:val="004E7E90"/>
    <w:rsid w:val="005228C1"/>
    <w:rsid w:val="00536924"/>
    <w:rsid w:val="0056022D"/>
    <w:rsid w:val="0063713A"/>
    <w:rsid w:val="00687C22"/>
    <w:rsid w:val="006C058B"/>
    <w:rsid w:val="006F0EE7"/>
    <w:rsid w:val="0071496A"/>
    <w:rsid w:val="00751B37"/>
    <w:rsid w:val="007F04F1"/>
    <w:rsid w:val="007F4593"/>
    <w:rsid w:val="00820369"/>
    <w:rsid w:val="00904B52"/>
    <w:rsid w:val="00951A2A"/>
    <w:rsid w:val="00986817"/>
    <w:rsid w:val="00A14906"/>
    <w:rsid w:val="00A80446"/>
    <w:rsid w:val="00AA7474"/>
    <w:rsid w:val="00AC0C9D"/>
    <w:rsid w:val="00AD7850"/>
    <w:rsid w:val="00AF2BC1"/>
    <w:rsid w:val="00B75539"/>
    <w:rsid w:val="00BA60B1"/>
    <w:rsid w:val="00BF2C21"/>
    <w:rsid w:val="00BF38BD"/>
    <w:rsid w:val="00C56256"/>
    <w:rsid w:val="00CB3483"/>
    <w:rsid w:val="00CB4FAE"/>
    <w:rsid w:val="00CE4AF9"/>
    <w:rsid w:val="00D110BC"/>
    <w:rsid w:val="00D24DE8"/>
    <w:rsid w:val="00D615E9"/>
    <w:rsid w:val="00DB101D"/>
    <w:rsid w:val="00DF4D0E"/>
    <w:rsid w:val="00E621C1"/>
    <w:rsid w:val="00E70FFB"/>
    <w:rsid w:val="00E73C41"/>
    <w:rsid w:val="00ED514D"/>
    <w:rsid w:val="00EF085E"/>
    <w:rsid w:val="00F0493C"/>
    <w:rsid w:val="00F15B97"/>
    <w:rsid w:val="00F6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3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71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E7E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713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16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13A"/>
    <w:rPr>
      <w:rFonts w:cs="Times New Roman"/>
      <w:i/>
      <w:iCs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63713A"/>
    <w:pPr>
      <w:shd w:val="clear" w:color="auto" w:fill="FFFFFF"/>
      <w:spacing w:after="0" w:line="274" w:lineRule="exact"/>
    </w:pPr>
    <w:rPr>
      <w:rFonts w:eastAsia="Calibri"/>
      <w:i/>
      <w:iCs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E1696"/>
    <w:rPr>
      <w:rFonts w:eastAsia="Times New Roman" w:cs="Times New Roman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63713A"/>
    <w:rPr>
      <w:rFonts w:ascii="Calibri" w:hAnsi="Calibri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63713A"/>
    <w:pPr>
      <w:ind w:left="720"/>
      <w:contextualSpacing/>
    </w:pPr>
  </w:style>
  <w:style w:type="paragraph" w:customStyle="1" w:styleId="10">
    <w:name w:val="Обычный1"/>
    <w:uiPriority w:val="99"/>
    <w:rsid w:val="00BA60B1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4E7E9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E7E90"/>
    <w:rPr>
      <w:rFonts w:cs="Times New Roman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951A2A"/>
    <w:rPr>
      <w:rFonts w:cs="Times New Roman"/>
      <w:i/>
      <w:iCs/>
      <w:sz w:val="22"/>
      <w:szCs w:val="22"/>
      <w:lang w:bidi="ar-SA"/>
    </w:rPr>
  </w:style>
  <w:style w:type="character" w:customStyle="1" w:styleId="102">
    <w:name w:val="Основной текст (10)"/>
    <w:basedOn w:val="100"/>
    <w:uiPriority w:val="99"/>
    <w:rsid w:val="00951A2A"/>
  </w:style>
  <w:style w:type="paragraph" w:customStyle="1" w:styleId="101">
    <w:name w:val="Основной текст (10)1"/>
    <w:basedOn w:val="Normal"/>
    <w:link w:val="100"/>
    <w:uiPriority w:val="99"/>
    <w:rsid w:val="00951A2A"/>
    <w:pPr>
      <w:shd w:val="clear" w:color="auto" w:fill="FFFFFF"/>
      <w:spacing w:after="0" w:line="274" w:lineRule="exact"/>
    </w:pPr>
    <w:rPr>
      <w:rFonts w:ascii="Times New Roman" w:eastAsia="Calibri" w:hAnsi="Times New Roman"/>
      <w:i/>
      <w:i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9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16</Pages>
  <Words>4125</Words>
  <Characters>23517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18</cp:revision>
  <cp:lastPrinted>2012-10-23T11:52:00Z</cp:lastPrinted>
  <dcterms:created xsi:type="dcterms:W3CDTF">2012-09-29T20:11:00Z</dcterms:created>
  <dcterms:modified xsi:type="dcterms:W3CDTF">2014-10-06T14:52:00Z</dcterms:modified>
</cp:coreProperties>
</file>