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30" w:rsidRPr="007F04F1" w:rsidRDefault="004B2330" w:rsidP="00CE4AF9">
      <w:pPr>
        <w:pStyle w:val="Heading1"/>
        <w:numPr>
          <w:ilvl w:val="0"/>
          <w:numId w:val="1"/>
        </w:numPr>
        <w:spacing w:before="0" w:after="0" w:line="360" w:lineRule="auto"/>
        <w:ind w:left="0" w:firstLin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F04F1">
        <w:rPr>
          <w:rFonts w:ascii="Times New Roman" w:hAnsi="Times New Roman" w:cs="Times New Roman"/>
          <w:bCs w:val="0"/>
          <w:sz w:val="28"/>
          <w:szCs w:val="28"/>
        </w:rPr>
        <w:t>Опис навчальної дисципліни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180"/>
        <w:gridCol w:w="2065"/>
        <w:gridCol w:w="2126"/>
      </w:tblGrid>
      <w:tr w:rsidR="004B2330" w:rsidRPr="00CE4AF9" w:rsidTr="00CE4AF9">
        <w:trPr>
          <w:trHeight w:val="803"/>
        </w:trPr>
        <w:tc>
          <w:tcPr>
            <w:tcW w:w="2552" w:type="dxa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180" w:type="dxa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4B2330" w:rsidRPr="00CE4AF9" w:rsidTr="00536924">
        <w:trPr>
          <w:trHeight w:val="549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126" w:type="dxa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4B2330" w:rsidRPr="00CE4AF9" w:rsidTr="00CE4AF9">
        <w:trPr>
          <w:trHeight w:val="409"/>
        </w:trPr>
        <w:tc>
          <w:tcPr>
            <w:tcW w:w="2552" w:type="dxa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кредитів  – </w:t>
            </w: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80" w:type="dxa"/>
          </w:tcPr>
          <w:p w:rsidR="004B2330" w:rsidRPr="00536924" w:rsidRDefault="004B2330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4B2330" w:rsidRPr="00CE4AF9" w:rsidRDefault="004B2330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>0305 «Економіка і підприємництво»</w:t>
            </w:r>
          </w:p>
        </w:tc>
        <w:tc>
          <w:tcPr>
            <w:tcW w:w="4191" w:type="dxa"/>
            <w:gridSpan w:val="2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4B2330" w:rsidRPr="00CE4AF9" w:rsidTr="00CE4AF9">
        <w:trPr>
          <w:trHeight w:val="409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Align w:val="center"/>
          </w:tcPr>
          <w:p w:rsidR="004B2330" w:rsidRPr="00536924" w:rsidRDefault="004B2330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Напрям підготовки </w:t>
            </w:r>
          </w:p>
          <w:p w:rsidR="004B2330" w:rsidRPr="00CE4AF9" w:rsidRDefault="004B2330" w:rsidP="00536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sz w:val="24"/>
                <w:szCs w:val="24"/>
                <w:lang w:val="uk-UA"/>
              </w:rPr>
              <w:t>6.030505 «Управління персоналом і економіка праці»</w:t>
            </w:r>
          </w:p>
        </w:tc>
        <w:tc>
          <w:tcPr>
            <w:tcW w:w="4191" w:type="dxa"/>
            <w:gridSpan w:val="2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30" w:rsidRPr="00CE4AF9" w:rsidTr="00CE4AF9">
        <w:trPr>
          <w:trHeight w:val="170"/>
        </w:trPr>
        <w:tc>
          <w:tcPr>
            <w:tcW w:w="2552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Модулів – </w:t>
            </w:r>
          </w:p>
        </w:tc>
        <w:tc>
          <w:tcPr>
            <w:tcW w:w="3180" w:type="dxa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(професійне</w:t>
            </w:r>
          </w:p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спрямування):</w:t>
            </w:r>
          </w:p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</w:p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4B2330" w:rsidRPr="00CE4AF9" w:rsidTr="00536924">
        <w:trPr>
          <w:trHeight w:val="207"/>
        </w:trPr>
        <w:tc>
          <w:tcPr>
            <w:tcW w:w="2552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Змістових модулів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126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B2330" w:rsidRPr="00CE4AF9" w:rsidTr="00CE4AF9">
        <w:trPr>
          <w:trHeight w:val="232"/>
        </w:trPr>
        <w:tc>
          <w:tcPr>
            <w:tcW w:w="2552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науково-дослідне завдання ___________</w:t>
            </w:r>
          </w:p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(назва)</w:t>
            </w: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4B2330" w:rsidRPr="00CE4AF9" w:rsidTr="00536924">
        <w:trPr>
          <w:trHeight w:val="323"/>
        </w:trPr>
        <w:tc>
          <w:tcPr>
            <w:tcW w:w="2552" w:type="dxa"/>
            <w:vMerge w:val="restart"/>
            <w:vAlign w:val="center"/>
          </w:tcPr>
          <w:p w:rsidR="004B2330" w:rsidRPr="003155B4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126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B2330" w:rsidRPr="00CE4AF9" w:rsidTr="00CE4AF9">
        <w:trPr>
          <w:trHeight w:val="322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4B2330" w:rsidRPr="00CE4AF9" w:rsidTr="00536924">
        <w:trPr>
          <w:trHeight w:val="320"/>
        </w:trPr>
        <w:tc>
          <w:tcPr>
            <w:tcW w:w="2552" w:type="dxa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</w:p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- </w:t>
            </w:r>
          </w:p>
        </w:tc>
        <w:tc>
          <w:tcPr>
            <w:tcW w:w="3180" w:type="dxa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Освітньо-кваліфікаційний рівень: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бакалавр</w:t>
            </w:r>
          </w:p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126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B2330" w:rsidRPr="00CE4AF9" w:rsidTr="00CE4AF9">
        <w:trPr>
          <w:trHeight w:val="320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Практичні, семінарські</w:t>
            </w:r>
          </w:p>
        </w:tc>
      </w:tr>
      <w:tr w:rsidR="004B2330" w:rsidRPr="00CE4AF9" w:rsidTr="00536924">
        <w:trPr>
          <w:trHeight w:val="320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126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B2330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</w:tr>
      <w:tr w:rsidR="004B2330" w:rsidRPr="00CE4AF9" w:rsidTr="00536924">
        <w:trPr>
          <w:trHeight w:val="138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B2330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B2330" w:rsidRPr="00CE4AF9" w:rsidTr="00536924">
        <w:trPr>
          <w:trHeight w:val="138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126" w:type="dxa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B2330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Індивідуальні завдання: </w:t>
            </w:r>
            <w:r w:rsidRPr="00CE4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</w:tr>
      <w:tr w:rsidR="004B2330" w:rsidRPr="00CE4AF9" w:rsidTr="00CE4AF9">
        <w:trPr>
          <w:trHeight w:val="138"/>
        </w:trPr>
        <w:tc>
          <w:tcPr>
            <w:tcW w:w="2552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91" w:type="dxa"/>
            <w:gridSpan w:val="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369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контролю:</w:t>
            </w:r>
            <w:r w:rsidRPr="00CE4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залік</w:t>
            </w:r>
          </w:p>
        </w:tc>
      </w:tr>
    </w:tbl>
    <w:p w:rsidR="004B2330" w:rsidRPr="0063713A" w:rsidRDefault="004B2330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bCs/>
          <w:sz w:val="28"/>
          <w:szCs w:val="28"/>
          <w:lang w:val="uk-UA"/>
        </w:rPr>
        <w:t>Примітка</w:t>
      </w:r>
      <w:r w:rsidRPr="0063713A">
        <w:rPr>
          <w:rFonts w:ascii="Times New Roman" w:hAnsi="Times New Roman"/>
          <w:sz w:val="28"/>
          <w:szCs w:val="28"/>
          <w:lang w:val="uk-UA"/>
        </w:rPr>
        <w:t>.</w:t>
      </w:r>
    </w:p>
    <w:p w:rsidR="004B2330" w:rsidRPr="0063713A" w:rsidRDefault="004B2330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4B2330" w:rsidRPr="0063713A" w:rsidRDefault="004B2330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для денної форми навчання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1:1,2;</w:t>
      </w:r>
    </w:p>
    <w:p w:rsidR="004B2330" w:rsidRPr="0063713A" w:rsidRDefault="004B2330" w:rsidP="005369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для заочної форми навчання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1:8.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63713A">
      <w:pPr>
        <w:pStyle w:val="ListParagraph"/>
        <w:numPr>
          <w:ilvl w:val="0"/>
          <w:numId w:val="1"/>
        </w:numPr>
        <w:tabs>
          <w:tab w:val="left" w:pos="39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4B2330" w:rsidRPr="0063713A" w:rsidRDefault="004B2330" w:rsidP="006371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Інноваційний розвиток системи освіти й науки є найважливішим в системі стратегічних напрямів соціально-економічного розвитку України, оскільки рівень розвитку освітньої сфери визначає рівень соціально-економічного розвитку країни. Рівень культури реалізації системи суспільних відносин визначається ступенем освіченості людини і є міцним чинником  подальшого розвитку суспільства.</w:t>
      </w:r>
      <w:r w:rsidRPr="0063713A">
        <w:rPr>
          <w:rFonts w:ascii="Times New Roman" w:hAnsi="Times New Roman"/>
          <w:sz w:val="28"/>
          <w:szCs w:val="28"/>
        </w:rPr>
        <w:t xml:space="preserve"> </w:t>
      </w:r>
    </w:p>
    <w:p w:rsidR="004B2330" w:rsidRPr="0063713A" w:rsidRDefault="004B2330" w:rsidP="006371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Сучасному фахівцю з управління персоналом і економіки праці потрібне вміння керувати й управляти трудовим потенціалом підприємства по-новому, використовуючи ринкові й державні методи його регулювання. При цьому нові знання й уміння сучасних студентів повинні бути підкріплені серйозним фундаментом минулого досвіду попередніх поколінь  фахівців з даної галузі.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Соціально-економічний розвиток держави  значною мірою буде залежати від інтелектуального потенціалу, рівня професійної освіти його громадян.</w:t>
      </w:r>
    </w:p>
    <w:p w:rsidR="004B2330" w:rsidRPr="0063713A" w:rsidRDefault="004B2330" w:rsidP="006371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Розуміння цього потребує нових сучасних підходів до навчальної та  виховної роботи серед студентів, розповсюдження знань щодо формування й становлення системи освіти як такої та системи університетської освіти зокрема. Такому сприяє курс «Університетська освіта», який є  складовою підготовки бакалаврів на початковому етапі отримання ними вищої освіти. </w:t>
      </w:r>
    </w:p>
    <w:p w:rsidR="004B2330" w:rsidRPr="0063713A" w:rsidRDefault="004B2330" w:rsidP="006371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Мета курсу</w:t>
      </w:r>
      <w:r w:rsidRPr="0063713A">
        <w:rPr>
          <w:rFonts w:ascii="Times New Roman" w:hAnsi="Times New Roman"/>
          <w:sz w:val="28"/>
          <w:szCs w:val="28"/>
          <w:lang w:val="uk-UA"/>
        </w:rPr>
        <w:t>: сформувати у студентів необхідну базу знань, понять та навичок, які є не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3713A">
        <w:rPr>
          <w:rFonts w:ascii="Times New Roman" w:hAnsi="Times New Roman"/>
          <w:sz w:val="28"/>
          <w:szCs w:val="28"/>
          <w:lang w:val="uk-UA"/>
        </w:rPr>
        <w:t>бхідними для процесі навчання в університеті та здобуття к</w:t>
      </w:r>
      <w:r>
        <w:rPr>
          <w:rFonts w:ascii="Times New Roman" w:hAnsi="Times New Roman"/>
          <w:sz w:val="28"/>
          <w:szCs w:val="28"/>
          <w:lang w:val="uk-UA"/>
        </w:rPr>
        <w:t>валіфі</w:t>
      </w:r>
      <w:r w:rsidRPr="0063713A">
        <w:rPr>
          <w:rFonts w:ascii="Times New Roman" w:hAnsi="Times New Roman"/>
          <w:sz w:val="28"/>
          <w:szCs w:val="28"/>
          <w:lang w:val="uk-UA"/>
        </w:rPr>
        <w:t>кації фахівця з управління персоналом і економіки праці.</w:t>
      </w:r>
    </w:p>
    <w:p w:rsidR="004B2330" w:rsidRPr="0063713A" w:rsidRDefault="004B2330" w:rsidP="006371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Завдання курсу: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ознайомлення студентів з системою університетської освіти в світі та в Україні;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вивчення історії формування та розвитку найкращих відомих університетів світу;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вивчення історії розвитку відомих університетів України;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ознайомлення з національною концепцією розвитку вищої (зокрема економічної) освіти;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ознайомлення зі світовими стандартами вищої освіти;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ознайомлення з національними програмами реформування вищої освіти в Україні в аспекті Болонської угоди;</w:t>
      </w:r>
    </w:p>
    <w:p w:rsidR="004B2330" w:rsidRPr="0063713A" w:rsidRDefault="004B2330" w:rsidP="0063713A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ознайомлення з вищими досягненнями економічної науки в світі та в Україні;</w:t>
      </w:r>
    </w:p>
    <w:p w:rsidR="004B2330" w:rsidRPr="0063713A" w:rsidRDefault="004B2330" w:rsidP="0063713A">
      <w:pPr>
        <w:pStyle w:val="ListParagraph"/>
        <w:numPr>
          <w:ilvl w:val="0"/>
          <w:numId w:val="3"/>
        </w:numPr>
        <w:tabs>
          <w:tab w:val="left" w:pos="284"/>
          <w:tab w:val="left" w:pos="567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ознайомлення з принципами організації й структурою студентського самоврядування.</w:t>
      </w:r>
    </w:p>
    <w:p w:rsidR="004B2330" w:rsidRPr="0063713A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sz w:val="28"/>
          <w:szCs w:val="28"/>
          <w:lang w:val="uk-UA"/>
        </w:rPr>
        <w:t xml:space="preserve">У результаті вивчення навчальної дисципліни студент повинен знати: </w:t>
      </w:r>
    </w:p>
    <w:p w:rsidR="004B2330" w:rsidRPr="0063713A" w:rsidRDefault="004B2330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основні положення нормативних актів у сфері вищої освіти;</w:t>
      </w:r>
    </w:p>
    <w:p w:rsidR="004B2330" w:rsidRPr="0063713A" w:rsidRDefault="004B2330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особливості системи університетської освіти в світі та в Україні;</w:t>
      </w:r>
    </w:p>
    <w:p w:rsidR="004B2330" w:rsidRPr="0063713A" w:rsidRDefault="004B2330" w:rsidP="0063713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зміст основних положень локальних нормативних актів ЖДТУ, які визначають процес та особливості навчання в ЖДТУ; </w:t>
      </w:r>
    </w:p>
    <w:p w:rsidR="004B2330" w:rsidRPr="0063713A" w:rsidRDefault="004B2330" w:rsidP="0063713A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 основні етапи історії формування та розвитку найкращих відомих університетів світу;</w:t>
      </w:r>
    </w:p>
    <w:p w:rsidR="004B2330" w:rsidRPr="0063713A" w:rsidRDefault="004B2330" w:rsidP="0063713A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 сутність реформування вищої освіти в Україні в аспекті Болонської угоди;</w:t>
      </w: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У результаті вивчення навчальної дисципліни студент повинен вміти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орієнтуватися в</w:t>
      </w:r>
      <w:r>
        <w:rPr>
          <w:rFonts w:ascii="Times New Roman" w:hAnsi="Times New Roman"/>
          <w:sz w:val="28"/>
          <w:szCs w:val="28"/>
          <w:lang w:val="uk-UA"/>
        </w:rPr>
        <w:t xml:space="preserve"> системі нормативних актів у сфе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рі вищої освіти та застосовувати їх у навчальній діяльності. </w:t>
      </w: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Default="004B2330" w:rsidP="0063713A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63713A" w:rsidRDefault="004B2330" w:rsidP="00536924">
      <w:pPr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Програма навчальної дисципліни</w:t>
      </w:r>
    </w:p>
    <w:p w:rsidR="004B2330" w:rsidRPr="0063713A" w:rsidRDefault="004B2330" w:rsidP="007F4593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Змістовний модуль №1.</w:t>
      </w:r>
    </w:p>
    <w:p w:rsidR="004B2330" w:rsidRPr="0063713A" w:rsidRDefault="004B2330" w:rsidP="007F4593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1. Поняття університетської освіти. Університет як вищий навчальний заклад: історія створення та розвиток на сучасному етапі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Суть університетської освіти. Процес виробництва, нагромадження, зберігання, передавання і розповсюдження знань, формування нових компетенцій, фактори розвитку університетської освіти.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>Університет як стародавня і в той же час сучасна форма навчального закладу вищого ґатунку. Історія університетської освіти в Україні та в інших країнах світу. Національний характер вищої освіти – велика перевага українського суспільства. Конституція України про освіту.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Правові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>механізми управління університетською ос</w:t>
      </w:r>
      <w:r>
        <w:rPr>
          <w:rFonts w:ascii="Times New Roman" w:hAnsi="Times New Roman"/>
          <w:sz w:val="28"/>
          <w:szCs w:val="28"/>
          <w:lang w:val="uk-UA" w:eastAsia="uk-UA"/>
        </w:rPr>
        <w:t>вітою в Україні: Закон України «Про освіту»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 від 23.05.1991 (зі змінами): його втілення в освіт</w:t>
      </w:r>
      <w:r>
        <w:rPr>
          <w:rFonts w:ascii="Times New Roman" w:hAnsi="Times New Roman"/>
          <w:sz w:val="28"/>
          <w:szCs w:val="28"/>
          <w:lang w:val="uk-UA" w:eastAsia="uk-UA"/>
        </w:rPr>
        <w:t>янську практику; Закон України «Про вищу освіту»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 від 17.01.2002 , його зміст і механізми реалізації.  Комплексна цільова програма (ЦКП) розвитку єдиної освітньої інформаційної сфери 2010-2015 роки на прикладі України, Росії та США. Стратегія розвитку кращих університетів України: інструменти і механізми її реалізації.</w:t>
      </w:r>
      <w:r w:rsidRPr="0063713A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</w:t>
      </w:r>
    </w:p>
    <w:p w:rsidR="004B2330" w:rsidRPr="0063713A" w:rsidRDefault="004B2330" w:rsidP="007F4593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2. Національна доктрина розвитку освіти в Україні в ХХІ столітті: її зміст і стратегія реалізації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Освіта – стратегічний ресурс поліпшення добробуту людей, забезпечення національних інтересів, зміцнення авторитету і конкурентоспроможності держави на міжнародній арені. «Національна доктрина розвитку освіти» про систему концептуальних ідей та поглядів на стратегію і основні напрями розвитку освіти на початку XXI століття. Мета, пріоритети і принципи розвитку освіти в Україні </w:t>
      </w:r>
      <w:r w:rsidRPr="0063713A">
        <w:rPr>
          <w:rFonts w:ascii="Times New Roman" w:hAnsi="Times New Roman"/>
          <w:sz w:val="28"/>
          <w:szCs w:val="28"/>
          <w:lang w:eastAsia="uk-UA"/>
        </w:rPr>
        <w:t xml:space="preserve">Національний характер освіти та рівновеликий доступ до якісної української освіти.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>Безперервність</w:t>
      </w:r>
      <w:r w:rsidRPr="0063713A">
        <w:rPr>
          <w:rFonts w:ascii="Times New Roman" w:hAnsi="Times New Roman"/>
          <w:sz w:val="28"/>
          <w:szCs w:val="28"/>
          <w:lang w:eastAsia="uk-UA"/>
        </w:rPr>
        <w:t xml:space="preserve"> освіти та механізми її забезпечення. Освіта і наука: їх взаємозв'язок. Управління вищою освітою в Україні: оцінка його ефективності на сучасному етапі. Міністерство освіти і науки України: його функції, завдання, права та обов'язки в сфері управління вищою освітою в Україні.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Механізм фінансування вищої освіти в Україні: необхідність його вдосконалення. Основні джерела фінансування вищої освіти в Україні: кошти Державного бюджету; кошти фізичних, юридичних осіб та громадських організацій і фондів; спонсорські та доброчинні внески та пожертвування; гранти; кошти галузей народного господарства, плата за додаткові освітні послуги та інші послуги, що надаються вищими навчальним закладами. Мовна стратегія в освіті в Україні – задача національної ваги. Педагогічні та науково-педагогічні кадри, які забезпечують високий рівень освіти в Україні. </w:t>
      </w:r>
      <w:r w:rsidRPr="0063713A">
        <w:rPr>
          <w:rFonts w:ascii="Times New Roman" w:hAnsi="Times New Roman"/>
          <w:sz w:val="28"/>
          <w:szCs w:val="28"/>
          <w:lang w:eastAsia="uk-UA"/>
        </w:rPr>
        <w:t xml:space="preserve">Державна політика у галузі підготовки и перепідготовки педагогічних та науково-педагогічних кадрів. </w:t>
      </w:r>
    </w:p>
    <w:p w:rsidR="004B2330" w:rsidRPr="0063713A" w:rsidRDefault="004B2330" w:rsidP="0063713A">
      <w:pPr>
        <w:pStyle w:val="BodyText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i w:val="0"/>
          <w:sz w:val="28"/>
          <w:szCs w:val="28"/>
          <w:lang w:eastAsia="uk-UA"/>
        </w:rPr>
        <w:t xml:space="preserve">Стратегія вдосконалення професійної підготовки молоді, створення необхідних умов та системи прийому талановитої молоді до вищих навчальних закладів України. </w:t>
      </w:r>
    </w:p>
    <w:p w:rsidR="004B2330" w:rsidRPr="0063713A" w:rsidRDefault="004B2330" w:rsidP="007F4593">
      <w:pPr>
        <w:pStyle w:val="BodyText"/>
        <w:shd w:val="clear" w:color="auto" w:fill="auto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sz w:val="28"/>
          <w:szCs w:val="28"/>
          <w:lang w:val="uk-UA" w:eastAsia="uk-UA"/>
        </w:rPr>
        <w:t xml:space="preserve">Тема 3. Реформування вищої освіти в Україні </w:t>
      </w:r>
      <w:r w:rsidRPr="0063713A">
        <w:rPr>
          <w:rFonts w:ascii="Times New Roman" w:hAnsi="Times New Roman"/>
          <w:b/>
          <w:sz w:val="28"/>
          <w:szCs w:val="28"/>
        </w:rPr>
        <w:t xml:space="preserve">і </w:t>
      </w:r>
      <w:r w:rsidRPr="0063713A">
        <w:rPr>
          <w:rFonts w:ascii="Times New Roman" w:hAnsi="Times New Roman"/>
          <w:b/>
          <w:sz w:val="28"/>
          <w:szCs w:val="28"/>
          <w:lang w:val="uk-UA"/>
        </w:rPr>
        <w:t>Б</w:t>
      </w:r>
      <w:r w:rsidRPr="0063713A">
        <w:rPr>
          <w:rFonts w:ascii="Times New Roman" w:hAnsi="Times New Roman"/>
          <w:b/>
          <w:sz w:val="28"/>
          <w:szCs w:val="28"/>
        </w:rPr>
        <w:t>олонський процес</w:t>
      </w:r>
    </w:p>
    <w:p w:rsidR="004B2330" w:rsidRPr="0063713A" w:rsidRDefault="004B2330" w:rsidP="006371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Трансформація університетської освіти під впливом процесів глобалізації, європейської інтеграції, входження в Болонський процес. Зміст і головні складові Болонського процесу. Основні положення Болонської декларації. </w:t>
      </w:r>
      <w:r w:rsidRPr="0063713A">
        <w:rPr>
          <w:rFonts w:ascii="Times New Roman" w:hAnsi="Times New Roman"/>
          <w:sz w:val="28"/>
          <w:szCs w:val="28"/>
        </w:rPr>
        <w:t xml:space="preserve">Основні задачі розвитку вищої освіти Україні в контексті Болонського процесу. Підходи та етапи формування зони Європейської вищої освіти. 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B2330" w:rsidRPr="0063713A" w:rsidRDefault="004B2330" w:rsidP="0063713A">
      <w:pPr>
        <w:pStyle w:val="BodyText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uk-UA"/>
        </w:rPr>
      </w:pPr>
      <w:r w:rsidRPr="0063713A">
        <w:rPr>
          <w:rFonts w:ascii="Times New Roman" w:hAnsi="Times New Roman"/>
          <w:i w:val="0"/>
          <w:sz w:val="28"/>
          <w:szCs w:val="28"/>
        </w:rPr>
        <w:t>Хронологія подій Болонського процесу та основні тенденції щодо створення зони Європейської вищої освіти: Сорбонська декларація від 25 травня 1998 року (м. Париж). Болонська конвенція: спільна заява європейських Міністрів освіти 18-19 червня 1999 року м. Болон'я; конференція вищих навчальних закладів і освітніх організацій 29-30 березня 2001 року, м. Саламанка; комюніке зустрічі європейських Міністрів, відповідальних за вищу освіту, 19-20 вересня 2003 року, м. Берлін.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Матеріали Міністерства освіти і науки України, які регламентують процес впровадження кредитно-модульної системи в підготовку: бакалаврів, спеціалістів та магістрів. Положення МОН України про організацію навчального процесу в умовах кредитно-модульної системи підготовки фахівців: на</w:t>
      </w:r>
      <w:r>
        <w:rPr>
          <w:rFonts w:ascii="Times New Roman" w:hAnsi="Times New Roman"/>
          <w:sz w:val="28"/>
          <w:szCs w:val="28"/>
          <w:lang w:val="uk-UA" w:eastAsia="uk-UA"/>
        </w:rPr>
        <w:t>каз МОН № 49 від 23.01.2004 р. «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>Про затвердження Програми дій щодо реалізації положень Болонської декларації в системі вищої освіти і науки України на 2004-2005 р</w:t>
      </w:r>
      <w:r>
        <w:rPr>
          <w:rFonts w:ascii="Times New Roman" w:hAnsi="Times New Roman"/>
          <w:sz w:val="28"/>
          <w:szCs w:val="28"/>
          <w:lang w:val="uk-UA" w:eastAsia="uk-UA"/>
        </w:rPr>
        <w:t>оки»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; Програма дій щодо реалізації положень Болонської декларації в системі вищої освіти і науки України; заходи щодо реалізації положень Болонської декларації в системі вищої освіти і науки України на 2005-2010 роки.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Концепція розвитку вищої освіти України до 2020 року: механізм та інструменти її реалізації. Накази МОН України про реформування процесу підготовки бакалаврів, спеціалістів та магістрів в сучасних умовах і на середньострокову перспективу.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 xml:space="preserve">Тема 4. </w:t>
      </w:r>
      <w:r w:rsidRPr="0063713A">
        <w:rPr>
          <w:rFonts w:ascii="Times New Roman" w:hAnsi="Times New Roman"/>
          <w:b/>
          <w:i/>
          <w:sz w:val="28"/>
          <w:szCs w:val="28"/>
          <w:lang w:val="uk-UA" w:eastAsia="uk-UA"/>
        </w:rPr>
        <w:t>Університетська освіта в контексті Болонського процесу</w:t>
      </w:r>
    </w:p>
    <w:p w:rsidR="004B2330" w:rsidRPr="00FB16E2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Євроінтеграція України як чинник соціально-економічного розвитку держави. Роль вищої освіти (зокрема економічної) у побудові соціально орієнтованої ринкової економіки України та при входженні до ЄС.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Сучасні принципи побудови та завдання вищої освіти в країнах Європи. Болонський процес як засіб інтеграції систем вищої освіти європейських країн. Хронологія подій та основні </w:t>
      </w:r>
      <w:r>
        <w:rPr>
          <w:rFonts w:ascii="Times New Roman" w:hAnsi="Times New Roman"/>
          <w:sz w:val="28"/>
          <w:szCs w:val="28"/>
          <w:lang w:val="uk-UA" w:eastAsia="uk-UA"/>
        </w:rPr>
        <w:t>документи Болонського процесу.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Основні цілі, завдання, принципи формування європейського освітнього простору та дії з їх практичної реалізації. Сутність Європейської кредитно-трансфертної та акумулюючої системи (ЕСТБ) і школа оцінювання навчальних досягнень. Зміст кредитно-модульної системи організації навчального процесу та її запровадження у ВНЗ України. Безперервна освіта як одна з провідних вимог Болонського процесу, її необхідність та роль у житті сучасної людини.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5. Фундаменталізація та індивідуалізація підготовки фахівців з вищою освітою</w:t>
      </w:r>
    </w:p>
    <w:p w:rsidR="004B2330" w:rsidRPr="0063713A" w:rsidRDefault="004B2330" w:rsidP="0063713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Зміст вищої освіти як система фундаментальних знань, умінь і навичок, професійних, світоглядних і громадських якостей, обумовлених цілями і потребами суспільства, сформованих в університеті в результаті послідовного, системного та цілеспрямованого процесу засвоєння змісту навчання.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Сучасні основні тенденції розвитку світової вищої освіти (глобалізація, інтеграція, демократизація, фундаменталізація, гуманізація та особистісна орієнтація тощо).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Сучасне трактування освіти як загальнолюдської цінності, еволюція парадигм вищої освіти; гуманістична парадигма як основа вищої освіти в XXI столітті: її суть, роль, функції і значення. Цілі і пріоритети національної доктрини розвитку освіти в Україні: національний характер освіти; інтеграція вітчизняної освіти в європейській і світовій простір; очікувані результати.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Гуманістично орієнтована модель підготовки фахівців у вищій школі як база для розвитку особистісного, інтелектуального й професійного потенціалу майбутніх економістів. Зміст та основоположні принципи особистісно-орієнтованого навчання економістів у вищій школі. Методологія та методика використання особистісно-орієнтованого підходу в освітньому процесі ВНЗ. Проектування майбутньої фахової діяльності як системоутворюючий елемент моделі професійної підготовки економістів в університеті.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Наукова і науково-технічна діяльність в університеті як невід’ємна складова процесу набуття вищої освіти. Індивідуальне навчальне заняття із студентами з метою розкриття індивідуальних творчих здібностей. Індивідуальний навчальний план студента. Індивідуальні завдання, що виходять за межі навчальних програм. Наукова робота студентів.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6. Організація навчального процесу в університеті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Статут та структура університету: ректор; проректори; навчально-методичне управління; планово-економічне управління; фінансове управління; кадрове управління тощо.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Факультет – основний організаційний і навчально-науковий структурний підрозділ ВНЗ. Деканати. Кафедра – базовий структурний підрозділ ВНЗ. Випускаючі кафедри. Учасники навчального процесу в університеті: викладачі, куратори співробітники, студенти.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Графік навчального процесу, бюджет часу, особливості навчально-виховної роботи в семестрі. Види навчальної діяльності: лекції, практичні, семінарські та лабораторні заняття, самостійна робота студентів, виконання індивідуальних творчих завдань (ІТЗ), консультації. Модульний контроль, підготовка і захист дипломних та магістерських робіт; специфіка складання сесії; держіспити; проходження виробничої та переддипломної практик. Основні вимоги модульно-рейтингової системи.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Індивідуальний навчальний план студента: його зміст та структура. Участь студентів в олімпіадах, конкурсах наукових робіт, освітянських проектів, науково-практичних Всеукраїнських та міжнародних конференціях, семінарах, «круглих столах».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Система планування та організація СРС. Методика самостійної роботи студента. Форми роботи: написання рефератів, рецензій та анотацій на статі. Складання простих і складних планів. Формування змісту пунктів плану. Тези: основні, прості, складні та тези-цитати. Методика складання конспектів. Конспект як синтетична форма запису. Кодування навчальної інформації за допомогою опорних сигналів. Розробка опорного конспекту: підбір фактичного матеріалу; виділення основного ядра, основних питань.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Відгук, висновок, рецензія, анотація. Види анотацій, структура та їх зміст. Реферати: види рефератів. Структура і зміст реферату на: статтю, підручник, навчальний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>посібник, монографію, автореферат та інше.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7. Управління вищою освітою в Україні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Система управління вищою освітою та її складові. Модель управління у галузі вищої освіти. Органи управління вищою освітою і наукою в Україні: Верховна Рада України; Уряд України; обласні державні адміністрації; Міністерство освіти і науки України: його департаменти і управління; Вища атестаційна комісія України; Вчена рада вищого навчального закладу. Управління організацією навчального процесу в ВНЗ. Управління процесом впроваджен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ня кредитно-модульної системи. </w:t>
      </w:r>
      <w:r w:rsidRPr="0063713A">
        <w:rPr>
          <w:rFonts w:ascii="Times New Roman" w:hAnsi="Times New Roman"/>
          <w:sz w:val="28"/>
          <w:szCs w:val="28"/>
          <w:lang w:val="uk-UA" w:eastAsia="uk-UA"/>
        </w:rPr>
        <w:t>Деканати та кафедри на факультетах.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8. Вищі навчальні заклади України та світу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Мета і головні завдання діяльності вищого навчального закладу. Правовий статус вищого навчального закладу. Рівні акредитації. Типи ВНЗ: університет; академія; інститут; консерваторія; коледж; технікум (училище). Національний вищий навчальний заклад, його завдання та пріоритети. Структура управління в вищому навчальному закладі.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>Флагмани української освіти: Київський Національний університет імені Т.Г. Шевченка; Національний університет «Київська політехніка»; Києво-Могилянська академія (НАУКМА); Львівська політехніка; Київський національний економічний університет (КНЕУ); Харківський національний університет (ХНУ); Одеський національний економічний університет (ОНЕУ) та інші.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 w:eastAsia="uk-UA"/>
        </w:rPr>
        <w:t xml:space="preserve">Вищі навчальні заклади Росії, Британії, Америки, Франції, Німеччини, Польщі, Чехії, Іспанії, Японії, Канади, Австрії, Італії, Швеції, Скандинавії та </w:t>
      </w:r>
      <w:r w:rsidRPr="0063713A">
        <w:rPr>
          <w:rFonts w:ascii="Times New Roman" w:hAnsi="Times New Roman"/>
          <w:sz w:val="28"/>
          <w:szCs w:val="28"/>
          <w:lang w:val="uk-UA"/>
        </w:rPr>
        <w:t>Інших зарубіжних країн Європи та світу. Наукове обґрунтування необхідності використання кращого досвіду університетів цих країн в освітянському просторі України.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63713A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Тема 9. Стандарти вищої освіти України: зміст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 xml:space="preserve"> та необхідність вдосконалення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 xml:space="preserve">Система стандартів вищої освіти – основа оцінки якості вищої освіти та професійної підготовки фахівців, якості освітньої діяльності вищих навчальних закладів незалежно від їх типів, рівнів акредитації та форм навчання. Складові державного стандарту вищої освіти в Україні. Галузеві стандарти вищої освіти в Україні. Освітньо-кваліфікаційні характеристики та освітньо-професійні програми підготовки фахівців. 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Паспорт спеціальності. Науково-методичне забезпечення вищої освіти.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Тема 10. Економічна освіта на сучасному етапі: стан, досягнення, модернізація та проблеми розвитку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Основні характеристики потенціалу сучасного фахівця в сфері управління персоналом і економіки праці, підготовленого університетом. Зміст сучасної підготовки фахівця з управління персоналом і економіки праці: відповідність державним (соціальним), професійним вимогам в умовах ринкового середовища, вимогам часу до особистості майбутнього фахівця; задоволення основних потреб особистості у професійній самореалізації.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Створення в державі передумов для побудови студентами індивідуальної освітньої траєкторії психолого-педагогічна діагностика особистих та потенційних професійних якостей студента управління персоналом, діагностика та узагальнення результатів. Формування та розвиток навчальної та професійної мотивації студентів-економістів. Формування системи професійних пріоритетів та цінностей. Актуалізація майбутньої професійної діяльності для тих, хто має стати гарним, високопрофесійним фахівцем. Формування державницької позиції в своїй професії та вміння захищати і відстоювати своє рішення.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Фахова підготовка: мета, завдання, сутність, структура, принципи побудови. ОКХ: принципова модель ОКХ; державний компонент ОКХ; регіонально-вузівський компонент ОКХ; харак</w:t>
      </w:r>
      <w:r>
        <w:rPr>
          <w:rFonts w:ascii="Times New Roman" w:hAnsi="Times New Roman"/>
          <w:sz w:val="28"/>
          <w:szCs w:val="28"/>
          <w:lang w:val="uk-UA"/>
        </w:rPr>
        <w:t xml:space="preserve">теристика ОКХ за спеціальністю </w:t>
      </w:r>
      <w:r w:rsidRPr="00FB16E2">
        <w:rPr>
          <w:rFonts w:ascii="Times New Roman" w:hAnsi="Times New Roman"/>
          <w:sz w:val="28"/>
          <w:szCs w:val="28"/>
          <w:lang w:val="uk-UA"/>
        </w:rPr>
        <w:t>«</w:t>
      </w:r>
      <w:r w:rsidRPr="0063713A">
        <w:rPr>
          <w:rFonts w:ascii="Times New Roman" w:hAnsi="Times New Roman"/>
          <w:sz w:val="28"/>
          <w:szCs w:val="28"/>
          <w:lang w:val="uk-UA"/>
        </w:rPr>
        <w:t>Управлін</w:t>
      </w:r>
      <w:r>
        <w:rPr>
          <w:rFonts w:ascii="Times New Roman" w:hAnsi="Times New Roman"/>
          <w:sz w:val="28"/>
          <w:szCs w:val="28"/>
          <w:lang w:val="uk-UA"/>
        </w:rPr>
        <w:t>ня персоналом і економіка праці»</w:t>
      </w:r>
      <w:r w:rsidRPr="0063713A">
        <w:rPr>
          <w:rFonts w:ascii="Times New Roman" w:hAnsi="Times New Roman"/>
          <w:sz w:val="28"/>
          <w:szCs w:val="28"/>
          <w:lang w:val="uk-UA"/>
        </w:rPr>
        <w:t>. Класифікація видів і класів завдань, що вирішуються випускниками спеціальності при виконанні професійних обов’язків, а також видів і рівнів сформованості необхідних умінь. Поняття професіограми: структура, компоненти, психологічна складова.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Основні та адаптивні види професійної діяльності управлінців персоналом у сфері суспільного виробництва. Система професійних функцій фахівця з управління персоналом і економіки праці (функціональна модель фахівця). Основні виробничі функції і типові завдання діяльності фахівця з управління персоналом і економіки праці. Необхідні вміння для виконання даних функцій і </w:t>
      </w:r>
      <w:r>
        <w:rPr>
          <w:rFonts w:ascii="Times New Roman" w:hAnsi="Times New Roman"/>
          <w:sz w:val="28"/>
          <w:szCs w:val="28"/>
          <w:lang w:val="uk-UA"/>
        </w:rPr>
        <w:t>завдань стосовно спеціальності «</w:t>
      </w:r>
      <w:r w:rsidRPr="0063713A">
        <w:rPr>
          <w:rFonts w:ascii="Times New Roman" w:hAnsi="Times New Roman"/>
          <w:sz w:val="28"/>
          <w:szCs w:val="28"/>
          <w:lang w:val="uk-UA"/>
        </w:rPr>
        <w:t>Управлін</w:t>
      </w:r>
      <w:r>
        <w:rPr>
          <w:rFonts w:ascii="Times New Roman" w:hAnsi="Times New Roman"/>
          <w:sz w:val="28"/>
          <w:szCs w:val="28"/>
          <w:lang w:val="uk-UA"/>
        </w:rPr>
        <w:t>ня персоналом і економіка праці»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Тема 11. Розвиток змісту та вдосконалення науково-методичного забезпечення вищої економічної освіти в Україні.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Стандартизація вищої економічної освіти та напрямки її розвитку. Розвиток науково-методичного забезпечення навчального процесу. Упровадження кредитно-модульної системи організації навчального процесу. Діагностика знань студентів в умовах кредитно-модульної системи та способи підвищення її об’єктивності. Використання кращих результатів наукових досліджень у навчальному процесі. Поглиблення зв’язків між економічною освітою та практикою.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Підвищення конкурентоспроможності випускників на ринку праці та розвиток системи їх працевлаштування.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Тема 12. Біб</w:t>
      </w: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ліотека університету: порядок та правила користування її фондами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Правила користування бібліотекою університету та науковими бібліотеками. Основи бібліотечно-бібліографічних знань: складання бібліографічного опису літературних джерел. Робота з абетковим та систематичним каталогами бібліотеки, абетково-предметний покажчик, додатковий апарат книги, оформлення читатської вимоги. Електронний каталог.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Сутність роботи з навчальною та спеціальною літературою: правильна  постановка цілей роботи. Пошук інформації в додатковій літературі. Специфіка роботи з періодичними виданнями.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Орієнтування в книзі та швидкий пошук потрібної інформації (раціональне  читання). Рекомендації щодо використання методів «активного читання».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Пошук інформації в Інт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3713A">
        <w:rPr>
          <w:rFonts w:ascii="Times New Roman" w:hAnsi="Times New Roman"/>
          <w:sz w:val="28"/>
          <w:szCs w:val="28"/>
          <w:lang w:val="uk-UA"/>
        </w:rPr>
        <w:t>рнеті. Найбільші пошукові сервери та правила користування ними; отримання та збереження інформації. Бібліотечні веб-сайти та правила користування ними.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Тема 13. Соціально-культурна інфраструктура університету.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Організація діяльності студентів у позааудиторний час. Наявність умов для розвитку творчих здібностей, культурного відпочинку, спортивно-масових заходів, самостійної роботи, спілкування, дозвілля. Концепція виховної роботи в Житомирському державному технологічному університеті: механізми, методи і інструменти її реалізації.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 xml:space="preserve">Участь молоді у конкурсах студентської творчості, спортивних змаганнях. Бібліотека, читальні зали, редакційно-видавнича лабораторія, комп’ютерні класи, спортивні зали. Гуртожитки-складові інфраструктури Житомирського державного технологічного університету. </w:t>
      </w:r>
    </w:p>
    <w:p w:rsidR="004B2330" w:rsidRPr="0063713A" w:rsidRDefault="004B2330" w:rsidP="007F459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3713A">
        <w:rPr>
          <w:rFonts w:ascii="Times New Roman" w:hAnsi="Times New Roman"/>
          <w:b/>
          <w:i/>
          <w:sz w:val="28"/>
          <w:szCs w:val="28"/>
          <w:lang w:val="uk-UA"/>
        </w:rPr>
        <w:t>Тема 14. Студентське самоврядування як невід’ємна складова демократизації вищої освіти України.</w:t>
      </w:r>
    </w:p>
    <w:p w:rsidR="004B2330" w:rsidRPr="0063713A" w:rsidRDefault="004B2330" w:rsidP="00637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13A">
        <w:rPr>
          <w:rFonts w:ascii="Times New Roman" w:hAnsi="Times New Roman"/>
          <w:sz w:val="28"/>
          <w:szCs w:val="28"/>
          <w:lang w:val="uk-UA"/>
        </w:rPr>
        <w:t>Актуальність студентського самоврядування. Питання студентського самоврядування у законодавчих та нормативно-правових документах з вищої освіти: стратегія їх вирішення.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Організація студентського самоврядування на рівні області, вищого навчального закладу, факультету, гуртожитку. Обласна студентська рада, Студентська рада Житомирського державного технологічного університету.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Мета та завдання, права та обов’язки  органів студентського самоврядування. Участь лідерів студентства у роботі Вченої ради ЖДТУ; Вчених рад факультетів. Положення ЖДТУ «Про студентську раду». Склад студентської ради Житомирського державного технологічного університету: сектори, форми і напрями роботи. План роботи студентської ради  в університеті та на факультетах.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13A">
        <w:rPr>
          <w:rFonts w:ascii="Times New Roman" w:hAnsi="Times New Roman"/>
          <w:sz w:val="28"/>
          <w:szCs w:val="28"/>
          <w:lang w:val="uk-UA"/>
        </w:rPr>
        <w:t>Всеукраїнська студентська рада як представницький орган студентів на державному рівні. Кращий досвід впровадження студентського самоврядування у ВНЗ України та Європи: його використання в ЖДТУ.</w:t>
      </w:r>
    </w:p>
    <w:p w:rsidR="004B2330" w:rsidRPr="00FB16E2" w:rsidRDefault="004B2330" w:rsidP="00FB16E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  <w:r w:rsidRPr="0063713A">
        <w:rPr>
          <w:rFonts w:ascii="Times New Roman" w:hAnsi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5"/>
        <w:gridCol w:w="1049"/>
        <w:gridCol w:w="421"/>
        <w:gridCol w:w="325"/>
        <w:gridCol w:w="608"/>
        <w:gridCol w:w="602"/>
        <w:gridCol w:w="604"/>
        <w:gridCol w:w="907"/>
        <w:gridCol w:w="439"/>
        <w:gridCol w:w="568"/>
        <w:gridCol w:w="566"/>
        <w:gridCol w:w="568"/>
        <w:gridCol w:w="710"/>
      </w:tblGrid>
      <w:tr w:rsidR="004B2330" w:rsidRPr="00CE4AF9" w:rsidTr="00D110BC">
        <w:trPr>
          <w:cantSplit/>
        </w:trPr>
        <w:tc>
          <w:tcPr>
            <w:tcW w:w="1328" w:type="pct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Назви змістових модулів і тем</w:t>
            </w:r>
          </w:p>
        </w:tc>
        <w:tc>
          <w:tcPr>
            <w:tcW w:w="3672" w:type="pct"/>
            <w:gridSpan w:val="12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4B2330" w:rsidRPr="00CE4AF9" w:rsidTr="00D110BC">
        <w:trPr>
          <w:cantSplit/>
        </w:trPr>
        <w:tc>
          <w:tcPr>
            <w:tcW w:w="1328" w:type="pct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99" w:type="pct"/>
            <w:gridSpan w:val="6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1873" w:type="pct"/>
            <w:gridSpan w:val="6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Заочна форма</w:t>
            </w:r>
          </w:p>
        </w:tc>
      </w:tr>
      <w:tr w:rsidR="004B2330" w:rsidRPr="00CE4AF9" w:rsidTr="00D110BC">
        <w:trPr>
          <w:cantSplit/>
        </w:trPr>
        <w:tc>
          <w:tcPr>
            <w:tcW w:w="1328" w:type="pct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276" w:type="pct"/>
            <w:gridSpan w:val="5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452" w:type="pct"/>
            <w:vMerge w:val="restar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421" w:type="pct"/>
            <w:gridSpan w:val="5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</w:t>
            </w:r>
          </w:p>
        </w:tc>
      </w:tr>
      <w:tr w:rsidR="004B2330" w:rsidRPr="00CE4AF9" w:rsidTr="00D110BC">
        <w:trPr>
          <w:cantSplit/>
        </w:trPr>
        <w:tc>
          <w:tcPr>
            <w:tcW w:w="1328" w:type="pct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3" w:type="pct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лаб</w:t>
            </w:r>
          </w:p>
        </w:tc>
        <w:tc>
          <w:tcPr>
            <w:tcW w:w="300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інд</w:t>
            </w:r>
          </w:p>
        </w:tc>
        <w:tc>
          <w:tcPr>
            <w:tcW w:w="301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с.р</w:t>
            </w:r>
          </w:p>
        </w:tc>
        <w:tc>
          <w:tcPr>
            <w:tcW w:w="452" w:type="pct"/>
            <w:vMerge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282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лаб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інд</w:t>
            </w:r>
          </w:p>
        </w:tc>
        <w:tc>
          <w:tcPr>
            <w:tcW w:w="354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с.р.</w:t>
            </w:r>
          </w:p>
        </w:tc>
      </w:tr>
      <w:tr w:rsidR="004B2330" w:rsidRPr="00CE4AF9" w:rsidTr="00D110BC">
        <w:trPr>
          <w:trHeight w:val="165"/>
        </w:trPr>
        <w:tc>
          <w:tcPr>
            <w:tcW w:w="1328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00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01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19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282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354" w:type="pct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</w:t>
            </w:r>
          </w:p>
        </w:tc>
      </w:tr>
      <w:tr w:rsidR="004B2330" w:rsidRPr="00CE4AF9" w:rsidTr="00D110BC">
        <w:trPr>
          <w:trHeight w:val="278"/>
        </w:trPr>
        <w:tc>
          <w:tcPr>
            <w:tcW w:w="5000" w:type="pct"/>
            <w:gridSpan w:val="13"/>
            <w:vAlign w:val="center"/>
          </w:tcPr>
          <w:p w:rsidR="004B2330" w:rsidRPr="00CE4AF9" w:rsidRDefault="004B2330" w:rsidP="00CE4A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Змістовний модуль №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4B2330" w:rsidRPr="00CE4AF9" w:rsidTr="00D110BC">
        <w:tc>
          <w:tcPr>
            <w:tcW w:w="1328" w:type="pct"/>
            <w:vAlign w:val="center"/>
          </w:tcPr>
          <w:p w:rsidR="004B2330" w:rsidRPr="00CE4AF9" w:rsidRDefault="004B2330" w:rsidP="00D110BC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Тема 1. </w:t>
            </w: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Поняття університетської освіти. Університет як вищий навчальний заклад: історія створення та розвиток на сучасному етапі 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09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2.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 </w:t>
            </w: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Національна доктрина розвитку освіти в Україні в ХХІ столітті: її зміст і стратегія реалізації</w:t>
            </w:r>
          </w:p>
        </w:tc>
        <w:tc>
          <w:tcPr>
            <w:tcW w:w="52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09"/>
        </w:trPr>
        <w:tc>
          <w:tcPr>
            <w:tcW w:w="1328" w:type="pct"/>
            <w:vAlign w:val="center"/>
          </w:tcPr>
          <w:p w:rsidR="004B2330" w:rsidRPr="00A33A74" w:rsidRDefault="004B2330" w:rsidP="00D110BC">
            <w:pPr>
              <w:pStyle w:val="BodyText"/>
              <w:shd w:val="clear" w:color="auto" w:fill="auto"/>
              <w:spacing w:line="240" w:lineRule="auto"/>
              <w:rPr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A33A74">
              <w:rPr>
                <w:rFonts w:ascii="Times New Roman" w:hAnsi="Times New Roman"/>
                <w:bCs/>
                <w:i w:val="0"/>
                <w:sz w:val="20"/>
                <w:szCs w:val="20"/>
                <w:lang w:val="uk-UA"/>
              </w:rPr>
              <w:t>Тема 3.</w:t>
            </w:r>
            <w:r w:rsidRPr="00A33A74">
              <w:rPr>
                <w:rFonts w:ascii="Times New Roman" w:hAnsi="Times New Roman"/>
                <w:i w:val="0"/>
                <w:sz w:val="20"/>
                <w:szCs w:val="20"/>
              </w:rPr>
              <w:t xml:space="preserve"> Реформування вищої освіти в Україні і </w:t>
            </w:r>
          </w:p>
          <w:p w:rsidR="004B2330" w:rsidRPr="00A33A74" w:rsidRDefault="004B2330" w:rsidP="00D110BC">
            <w:pPr>
              <w:pStyle w:val="BodyText"/>
              <w:shd w:val="clear" w:color="auto" w:fill="auto"/>
              <w:spacing w:line="240" w:lineRule="auto"/>
              <w:rPr>
                <w:rFonts w:ascii="Times New Roman" w:hAnsi="Times New Roman"/>
                <w:i w:val="0"/>
                <w:sz w:val="20"/>
                <w:szCs w:val="20"/>
                <w:lang w:val="uk-UA" w:eastAsia="uk-UA"/>
              </w:rPr>
            </w:pPr>
            <w:r w:rsidRPr="00A33A74">
              <w:rPr>
                <w:rFonts w:ascii="Times New Roman" w:hAnsi="Times New Roman"/>
                <w:i w:val="0"/>
                <w:sz w:val="20"/>
                <w:szCs w:val="20"/>
              </w:rPr>
              <w:t>Болонський процес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09"/>
        </w:trPr>
        <w:tc>
          <w:tcPr>
            <w:tcW w:w="1328" w:type="pct"/>
            <w:vAlign w:val="center"/>
          </w:tcPr>
          <w:p w:rsidR="004B2330" w:rsidRPr="00A33A74" w:rsidRDefault="004B2330" w:rsidP="00D110BC">
            <w:pPr>
              <w:pStyle w:val="BodyText"/>
              <w:shd w:val="clear" w:color="auto" w:fill="auto"/>
              <w:spacing w:line="240" w:lineRule="auto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A33A74">
              <w:rPr>
                <w:rFonts w:ascii="Times New Roman" w:hAnsi="Times New Roman"/>
                <w:i w:val="0"/>
                <w:sz w:val="20"/>
                <w:szCs w:val="20"/>
                <w:lang w:val="uk-UA"/>
              </w:rPr>
              <w:t>Тема4.</w:t>
            </w:r>
            <w:r w:rsidRPr="00A33A74">
              <w:rPr>
                <w:rFonts w:ascii="Times New Roman" w:hAnsi="Times New Roman"/>
                <w:i w:val="0"/>
                <w:sz w:val="20"/>
                <w:szCs w:val="20"/>
              </w:rPr>
              <w:t>Університетська освіта в контексті Болонсько</w:t>
            </w:r>
            <w:r w:rsidRPr="00A33A74">
              <w:rPr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го </w:t>
            </w:r>
            <w:r w:rsidRPr="00A33A74">
              <w:rPr>
                <w:rFonts w:ascii="Times New Roman" w:hAnsi="Times New Roman"/>
                <w:i w:val="0"/>
                <w:sz w:val="20"/>
                <w:szCs w:val="20"/>
              </w:rPr>
              <w:t>процесу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09"/>
        </w:trPr>
        <w:tc>
          <w:tcPr>
            <w:tcW w:w="1328" w:type="pct"/>
            <w:vAlign w:val="center"/>
          </w:tcPr>
          <w:p w:rsidR="004B2330" w:rsidRPr="00A33A74" w:rsidRDefault="004B2330" w:rsidP="00D110BC">
            <w:pPr>
              <w:pStyle w:val="BodyText"/>
              <w:shd w:val="clear" w:color="auto" w:fill="auto"/>
              <w:spacing w:line="240" w:lineRule="auto"/>
              <w:rPr>
                <w:rFonts w:ascii="Times New Roman" w:hAnsi="Times New Roman"/>
                <w:bCs/>
                <w:i w:val="0"/>
                <w:sz w:val="20"/>
                <w:szCs w:val="20"/>
                <w:lang w:val="uk-UA"/>
              </w:rPr>
            </w:pPr>
            <w:r w:rsidRPr="00A33A74">
              <w:rPr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Тема5.Фундаменталізація та індивідуалізація підготовки фахівців з вищою освітою </w:t>
            </w:r>
          </w:p>
        </w:tc>
        <w:tc>
          <w:tcPr>
            <w:tcW w:w="52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09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6.Організація навчального процесу в університет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473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7.Управління  вищою освітою в Україні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17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8. Вищі навчальні заклади України та світу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660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Тема 9.Стандарти вищої освіти України: зміст та необхідність вдосконалення  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956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Тема 10.Економічна освіта на сучасному етапі: стан, досягнення, модернізація та проблеми розвитку</w:t>
            </w:r>
          </w:p>
        </w:tc>
        <w:tc>
          <w:tcPr>
            <w:tcW w:w="52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240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Тема 11.Розвиток змісту та вдосконалення науково-методичного забезпечення вищої економічної освіти  в Україні</w:t>
            </w:r>
          </w:p>
        </w:tc>
        <w:tc>
          <w:tcPr>
            <w:tcW w:w="52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17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12. Бібліотека університету: порядок і правила користування фондами.</w:t>
            </w:r>
          </w:p>
        </w:tc>
        <w:tc>
          <w:tcPr>
            <w:tcW w:w="52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17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13.Соціально-культурна інфраструктура університету.</w:t>
            </w:r>
          </w:p>
        </w:tc>
        <w:tc>
          <w:tcPr>
            <w:tcW w:w="52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525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Тема 14.Студентське самоврядування як невід’ємна складова демократизації вищої школи.</w:t>
            </w:r>
          </w:p>
        </w:tc>
        <w:tc>
          <w:tcPr>
            <w:tcW w:w="523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0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FB16E2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CE4AF9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B2330" w:rsidRPr="00CE4AF9" w:rsidTr="00D110BC">
        <w:trPr>
          <w:trHeight w:val="424"/>
        </w:trPr>
        <w:tc>
          <w:tcPr>
            <w:tcW w:w="1328" w:type="pct"/>
            <w:vAlign w:val="center"/>
          </w:tcPr>
          <w:p w:rsidR="004B2330" w:rsidRPr="00CE4AF9" w:rsidRDefault="004B2330" w:rsidP="00D110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E4A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Усього за змістовним модулем</w:t>
            </w:r>
          </w:p>
        </w:tc>
        <w:tc>
          <w:tcPr>
            <w:tcW w:w="52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10C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21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10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10C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10C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410C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2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4B2330" w:rsidRPr="00410CA8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4B2330" w:rsidRPr="00BA60B1" w:rsidRDefault="004B2330" w:rsidP="004119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0B1">
        <w:rPr>
          <w:rFonts w:ascii="Times New Roman" w:hAnsi="Times New Roman"/>
          <w:b/>
          <w:sz w:val="28"/>
          <w:szCs w:val="28"/>
          <w:lang w:val="uk-UA"/>
        </w:rPr>
        <w:t>5. Теми лекцій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221"/>
        <w:gridCol w:w="1276"/>
      </w:tblGrid>
      <w:tr w:rsidR="004B2330" w:rsidRPr="00BA60B1" w:rsidTr="00411925">
        <w:tc>
          <w:tcPr>
            <w:tcW w:w="534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21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B2330" w:rsidRPr="00BA60B1" w:rsidTr="00B81359">
        <w:trPr>
          <w:trHeight w:val="570"/>
        </w:trPr>
        <w:tc>
          <w:tcPr>
            <w:tcW w:w="534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  <w:vAlign w:val="center"/>
          </w:tcPr>
          <w:p w:rsidR="004B2330" w:rsidRPr="00D1482E" w:rsidRDefault="004B2330" w:rsidP="003A4B9D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D1482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482E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Поняття університетської освіти. Університет як вищий навчальний заклад: історія створення та розвиток на сучасному етапі </w:t>
            </w:r>
          </w:p>
        </w:tc>
        <w:tc>
          <w:tcPr>
            <w:tcW w:w="1276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rPr>
          <w:trHeight w:val="255"/>
        </w:trPr>
        <w:tc>
          <w:tcPr>
            <w:tcW w:w="534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1" w:type="dxa"/>
          </w:tcPr>
          <w:p w:rsidR="004B2330" w:rsidRPr="00D1482E" w:rsidRDefault="004B2330" w:rsidP="00411925">
            <w:pPr>
              <w:pStyle w:val="BodyText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bCs/>
                <w:iCs w:val="0"/>
                <w:sz w:val="24"/>
                <w:szCs w:val="24"/>
                <w:lang w:val="uk-UA" w:eastAsia="uk-UA"/>
              </w:rPr>
              <w:t>Національна доктрина розвитку освіти в Україні в ХХІ столітті: її зміст і стратегія реалізації</w:t>
            </w:r>
            <w:r w:rsidRPr="00D1482E">
              <w:rPr>
                <w:rFonts w:ascii="Times New Roman" w:hAnsi="Times New Roman"/>
                <w:bCs/>
                <w:i w:val="0"/>
                <w:iCs w:val="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3D0850">
        <w:trPr>
          <w:trHeight w:val="255"/>
        </w:trPr>
        <w:tc>
          <w:tcPr>
            <w:tcW w:w="534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1" w:type="dxa"/>
            <w:vAlign w:val="center"/>
          </w:tcPr>
          <w:p w:rsidR="004B2330" w:rsidRDefault="004B2330" w:rsidP="003A4B9D">
            <w:pPr>
              <w:pStyle w:val="BodyText"/>
              <w:shd w:val="clear" w:color="auto" w:fill="auto"/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D1482E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Фундаменталізація та індивідуалізація підготовки фахівців з вищою освітою</w:t>
            </w:r>
          </w:p>
          <w:p w:rsidR="004B2330" w:rsidRPr="00D1482E" w:rsidRDefault="004B2330" w:rsidP="003A4B9D">
            <w:pPr>
              <w:pStyle w:val="BodyText"/>
              <w:shd w:val="clear" w:color="auto" w:fill="auto"/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rPr>
          <w:trHeight w:val="255"/>
        </w:trPr>
        <w:tc>
          <w:tcPr>
            <w:tcW w:w="534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1" w:type="dxa"/>
          </w:tcPr>
          <w:p w:rsidR="004B2330" w:rsidRPr="00D1482E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D1482E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Організація навчального процесу в університет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і</w:t>
            </w:r>
            <w:r w:rsidRPr="00D1482E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:rsidR="004B2330" w:rsidRPr="00D1482E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rPr>
          <w:trHeight w:val="285"/>
        </w:trPr>
        <w:tc>
          <w:tcPr>
            <w:tcW w:w="534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221" w:type="dxa"/>
          </w:tcPr>
          <w:p w:rsidR="004B2330" w:rsidRPr="00D1482E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482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276" w:type="dxa"/>
            <w:vAlign w:val="center"/>
          </w:tcPr>
          <w:p w:rsidR="004B2330" w:rsidRPr="00D1482E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148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4B2330" w:rsidRPr="00411925" w:rsidRDefault="004B2330" w:rsidP="00EF085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B2330" w:rsidRPr="00BA60B1" w:rsidRDefault="004B2330" w:rsidP="00BA6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0B1">
        <w:rPr>
          <w:rFonts w:ascii="Times New Roman" w:hAnsi="Times New Roman"/>
          <w:b/>
          <w:sz w:val="28"/>
          <w:szCs w:val="28"/>
          <w:lang w:val="uk-UA"/>
        </w:rPr>
        <w:t>6. Теми практичних та семінарських занять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221"/>
        <w:gridCol w:w="1276"/>
      </w:tblGrid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21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</w:tcPr>
          <w:p w:rsidR="004B2330" w:rsidRPr="004B2C90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Поняття університетської освіти. Університет - вищий навчальний заклад : історія створення та розвиток на сучасному етапі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Університетська освіта в контексті Болонського процесу 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.Соціально-культурна інфраструктура університету.</w:t>
            </w: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вищою освітою в Україні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Вищі навчальні заклади України та світу 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Стандарти вищої освіти України: зміст та необхідність вдосконалення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</w:tr>
    </w:tbl>
    <w:p w:rsidR="004B2330" w:rsidRPr="00411925" w:rsidRDefault="004B2330" w:rsidP="00BA6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B2330" w:rsidRPr="00BA60B1" w:rsidRDefault="004B2330" w:rsidP="00BA60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0B1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BA60B1">
        <w:rPr>
          <w:rFonts w:ascii="Times New Roman" w:hAnsi="Times New Roman"/>
          <w:b/>
          <w:sz w:val="28"/>
          <w:szCs w:val="28"/>
          <w:lang w:val="en-US"/>
        </w:rPr>
        <w:t>C</w:t>
      </w:r>
      <w:r w:rsidRPr="00BA60B1">
        <w:rPr>
          <w:rFonts w:ascii="Times New Roman" w:hAnsi="Times New Roman"/>
          <w:b/>
          <w:sz w:val="28"/>
          <w:szCs w:val="28"/>
          <w:lang w:val="uk-UA"/>
        </w:rPr>
        <w:t xml:space="preserve">амостійна робота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221"/>
        <w:gridCol w:w="1276"/>
      </w:tblGrid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21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Комплексна цільова програма (ЦКП) розвитку єдиної освітньої інформаційної сфери 2010-2015 роки на прикладі України, Росії та США. Стратегія розвитку кращих університетів України: інструменти і механізми її реалізації.</w:t>
            </w:r>
            <w:r w:rsidRPr="00BA60B1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1" w:type="dxa"/>
          </w:tcPr>
          <w:p w:rsidR="004B2330" w:rsidRPr="00A33A74" w:rsidRDefault="004B2330" w:rsidP="00411925">
            <w:pPr>
              <w:pStyle w:val="BodyText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uk-UA"/>
              </w:rPr>
            </w:pPr>
            <w:r w:rsidRPr="00A33A74">
              <w:rPr>
                <w:rFonts w:ascii="Times New Roman" w:hAnsi="Times New Roman"/>
                <w:i w:val="0"/>
                <w:sz w:val="24"/>
                <w:szCs w:val="24"/>
              </w:rPr>
              <w:t xml:space="preserve">Стратегія вдосконалення професійної підготовки молоді, створення необхідних умов та системи прийому талановитої молоді до вищих навчальних закладів України. 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Концепція розвитку вищої освіти України до 2020 року: механізм та інструменти її реалізації.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Безперервна освіта як одна з провідних вимог Болонського процесу, її необхідність та роль у житті сучасної людини.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Сучасне трактування освіти як загальнолюдської цінності, еволюція парадигм вищої освіти; гуманістична парадигма як основа вищої освіти в XXI столітті: її суть, роль, функції і значення. Цілі і пріоритети національної доктрини розвитку освіти в Україні: національний характер освіти; інтеграція вітчизняної освіти в європейській і світовій простір; очікувані результати.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Статут та структура університету: ректор; проректори; навчально-методичне управління; планово-економічне управління; фінансове управління; кадрове управління тощо.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Система управління вищою освітою та її складові. Модель управління у галузі вищої освіти.</w:t>
            </w:r>
          </w:p>
        </w:tc>
        <w:tc>
          <w:tcPr>
            <w:tcW w:w="1276" w:type="dxa"/>
            <w:vAlign w:val="center"/>
          </w:tcPr>
          <w:p w:rsidR="004B2330" w:rsidRPr="004B2C90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Флагмани української освіти: Київський Національний університет імені Т.Г. Шевченка; Національний університет «Київська політехніка»; Києво-Могилянська академія (НАУКМА); Львівська політехніка; Київський національний економічний університет (КНЕУ); Харківський національний університет (ХНУ); Одеський національний економічний університет (ОНЕУ) та інші.</w:t>
            </w:r>
          </w:p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Вищі навчальні заклади Росії, Британії, Америки, Франції, Німеччини, Польщі, Чехії, Іспанії, Японії, Канади, Австрії, Італії, Швеції, Скандинавії та 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Інших зарубіжних країн Європи та світу. Наукове обґрунтування необхідності використання кращого досвіду університетів цих країн в освітянському просторі України.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Науково-методичне забезпечення вищої освіти.</w:t>
            </w:r>
          </w:p>
        </w:tc>
        <w:tc>
          <w:tcPr>
            <w:tcW w:w="1276" w:type="dxa"/>
            <w:vAlign w:val="center"/>
          </w:tcPr>
          <w:p w:rsidR="004B2330" w:rsidRPr="004B2C90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розвиток навчальної та професійної мотивації студентів-економістів. Формування системи професійних пріоритетів та цінностей.</w:t>
            </w:r>
          </w:p>
        </w:tc>
        <w:tc>
          <w:tcPr>
            <w:tcW w:w="1276" w:type="dxa"/>
            <w:vAlign w:val="center"/>
          </w:tcPr>
          <w:p w:rsidR="004B2330" w:rsidRPr="004B2C90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Система професійних функцій фахівця з управління персоналом і економіки праці (функціональна модель фахівця). Основні виробничі функції і типові завдання діяльності фахівця з управління персоналом і економіки праці.</w:t>
            </w:r>
          </w:p>
        </w:tc>
        <w:tc>
          <w:tcPr>
            <w:tcW w:w="1276" w:type="dxa"/>
            <w:vAlign w:val="center"/>
          </w:tcPr>
          <w:p w:rsidR="004B2330" w:rsidRPr="004B2C90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Сутність роботи з навчальною та спеціальною літературою: правильна  постановка цілей роботи. Пошук інформації в додатковій літературі. Специфіка роботи з періодичними виданнями.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Орієнтування в книзі та швидкий пошук потрібної інформації (раціональне  читання).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Концепція виховної роботи в Житомирському державному технологічному університеті: механізми, методи і інструменти її реалізації.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221" w:type="dxa"/>
          </w:tcPr>
          <w:p w:rsidR="004B2330" w:rsidRPr="00BA60B1" w:rsidRDefault="004B2330" w:rsidP="00411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Всеукраїнська студентська рада як представницький орган студентів на державному рівні. Кращий досвід впровадження студентського самоврядування у ВНЗ України та Європи: його використання в ЖДТУ.</w:t>
            </w:r>
          </w:p>
        </w:tc>
        <w:tc>
          <w:tcPr>
            <w:tcW w:w="127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B2330" w:rsidRPr="00BA60B1" w:rsidTr="00411925">
        <w:tc>
          <w:tcPr>
            <w:tcW w:w="534" w:type="dxa"/>
            <w:vAlign w:val="center"/>
          </w:tcPr>
          <w:p w:rsidR="004B2330" w:rsidRPr="00411925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9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221" w:type="dxa"/>
          </w:tcPr>
          <w:p w:rsidR="004B2330" w:rsidRPr="00411925" w:rsidRDefault="004B2330" w:rsidP="00BA60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119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276" w:type="dxa"/>
            <w:vAlign w:val="center"/>
          </w:tcPr>
          <w:p w:rsidR="004B2330" w:rsidRPr="004B2C90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4B2330" w:rsidRDefault="004B2330">
      <w:pPr>
        <w:rPr>
          <w:rFonts w:ascii="Times New Roman" w:hAnsi="Times New Roman"/>
          <w:sz w:val="28"/>
          <w:szCs w:val="28"/>
          <w:lang w:val="uk-UA"/>
        </w:rPr>
      </w:pPr>
    </w:p>
    <w:p w:rsidR="004B2330" w:rsidRPr="00BA60B1" w:rsidRDefault="004B2330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center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BA60B1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BA60B1">
        <w:rPr>
          <w:rFonts w:ascii="Times New Roman" w:hAnsi="Times New Roman"/>
          <w:b/>
          <w:spacing w:val="-1"/>
          <w:sz w:val="28"/>
          <w:szCs w:val="28"/>
          <w:lang w:val="uk-UA"/>
        </w:rPr>
        <w:t>Індивідуальні завдання.</w:t>
      </w:r>
      <w:r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b/>
          <w:spacing w:val="-1"/>
          <w:sz w:val="28"/>
          <w:szCs w:val="28"/>
          <w:lang w:val="uk-UA"/>
        </w:rPr>
        <w:t>Т</w:t>
      </w:r>
      <w:r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ематика </w:t>
      </w:r>
      <w:r w:rsidRPr="00BA60B1">
        <w:rPr>
          <w:rFonts w:ascii="Times New Roman" w:hAnsi="Times New Roman"/>
          <w:b/>
          <w:spacing w:val="-1"/>
          <w:sz w:val="28"/>
          <w:szCs w:val="28"/>
          <w:lang w:val="uk-UA"/>
        </w:rPr>
        <w:t>рефератів.</w:t>
      </w:r>
    </w:p>
    <w:p w:rsidR="004B2330" w:rsidRPr="00BA60B1" w:rsidRDefault="004B2330" w:rsidP="00411925">
      <w:pPr>
        <w:tabs>
          <w:tab w:val="num" w:pos="-142"/>
          <w:tab w:val="left" w:pos="900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60B1">
        <w:rPr>
          <w:rFonts w:ascii="Times New Roman" w:hAnsi="Times New Roman"/>
          <w:sz w:val="28"/>
          <w:szCs w:val="28"/>
          <w:lang w:val="uk-UA"/>
        </w:rPr>
        <w:t>Окремі теоретичні теми або питання можна опрацювати самостійно і оформити у вигляді реферату.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sz w:val="28"/>
          <w:szCs w:val="28"/>
          <w:lang w:val="uk-UA"/>
        </w:rPr>
        <w:t>У рефераті слід вказати тему, питання, що розглядаються, літературу, що була використана.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sz w:val="28"/>
          <w:szCs w:val="28"/>
          <w:lang w:val="uk-UA"/>
        </w:rPr>
        <w:t>Багатопланові теоретичні питання  висвітлювати, спираючись на різні джерела їх тлумачення, або глибоко проаналізувати один, найбільш обґрунтований з точки зору студента, підхід.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sz w:val="28"/>
          <w:szCs w:val="28"/>
          <w:lang w:val="uk-UA"/>
        </w:rPr>
        <w:t xml:space="preserve">При написанні реферату </w:t>
      </w:r>
      <w:r w:rsidRPr="00BA60B1">
        <w:rPr>
          <w:rFonts w:ascii="Times New Roman" w:hAnsi="Times New Roman"/>
          <w:b/>
          <w:sz w:val="28"/>
          <w:szCs w:val="28"/>
          <w:lang w:val="uk-UA"/>
        </w:rPr>
        <w:t>забороняється</w:t>
      </w:r>
      <w:r w:rsidRPr="00BA60B1">
        <w:rPr>
          <w:rFonts w:ascii="Times New Roman" w:hAnsi="Times New Roman"/>
          <w:sz w:val="28"/>
          <w:szCs w:val="28"/>
          <w:lang w:val="uk-UA"/>
        </w:rPr>
        <w:t xml:space="preserve"> переписувати реферати, підготовлені іншими особами, взявши матеріали з інтернету. Такі роботи </w:t>
      </w:r>
      <w:r w:rsidRPr="00BA60B1">
        <w:rPr>
          <w:rFonts w:ascii="Times New Roman" w:hAnsi="Times New Roman"/>
          <w:b/>
          <w:sz w:val="28"/>
          <w:szCs w:val="28"/>
          <w:lang w:val="uk-UA"/>
        </w:rPr>
        <w:t>не будуть оцінюватись і не можуть бути  зараховані</w:t>
      </w:r>
      <w:r w:rsidRPr="00BA60B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sz w:val="28"/>
          <w:szCs w:val="28"/>
          <w:lang w:val="uk-UA"/>
        </w:rPr>
        <w:t>Реферат має носити науково-дослідницький характер, містити певні власні бачення, судження, пропозиції.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sz w:val="28"/>
          <w:szCs w:val="28"/>
          <w:lang w:val="uk-UA"/>
        </w:rPr>
        <w:t>Тема реферату визначається за номером у списку та за алфавітом (див.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60B1">
        <w:rPr>
          <w:rFonts w:ascii="Times New Roman" w:hAnsi="Times New Roman"/>
          <w:sz w:val="28"/>
          <w:szCs w:val="28"/>
          <w:lang w:val="uk-UA"/>
        </w:rPr>
        <w:t>нижче). Змінювати тему реферату можна лише за наявності відповідних причин та за погодженням із лектором</w:t>
      </w:r>
    </w:p>
    <w:p w:rsidR="004B2330" w:rsidRPr="00A14906" w:rsidRDefault="004B2330" w:rsidP="00EF085E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7257"/>
        <w:gridCol w:w="2268"/>
      </w:tblGrid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257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Тематика рефератів</w:t>
            </w:r>
          </w:p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Варіант к/р визнач. по початковій букві прізвища згідно букви алфавіту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Місія університету: її формування, зміст та реалізація.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Історія виникнення університетів в світі, Європі та Україні.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Історія розвитку університетської освіти в Україні.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13"/>
                <w:sz w:val="24"/>
                <w:szCs w:val="24"/>
                <w:lang w:val="uk-UA"/>
              </w:rPr>
              <w:t xml:space="preserve">Київський національний університет імені Тараса Григоровича Шевченка. </w:t>
            </w:r>
            <w:r w:rsidRPr="00BA60B1">
              <w:rPr>
                <w:rFonts w:ascii="Times New Roman" w:hAnsi="Times New Roman"/>
                <w:iCs/>
                <w:spacing w:val="8"/>
                <w:sz w:val="24"/>
                <w:szCs w:val="24"/>
                <w:lang w:val="uk-UA"/>
              </w:rPr>
              <w:t xml:space="preserve">(історія розбудови, розвитку та коротка презентація одного з найкращих 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>університетів України та світу)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«</w:t>
            </w:r>
            <w:r w:rsidRPr="00BA60B1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Національний університ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ет Києво - Могилянська Академія»</w:t>
            </w:r>
            <w:r w:rsidRPr="00BA60B1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.</w:t>
            </w:r>
          </w:p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(історична довідка про етапи становлення та розвитку в різні часи; 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 xml:space="preserve">фундатори і меценати Академії; особливу роль Петра Могили в заснуванні 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Києво - Могилянської Колегії та розбудові університетської освіти в Україні </w:t>
            </w:r>
            <w:r w:rsidRPr="00BA60B1">
              <w:rPr>
                <w:rFonts w:ascii="Times New Roman" w:hAnsi="Times New Roman"/>
                <w:iCs/>
                <w:spacing w:val="10"/>
                <w:sz w:val="24"/>
                <w:szCs w:val="24"/>
                <w:lang w:val="uk-UA"/>
              </w:rPr>
              <w:t xml:space="preserve">(Дивись: матеріали 3.1. Хижняк „Києво </w:t>
            </w:r>
            <w:r w:rsidRPr="00BA60B1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- </w:t>
            </w:r>
            <w:r w:rsidRPr="00BA60B1">
              <w:rPr>
                <w:rFonts w:ascii="Times New Roman" w:hAnsi="Times New Roman"/>
                <w:iCs/>
                <w:spacing w:val="10"/>
                <w:sz w:val="24"/>
                <w:szCs w:val="24"/>
                <w:lang w:val="uk-UA"/>
              </w:rPr>
              <w:t xml:space="preserve">Могилянська Академія"; сайт </w:t>
            </w:r>
            <w:r w:rsidRPr="00BA60B1">
              <w:rPr>
                <w:rFonts w:ascii="Times New Roman" w:hAnsi="Times New Roman"/>
                <w:iCs/>
                <w:spacing w:val="7"/>
                <w:sz w:val="24"/>
                <w:szCs w:val="24"/>
                <w:lang w:val="uk-UA"/>
              </w:rPr>
              <w:t xml:space="preserve">Академії; історичний нарис та ряд інших матеріалів, які висвітлюють 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історію цього вищого навчального закладу та його роль в підготовці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>української еліти на сучасному етапі)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Львівський національний університет імені Івана Франка: історія </w:t>
            </w:r>
            <w:r w:rsidRPr="00BA60B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створення та розвитку (1661 - 2010 роки). </w:t>
            </w:r>
            <w:r w:rsidRPr="00BA60B1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Презентація університету.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Становлення та розвиток Житомирського державного технологічного університету.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Болонський процес: основна мета, завдання та вимоги.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Болонський процес та кредитно - модульна система організації </w:t>
            </w: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навчального процесу в університеті.</w:t>
            </w:r>
          </w:p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(Передісторія; етапи Болонського процесу; вимоги до освітянського процесу в 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умовах інтеграційних процесів; модель кредитно - модульної системи 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організації навчального процесу та її основні положення)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Критичне мислення – сучасна освітня інновація.</w:t>
            </w:r>
          </w:p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(Визначення критичного мислення ; принципове значення в науково-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навчальному 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процесі; напрями впровадження в освітянський процес; </w:t>
            </w:r>
            <w:r w:rsidRPr="00BA60B1">
              <w:rPr>
                <w:rFonts w:ascii="Times New Roman" w:hAnsi="Times New Roman"/>
                <w:iCs/>
                <w:spacing w:val="7"/>
                <w:sz w:val="24"/>
                <w:szCs w:val="24"/>
                <w:lang w:val="uk-UA"/>
              </w:rPr>
              <w:t>адаптація в освітніх системах сучасності;)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Стратегія реформування вищої освіти України у процесі демократизації українського суспільства.</w:t>
            </w:r>
          </w:p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(Мета і завдання реформи; процес реформування; проблеми удосконалення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вищої освіти; методологія реформування вищої освіти України у процесі 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>дем</w:t>
            </w:r>
            <w:r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>ократизації суспільства; зміст «методологічного підходу»; «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>Мета –</w:t>
            </w:r>
            <w:r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>засоби – результат»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Аналіз основних положень Національної доктрини розвитку національної </w:t>
            </w:r>
            <w:r w:rsidRPr="00BA60B1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освіти та критична оцінка їх втілення в університетську освіту.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 xml:space="preserve">(Оцінка їх відповідності демократичним та інтегративним процесам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>українського суспільства)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>Закон України «</w:t>
            </w:r>
            <w:r w:rsidRPr="00BA60B1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>Про вищу освіту</w:t>
            </w:r>
            <w:r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» </w:t>
            </w: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(Структура; зміст; роль у врегулюванні суспільних відносин у галузі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університетської освіти; правові, організаційні, фінансові та інші засади </w:t>
            </w:r>
            <w:r w:rsidRPr="00BA60B1">
              <w:rPr>
                <w:rFonts w:ascii="Times New Roman" w:hAnsi="Times New Roman"/>
                <w:iCs/>
                <w:spacing w:val="4"/>
                <w:sz w:val="24"/>
                <w:szCs w:val="24"/>
                <w:lang w:val="uk-UA"/>
              </w:rPr>
              <w:t xml:space="preserve">функціонування системи університетської (вищої) освіти; створення умов 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для самореалізації особистості; забезпечення потреб суспільства і держави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>у кваліфікованих фахівцях всіх галузей народного господарства)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11"/>
                <w:sz w:val="24"/>
                <w:szCs w:val="24"/>
                <w:lang w:val="uk-UA"/>
              </w:rPr>
              <w:t xml:space="preserve">Кредитно - модульна система організації навчального процесу </w:t>
            </w:r>
            <w:r w:rsidRPr="00BA60B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(КТСОНП).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 xml:space="preserve">(Головні завдання КТСОНП; хронологія Болонського процесу (1997 - 2010 </w:t>
            </w:r>
            <w:r w:rsidRPr="00BA60B1">
              <w:rPr>
                <w:rFonts w:ascii="Times New Roman" w:hAnsi="Times New Roman"/>
                <w:iCs/>
                <w:spacing w:val="4"/>
                <w:sz w:val="24"/>
                <w:szCs w:val="24"/>
                <w:lang w:val="uk-UA"/>
              </w:rPr>
              <w:t xml:space="preserve">роки); чому саме Болонська угода?; напрями ідейного розвитку системи 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«</w:t>
            </w:r>
            <w:r w:rsidRPr="00BA60B1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Бол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онья - Прага - Берлін – Берген»</w:t>
            </w:r>
            <w:r w:rsidRPr="00BA60B1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; виклики, які на сучасному етапі виникають </w:t>
            </w:r>
            <w:r w:rsidRPr="00BA60B1">
              <w:rPr>
                <w:rFonts w:ascii="Times New Roman" w:hAnsi="Times New Roman"/>
                <w:iCs/>
                <w:spacing w:val="-3"/>
                <w:sz w:val="24"/>
                <w:szCs w:val="24"/>
                <w:lang w:val="uk-UA"/>
              </w:rPr>
              <w:t xml:space="preserve">для кожного (зокрема українського) університету; навіщо потрібен Болонський </w:t>
            </w: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процес у твоєму рідному університеті; календарний план стратегії МОН </w:t>
            </w:r>
            <w:r w:rsidRPr="00BA60B1">
              <w:rPr>
                <w:rFonts w:ascii="Times New Roman" w:hAnsi="Times New Roman"/>
                <w:iCs/>
                <w:spacing w:val="-7"/>
                <w:sz w:val="24"/>
                <w:szCs w:val="24"/>
                <w:lang w:val="uk-UA"/>
              </w:rPr>
              <w:t xml:space="preserve">України до 2010 року; експеримент (2005, 2006рр.), розширення (2006 - 2008 рр.), </w:t>
            </w:r>
            <w:r w:rsidRPr="00BA60B1">
              <w:rPr>
                <w:rFonts w:ascii="Times New Roman" w:hAnsi="Times New Roman"/>
                <w:iCs/>
                <w:spacing w:val="-1"/>
                <w:sz w:val="24"/>
                <w:szCs w:val="24"/>
                <w:lang w:val="uk-UA"/>
              </w:rPr>
              <w:t>впровадження (2008 - 2010 рр.); базові нормативні документи МОН України)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Болонський процес: лектор чи т’</w:t>
            </w:r>
            <w:r w:rsidRPr="00BA60B1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ютор?</w:t>
            </w:r>
          </w:p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>(Чому не лектор, а т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’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>ютор; завдання т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’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 xml:space="preserve">ютора як вихователя і викладача: 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’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ютор не розробляє курс, а лише презентує його зміст і місце в освітньому </w:t>
            </w:r>
            <w:r w:rsidRPr="00BA60B1">
              <w:rPr>
                <w:rFonts w:ascii="Times New Roman" w:hAnsi="Times New Roman"/>
                <w:iCs/>
                <w:spacing w:val="7"/>
                <w:sz w:val="24"/>
                <w:szCs w:val="24"/>
                <w:lang w:val="uk-UA"/>
              </w:rPr>
              <w:t>процесі; т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’</w:t>
            </w:r>
            <w:r w:rsidRPr="00BA60B1">
              <w:rPr>
                <w:rFonts w:ascii="Times New Roman" w:hAnsi="Times New Roman"/>
                <w:iCs/>
                <w:spacing w:val="7"/>
                <w:sz w:val="24"/>
                <w:szCs w:val="24"/>
                <w:lang w:val="uk-UA"/>
              </w:rPr>
              <w:t xml:space="preserve">ютор як організатор і індивідуальний тренер студента;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індивідуальні консультації – базовий і обов'язковий компонент Болонської </w:t>
            </w:r>
            <w:r w:rsidRPr="00BA60B1"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  <w:t>системи)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Компетентнісний підхід в Болонському процесі - основа стандартів вищої </w:t>
            </w: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освіти країн Європи і України.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Актуальні завдання впровадження ідей Болонського процесу в Україні.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(Опрацювання, опублікування та неухильне дотримання словника основних 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термінів Болонського процесу; створення та негайне запровадження якісно нового Положення про організацію навчального процесу в умовах реформи; </w:t>
            </w:r>
            <w:r w:rsidRPr="00BA60B1">
              <w:rPr>
                <w:rFonts w:ascii="Times New Roman" w:hAnsi="Times New Roman"/>
                <w:iCs/>
                <w:spacing w:val="8"/>
                <w:sz w:val="24"/>
                <w:szCs w:val="24"/>
                <w:lang w:val="uk-UA"/>
              </w:rPr>
              <w:t>впровадження в повному обсязі ЕСТ</w:t>
            </w:r>
            <w:r w:rsidRPr="00BA60B1">
              <w:rPr>
                <w:rFonts w:ascii="Times New Roman" w:hAnsi="Times New Roman"/>
                <w:iCs/>
                <w:spacing w:val="8"/>
                <w:sz w:val="24"/>
                <w:szCs w:val="24"/>
                <w:lang w:val="en-US"/>
              </w:rPr>
              <w:t>S</w:t>
            </w:r>
            <w:r w:rsidRPr="00BA60B1">
              <w:rPr>
                <w:rFonts w:ascii="Times New Roman" w:hAnsi="Times New Roman"/>
                <w:iCs/>
                <w:spacing w:val="8"/>
                <w:sz w:val="24"/>
                <w:szCs w:val="24"/>
                <w:lang w:val="uk-UA"/>
              </w:rPr>
              <w:t xml:space="preserve"> як єдиної системи кредитного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трансферу; напрацювання необхідного нормативно - правового забезпечення </w:t>
            </w:r>
            <w:r w:rsidRPr="00BA60B1">
              <w:rPr>
                <w:rFonts w:ascii="Times New Roman" w:hAnsi="Times New Roman"/>
                <w:iCs/>
                <w:spacing w:val="-1"/>
                <w:sz w:val="24"/>
                <w:szCs w:val="24"/>
                <w:lang w:val="uk-UA"/>
              </w:rPr>
              <w:t xml:space="preserve">визнання неформального навчання; модернізація описів державних стандартів </w:t>
            </w: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в сфері вищої освіти; розроблення Національної системи кваліфікацій; </w:t>
            </w:r>
            <w:r w:rsidRPr="00BA60B1">
              <w:rPr>
                <w:rFonts w:ascii="Times New Roman" w:hAnsi="Times New Roman"/>
                <w:iCs/>
                <w:spacing w:val="-8"/>
                <w:sz w:val="24"/>
                <w:szCs w:val="24"/>
                <w:lang w:val="uk-UA"/>
              </w:rPr>
              <w:t>опрацювання Концепції третього цикл навчання)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Програма дій щодо реалізації положень Болонської декларації в системі </w:t>
            </w:r>
            <w:r w:rsidRPr="00BA60B1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вищої освіти і науки України (наказ МОН України від 23.01.04 р. за № </w:t>
            </w:r>
            <w:r w:rsidRPr="00BA60B1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49). </w:t>
            </w: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(Зміст Програми; мета та основні завдання реформування вищої освіти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України; умови для реалізації концептуальних засад Болонського процесу в 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Україні; очікувані результати виконання заходів, передбачених Програмою)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19"/>
                <w:sz w:val="24"/>
                <w:szCs w:val="24"/>
                <w:lang w:val="uk-UA"/>
              </w:rPr>
              <w:t xml:space="preserve">Основні принципи Болонської декларації, їх реалізація в 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університетській освіті України в системі підготовки фахівців з фінансів </w:t>
            </w: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 кредиту.</w:t>
            </w:r>
            <w:r w:rsidRPr="00BA60B1">
              <w:rPr>
                <w:rFonts w:ascii="Times New Roman" w:hAnsi="Times New Roman"/>
                <w:iCs/>
                <w:spacing w:val="2"/>
                <w:sz w:val="24"/>
                <w:szCs w:val="24"/>
                <w:lang w:val="uk-UA"/>
              </w:rPr>
              <w:t xml:space="preserve">(Цілі і завдання Болонської декларації; компетенції бакалаврів для різних </w:t>
            </w:r>
            <w:r w:rsidRPr="00BA60B1">
              <w:rPr>
                <w:rFonts w:ascii="Times New Roman" w:hAnsi="Times New Roman"/>
                <w:iCs/>
                <w:spacing w:val="-9"/>
                <w:sz w:val="24"/>
                <w:szCs w:val="24"/>
                <w:lang w:val="uk-UA"/>
              </w:rPr>
              <w:t xml:space="preserve">предметних галузей; компетенції і вміння випускників магістратури; ЕСТ8 як засіб 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студентської мобільності; три рівня системи забезпечення якості: ВНЗ </w:t>
            </w:r>
            <w:r w:rsidRPr="00BA60B1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конкретної країни і Європи в цілому; бально - рейтингова європейська система </w:t>
            </w:r>
            <w:r w:rsidRPr="00BA60B1"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  <w:t xml:space="preserve">навчання і шкала оцінювання знань студентів; 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Система стандартів вищої освіти: їх рол і використання в реалізації </w:t>
            </w: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освітньої діяльності ВНЗ України. </w:t>
            </w:r>
            <w:r w:rsidRPr="00BA60B1">
              <w:rPr>
                <w:rFonts w:ascii="Times New Roman" w:hAnsi="Times New Roman"/>
                <w:iCs/>
                <w:spacing w:val="5"/>
                <w:sz w:val="24"/>
                <w:szCs w:val="24"/>
                <w:lang w:val="uk-UA"/>
              </w:rPr>
              <w:t xml:space="preserve">(Державний стандарт вищої освіти, його складові; складові галузевих </w:t>
            </w:r>
            <w:r w:rsidRPr="00BA60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стандартів вищої освіти; складові стандарти вищої освіти ВНЗ України; освітньо - кваліфікаційна характеристика бакалавра (ОКХ) за спеціальністю 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 «</w:t>
            </w: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>Управлінн</w:t>
            </w:r>
            <w:r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>я персоналом і економіка праці»</w:t>
            </w:r>
            <w:r w:rsidRPr="00BA60B1">
              <w:rPr>
                <w:rFonts w:ascii="Times New Roman" w:hAnsi="Times New Roman"/>
                <w:iCs/>
                <w:spacing w:val="3"/>
                <w:sz w:val="24"/>
                <w:szCs w:val="24"/>
                <w:lang w:val="uk-UA"/>
              </w:rPr>
              <w:t xml:space="preserve">; освітньо — професійна програма бакалавра </w:t>
            </w:r>
            <w:r>
              <w:rPr>
                <w:rFonts w:ascii="Times New Roman" w:hAnsi="Times New Roman"/>
                <w:iCs/>
                <w:spacing w:val="14"/>
                <w:sz w:val="24"/>
                <w:szCs w:val="24"/>
                <w:lang w:val="uk-UA"/>
              </w:rPr>
              <w:t>(ОПП) за спеціальністю «</w:t>
            </w:r>
            <w:r w:rsidRPr="00BA60B1">
              <w:rPr>
                <w:rFonts w:ascii="Times New Roman" w:hAnsi="Times New Roman"/>
                <w:iCs/>
                <w:spacing w:val="14"/>
                <w:sz w:val="24"/>
                <w:szCs w:val="24"/>
                <w:lang w:val="uk-UA"/>
              </w:rPr>
              <w:t>Управлінн</w:t>
            </w:r>
            <w:r>
              <w:rPr>
                <w:rFonts w:ascii="Times New Roman" w:hAnsi="Times New Roman"/>
                <w:iCs/>
                <w:spacing w:val="14"/>
                <w:sz w:val="24"/>
                <w:szCs w:val="24"/>
                <w:lang w:val="uk-UA"/>
              </w:rPr>
              <w:t>я персоналом і економіка праці»</w:t>
            </w:r>
            <w:r w:rsidRPr="00BA60B1">
              <w:rPr>
                <w:rFonts w:ascii="Times New Roman" w:hAnsi="Times New Roman"/>
                <w:iCs/>
                <w:spacing w:val="14"/>
                <w:sz w:val="24"/>
                <w:szCs w:val="24"/>
                <w:lang w:val="uk-UA"/>
              </w:rPr>
              <w:t xml:space="preserve">; Паспорт </w:t>
            </w:r>
            <w:r w:rsidRPr="00BA60B1">
              <w:rPr>
                <w:rFonts w:ascii="Times New Roman" w:hAnsi="Times New Roman"/>
                <w:iCs/>
                <w:spacing w:val="7"/>
                <w:sz w:val="24"/>
                <w:szCs w:val="24"/>
                <w:lang w:val="uk-UA"/>
              </w:rPr>
              <w:t xml:space="preserve">спеціальності; компетентнісний підхід, навичка, узагальнений </w:t>
            </w:r>
            <w:r w:rsidRPr="00BA60B1">
              <w:rPr>
                <w:rFonts w:ascii="Times New Roman" w:hAnsi="Times New Roman"/>
                <w:iCs/>
                <w:spacing w:val="1"/>
                <w:sz w:val="24"/>
                <w:szCs w:val="24"/>
                <w:lang w:val="uk-UA"/>
              </w:rPr>
              <w:t xml:space="preserve">об'єкт діяльності; професійні компетенції фахівців (бакалавра, магістра) </w:t>
            </w:r>
            <w:r w:rsidRPr="00BA60B1"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  <w:t xml:space="preserve">спеціальності 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  <w:t>«</w:t>
            </w:r>
            <w:r w:rsidRPr="00BA60B1">
              <w:rPr>
                <w:rFonts w:ascii="Times New Roman" w:hAnsi="Times New Roman"/>
                <w:iCs/>
                <w:spacing w:val="14"/>
                <w:sz w:val="24"/>
                <w:szCs w:val="24"/>
                <w:lang w:val="uk-UA"/>
              </w:rPr>
              <w:t>Управління персоналом і економіка праці</w:t>
            </w:r>
            <w:r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  <w:t xml:space="preserve"> «</w:t>
            </w:r>
            <w:r w:rsidRPr="00BA60B1">
              <w:rPr>
                <w:rFonts w:ascii="Times New Roman" w:hAnsi="Times New Roman"/>
                <w:iCs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Болонський процес: історія, передумови виникнення та створення 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Великої Хартії університетів (</w:t>
            </w:r>
            <w:r w:rsidRPr="00BA60B1">
              <w:rPr>
                <w:rFonts w:ascii="Times New Roman" w:hAnsi="Times New Roman"/>
                <w:sz w:val="24"/>
                <w:szCs w:val="24"/>
                <w:lang w:val="en-US"/>
              </w:rPr>
              <w:t>Magna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A60B1">
              <w:rPr>
                <w:rFonts w:ascii="Times New Roman" w:hAnsi="Times New Roman"/>
                <w:sz w:val="24"/>
                <w:szCs w:val="24"/>
                <w:lang w:val="en-US"/>
              </w:rPr>
              <w:t>Charta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A60B1">
              <w:rPr>
                <w:rFonts w:ascii="Times New Roman" w:hAnsi="Times New Roman"/>
                <w:sz w:val="24"/>
                <w:szCs w:val="24"/>
                <w:lang w:val="en-US"/>
              </w:rPr>
              <w:t>Universitatum</w:t>
            </w: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Концепція розвитку дистанційної освіти в Україні: стратегія її реалізації.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Система вищої  освіти в Росії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Система вищої освіти в Великій Британії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Система вищої освіти в США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Система вищої освіти в Франції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Система вищої освіти в Італії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Щ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Система вищої освіти в країнах Скандинавії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Система вищої освіти в Іспанії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</w:p>
        </w:tc>
      </w:tr>
      <w:tr w:rsidR="004B2330" w:rsidRPr="00BA60B1" w:rsidTr="00411925">
        <w:tc>
          <w:tcPr>
            <w:tcW w:w="506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257" w:type="dxa"/>
          </w:tcPr>
          <w:p w:rsidR="004B2330" w:rsidRPr="00BA60B1" w:rsidRDefault="004B2330" w:rsidP="00411925">
            <w:pPr>
              <w:shd w:val="clear" w:color="auto" w:fill="FFFFFF"/>
              <w:tabs>
                <w:tab w:val="left" w:pos="73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0B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Система вищої освіти в Німеччині</w:t>
            </w:r>
          </w:p>
        </w:tc>
        <w:tc>
          <w:tcPr>
            <w:tcW w:w="2268" w:type="dxa"/>
            <w:vAlign w:val="center"/>
          </w:tcPr>
          <w:p w:rsidR="004B2330" w:rsidRPr="00BA60B1" w:rsidRDefault="004B2330" w:rsidP="0041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0B1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</w:tbl>
    <w:p w:rsidR="004B2330" w:rsidRDefault="004B2330" w:rsidP="00EF08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2330" w:rsidRDefault="004B2330" w:rsidP="00EF08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2330" w:rsidRPr="00EF085E" w:rsidRDefault="004B2330" w:rsidP="00EF08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085E">
        <w:rPr>
          <w:rFonts w:ascii="Times New Roman" w:hAnsi="Times New Roman"/>
          <w:b/>
          <w:sz w:val="28"/>
          <w:szCs w:val="28"/>
          <w:lang w:val="uk-UA"/>
        </w:rPr>
        <w:t>9. Методи і форми навчання</w:t>
      </w:r>
    </w:p>
    <w:p w:rsidR="004B2330" w:rsidRPr="00EF085E" w:rsidRDefault="004B2330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 xml:space="preserve">Викладання навчальної дисципліни базується на таких основних </w:t>
      </w:r>
      <w:r w:rsidRPr="00EF085E">
        <w:rPr>
          <w:rFonts w:ascii="Times New Roman" w:hAnsi="Times New Roman"/>
          <w:b/>
          <w:sz w:val="28"/>
          <w:szCs w:val="28"/>
          <w:lang w:val="uk-UA"/>
        </w:rPr>
        <w:t>методах:</w:t>
      </w:r>
    </w:p>
    <w:p w:rsidR="004B2330" w:rsidRPr="00EF085E" w:rsidRDefault="004B2330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а) за рівнем самостійної розумової діяльності студентів:</w:t>
      </w:r>
    </w:p>
    <w:p w:rsidR="004B2330" w:rsidRPr="00EF085E" w:rsidRDefault="004B2330" w:rsidP="00751B3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проблемний виклад матеріалу;</w:t>
      </w:r>
    </w:p>
    <w:p w:rsidR="004B2330" w:rsidRDefault="004B2330" w:rsidP="00751B3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частково-пошуковий метод;</w:t>
      </w:r>
    </w:p>
    <w:p w:rsidR="004B2330" w:rsidRPr="00EF085E" w:rsidRDefault="004B2330" w:rsidP="00751B3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дослідницький метод;</w:t>
      </w:r>
    </w:p>
    <w:p w:rsidR="004B2330" w:rsidRPr="00EF085E" w:rsidRDefault="004B2330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б) за характером логіки пізнання:</w:t>
      </w:r>
    </w:p>
    <w:p w:rsidR="004B2330" w:rsidRPr="00EF085E" w:rsidRDefault="004B2330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аналітичний метод;</w:t>
      </w:r>
    </w:p>
    <w:p w:rsidR="004B2330" w:rsidRPr="00EF085E" w:rsidRDefault="004B2330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метод синтезу;</w:t>
      </w:r>
    </w:p>
    <w:p w:rsidR="004B2330" w:rsidRPr="00EF085E" w:rsidRDefault="004B2330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дедуктивний метод;</w:t>
      </w:r>
    </w:p>
    <w:p w:rsidR="004B2330" w:rsidRPr="00EF085E" w:rsidRDefault="004B2330" w:rsidP="00751B37">
      <w:pPr>
        <w:pStyle w:val="ListParagraph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традуктивний метод;</w:t>
      </w:r>
    </w:p>
    <w:p w:rsidR="004B2330" w:rsidRPr="00EF085E" w:rsidRDefault="004B2330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в) словесні методи:</w:t>
      </w:r>
    </w:p>
    <w:p w:rsidR="004B2330" w:rsidRPr="00EF085E" w:rsidRDefault="004B2330" w:rsidP="00751B37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розповідь, пояснення, лекція, бесіда, робота з книгою;</w:t>
      </w:r>
    </w:p>
    <w:p w:rsidR="004B2330" w:rsidRPr="00EF085E" w:rsidRDefault="004B2330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г) метод наочності викладу матеріалу;</w:t>
      </w:r>
    </w:p>
    <w:p w:rsidR="004B2330" w:rsidRPr="00EF085E" w:rsidRDefault="004B2330" w:rsidP="00EF085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 xml:space="preserve">д) практичний метод. 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 xml:space="preserve">Основними </w:t>
      </w:r>
      <w:r w:rsidRPr="00EF085E">
        <w:rPr>
          <w:b/>
          <w:sz w:val="28"/>
          <w:szCs w:val="28"/>
        </w:rPr>
        <w:t xml:space="preserve">формами </w:t>
      </w:r>
      <w:r w:rsidRPr="00EF085E">
        <w:rPr>
          <w:sz w:val="28"/>
          <w:szCs w:val="28"/>
        </w:rPr>
        <w:t>викладання дисципліни є: навчальні заняття, виконання індивідуальних завдань, самостійна робота студентів і контрольні заходи.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Основними видами навчальних (аудиторних) занять є: лекція, семінарське та індивідуальне заняття, консультація.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b/>
          <w:sz w:val="28"/>
          <w:szCs w:val="28"/>
        </w:rPr>
        <w:t>Лекція</w:t>
      </w:r>
      <w:r w:rsidRPr="00EF085E">
        <w:rPr>
          <w:sz w:val="28"/>
          <w:szCs w:val="28"/>
        </w:rPr>
        <w:t xml:space="preserve"> є одним з основних видів навчальних занять і, водночас, методів навчання у викладанні даної дисципліни. Вона покликана формувати у студентів основи знань з</w:t>
      </w:r>
      <w:r w:rsidRPr="00EF08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предмету «</w:t>
      </w:r>
      <w:r w:rsidRPr="00EF085E">
        <w:rPr>
          <w:sz w:val="28"/>
          <w:szCs w:val="28"/>
          <w:lang w:val="uk-UA"/>
        </w:rPr>
        <w:t>Університетської освіти</w:t>
      </w:r>
      <w:r>
        <w:rPr>
          <w:sz w:val="28"/>
          <w:szCs w:val="28"/>
        </w:rPr>
        <w:t>»</w:t>
      </w:r>
      <w:r w:rsidRPr="00EF085E">
        <w:rPr>
          <w:sz w:val="28"/>
          <w:szCs w:val="28"/>
        </w:rPr>
        <w:t>, а також визначати напрямок, основний зміст і характер усіх інших видів навчальних занять та самостійної роботи студентів з даної навчальної дисципліни.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b/>
          <w:sz w:val="28"/>
          <w:szCs w:val="28"/>
        </w:rPr>
        <w:t xml:space="preserve">Семінарське заняття </w:t>
      </w:r>
      <w:r w:rsidRPr="00EF085E">
        <w:rPr>
          <w:sz w:val="28"/>
          <w:szCs w:val="28"/>
        </w:rPr>
        <w:t>як вид навчального заняття використовується для організації обговорення студентами питань з попередньо визначених тем робочою навчальною програмою. Семінарські заняття проводяться у формі бесіди (просемінар), рецензування та обговорення рефератів і доповідей, дискусій.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b/>
          <w:sz w:val="28"/>
          <w:szCs w:val="28"/>
        </w:rPr>
        <w:t>Самостійна робота</w:t>
      </w:r>
      <w:r w:rsidRPr="00EF085E">
        <w:rPr>
          <w:sz w:val="28"/>
          <w:szCs w:val="28"/>
        </w:rPr>
        <w:t xml:space="preserve"> є основним засобом засвоєння студентом навчального матеріалу з даного предмету в час, вільний від обов'язкових навчальних занять.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Самостійна робота студентів забезпечується всіма навчально-методичними засобами, необхідними для вивчення навчальної дисципліни чи окремої теми: підручниками, навчальними та методичними посібниками, конспектами лекцій тощо.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Студентам також рекомендується для самостійного опрацювання відповідна наукова література та періодичні видання.</w:t>
      </w:r>
    </w:p>
    <w:p w:rsidR="004B2330" w:rsidRPr="00EF085E" w:rsidRDefault="004B2330" w:rsidP="00EF085E">
      <w:pPr>
        <w:pStyle w:val="1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F085E">
        <w:rPr>
          <w:sz w:val="28"/>
          <w:szCs w:val="28"/>
        </w:rPr>
        <w:t>Методичне забезпечення самостійної роботи студентів передбачає й засоби самоконтролю (тести, пакети контрольних завдань).</w:t>
      </w:r>
    </w:p>
    <w:p w:rsidR="004B2330" w:rsidRDefault="004B2330" w:rsidP="00EF0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EF085E" w:rsidRDefault="004B2330" w:rsidP="00EF085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b/>
          <w:sz w:val="28"/>
          <w:szCs w:val="28"/>
          <w:lang w:val="uk-UA"/>
        </w:rPr>
        <w:t>10.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F085E">
        <w:rPr>
          <w:rFonts w:ascii="Times New Roman" w:hAnsi="Times New Roman"/>
          <w:b/>
          <w:sz w:val="28"/>
          <w:szCs w:val="28"/>
          <w:lang w:val="uk-UA"/>
        </w:rPr>
        <w:t>Методи контролю</w:t>
      </w:r>
    </w:p>
    <w:p w:rsidR="004B2330" w:rsidRPr="00EF085E" w:rsidRDefault="004B2330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поточний контроль знань;</w:t>
      </w:r>
    </w:p>
    <w:p w:rsidR="004B2330" w:rsidRPr="00EF085E" w:rsidRDefault="004B2330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модульний контроль;</w:t>
      </w:r>
    </w:p>
    <w:p w:rsidR="004B2330" w:rsidRPr="00EF085E" w:rsidRDefault="004B2330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підсумковий (семестровий) контроль у формі залік</w:t>
      </w:r>
    </w:p>
    <w:p w:rsidR="004B2330" w:rsidRPr="00EF085E" w:rsidRDefault="004B2330" w:rsidP="00751B37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085E">
        <w:rPr>
          <w:rFonts w:ascii="Times New Roman" w:hAnsi="Times New Roman"/>
          <w:sz w:val="28"/>
          <w:szCs w:val="28"/>
          <w:lang w:val="uk-UA"/>
        </w:rPr>
        <w:t>комплексна контрольна робота.</w:t>
      </w:r>
    </w:p>
    <w:p w:rsidR="004B2330" w:rsidRDefault="004B2330" w:rsidP="00EF08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2330" w:rsidRPr="00EF085E" w:rsidRDefault="004B2330" w:rsidP="00EF08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085E">
        <w:rPr>
          <w:rFonts w:ascii="Times New Roman" w:hAnsi="Times New Roman"/>
          <w:b/>
          <w:sz w:val="28"/>
          <w:szCs w:val="28"/>
          <w:lang w:val="uk-UA"/>
        </w:rPr>
        <w:t>11. Розподіл балів, які отримують студенти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510"/>
        <w:gridCol w:w="657"/>
        <w:gridCol w:w="729"/>
        <w:gridCol w:w="579"/>
        <w:gridCol w:w="581"/>
        <w:gridCol w:w="665"/>
        <w:gridCol w:w="497"/>
        <w:gridCol w:w="445"/>
        <w:gridCol w:w="583"/>
        <w:gridCol w:w="729"/>
        <w:gridCol w:w="727"/>
        <w:gridCol w:w="1617"/>
        <w:gridCol w:w="1078"/>
      </w:tblGrid>
      <w:tr w:rsidR="004B2330" w:rsidRPr="00EF085E" w:rsidTr="00536924">
        <w:trPr>
          <w:cantSplit/>
        </w:trPr>
        <w:tc>
          <w:tcPr>
            <w:tcW w:w="3650" w:type="pct"/>
            <w:gridSpan w:val="12"/>
            <w:tcMar>
              <w:left w:w="57" w:type="dxa"/>
              <w:right w:w="57" w:type="dxa"/>
            </w:tcMar>
            <w:vAlign w:val="center"/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тест (екзамен)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  <w:vAlign w:val="center"/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</w:tc>
      </w:tr>
      <w:tr w:rsidR="004B2330" w:rsidRPr="00EF085E" w:rsidTr="00536924">
        <w:trPr>
          <w:cantSplit/>
        </w:trPr>
        <w:tc>
          <w:tcPr>
            <w:tcW w:w="3650" w:type="pct"/>
            <w:gridSpan w:val="12"/>
            <w:tcMar>
              <w:left w:w="57" w:type="dxa"/>
              <w:right w:w="57" w:type="dxa"/>
            </w:tcMar>
            <w:vAlign w:val="center"/>
          </w:tcPr>
          <w:p w:rsidR="004B2330" w:rsidRPr="00EF085E" w:rsidRDefault="004B2330" w:rsidP="0075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81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4B2330" w:rsidRPr="00EF085E" w:rsidTr="00536924">
        <w:trPr>
          <w:cantSplit/>
        </w:trPr>
        <w:tc>
          <w:tcPr>
            <w:tcW w:w="293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Т1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Т3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Т7</w:t>
            </w:r>
          </w:p>
        </w:tc>
        <w:tc>
          <w:tcPr>
            <w:tcW w:w="249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Т8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Т9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Т10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Т11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B2330" w:rsidRPr="00536924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36924">
              <w:rPr>
                <w:rFonts w:ascii="Times New Roman" w:hAnsi="Times New Roman"/>
                <w:sz w:val="20"/>
                <w:szCs w:val="20"/>
                <w:lang w:val="uk-UA"/>
              </w:rPr>
              <w:t>Т12-14</w:t>
            </w: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30" w:rsidRPr="00EF085E" w:rsidTr="00536924">
        <w:trPr>
          <w:cantSplit/>
        </w:trPr>
        <w:tc>
          <w:tcPr>
            <w:tcW w:w="293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6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9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085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4B2330" w:rsidRPr="00EF085E" w:rsidRDefault="004B2330" w:rsidP="00EF0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B2330" w:rsidRPr="004E4051" w:rsidRDefault="004B2330" w:rsidP="00EF085E">
      <w:pPr>
        <w:ind w:firstLine="600"/>
        <w:jc w:val="center"/>
        <w:rPr>
          <w:i/>
          <w:sz w:val="24"/>
          <w:lang w:val="uk-UA"/>
        </w:rPr>
      </w:pPr>
    </w:p>
    <w:p w:rsidR="004B2330" w:rsidRPr="00B75539" w:rsidRDefault="004B2330" w:rsidP="00B75539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оцінювання: національ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B75539">
        <w:rPr>
          <w:rFonts w:ascii="Times New Roman" w:hAnsi="Times New Roman"/>
          <w:b/>
          <w:bCs/>
          <w:sz w:val="28"/>
          <w:szCs w:val="28"/>
          <w:lang w:val="uk-UA"/>
        </w:rPr>
        <w:t>а та ECTS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9"/>
        <w:gridCol w:w="1357"/>
        <w:gridCol w:w="3560"/>
        <w:gridCol w:w="2977"/>
      </w:tblGrid>
      <w:tr w:rsidR="004B2330" w:rsidRPr="00B75539" w:rsidTr="00751B37">
        <w:trPr>
          <w:trHeight w:val="450"/>
        </w:trPr>
        <w:tc>
          <w:tcPr>
            <w:tcW w:w="2029" w:type="dxa"/>
            <w:vMerge w:val="restart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6537" w:type="dxa"/>
            <w:gridSpan w:val="2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4B2330" w:rsidRPr="00B75539" w:rsidTr="00751B37">
        <w:trPr>
          <w:trHeight w:val="450"/>
        </w:trPr>
        <w:tc>
          <w:tcPr>
            <w:tcW w:w="2029" w:type="dxa"/>
            <w:vMerge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60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7" w:type="dxa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4B2330" w:rsidRPr="00B75539" w:rsidTr="00751B37"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560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977" w:type="dxa"/>
            <w:vMerge w:val="restart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4B2330" w:rsidRPr="00B75539" w:rsidTr="00751B37">
        <w:trPr>
          <w:trHeight w:val="194"/>
        </w:trPr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560" w:type="dxa"/>
            <w:vMerge w:val="restart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977" w:type="dxa"/>
            <w:vMerge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30" w:rsidRPr="00B75539" w:rsidTr="00751B37"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560" w:type="dxa"/>
            <w:vMerge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30" w:rsidRPr="00B75539" w:rsidTr="00751B37"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560" w:type="dxa"/>
            <w:vMerge w:val="restart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977" w:type="dxa"/>
            <w:vMerge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30" w:rsidRPr="00B75539" w:rsidTr="00751B37"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560" w:type="dxa"/>
            <w:vMerge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30" w:rsidRPr="00B75539" w:rsidTr="00751B37"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560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7" w:type="dxa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B2330" w:rsidRPr="00B75539" w:rsidTr="00751B37">
        <w:trPr>
          <w:trHeight w:val="708"/>
        </w:trPr>
        <w:tc>
          <w:tcPr>
            <w:tcW w:w="2029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560" w:type="dxa"/>
            <w:vAlign w:val="center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7" w:type="dxa"/>
          </w:tcPr>
          <w:p w:rsidR="004B2330" w:rsidRPr="00B75539" w:rsidRDefault="004B2330" w:rsidP="00B7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539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B2330" w:rsidRDefault="004B2330" w:rsidP="00B7553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B75539" w:rsidRDefault="004B2330" w:rsidP="00B7553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sz w:val="28"/>
          <w:szCs w:val="28"/>
          <w:lang w:val="uk-UA"/>
        </w:rPr>
        <w:t>13. Методичне забезпечення</w:t>
      </w:r>
    </w:p>
    <w:p w:rsidR="004B2330" w:rsidRPr="007F4593" w:rsidRDefault="004B2330" w:rsidP="007F459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F459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F4593">
        <w:rPr>
          <w:rFonts w:ascii="Times New Roman" w:hAnsi="Times New Roman"/>
          <w:color w:val="000000"/>
          <w:sz w:val="28"/>
          <w:szCs w:val="28"/>
          <w:lang w:val="uk-UA"/>
        </w:rPr>
        <w:t xml:space="preserve">Шпиталенко Г.А., </w:t>
      </w:r>
      <w:r w:rsidRPr="007F4593">
        <w:rPr>
          <w:rFonts w:ascii="Times New Roman" w:hAnsi="Times New Roman"/>
          <w:sz w:val="28"/>
          <w:szCs w:val="28"/>
          <w:lang w:val="uk-UA"/>
        </w:rPr>
        <w:t xml:space="preserve">Методичні вказівки до практичних та семінарських занять </w:t>
      </w:r>
      <w:r w:rsidRPr="007F4593">
        <w:rPr>
          <w:rFonts w:ascii="Times New Roman" w:hAnsi="Times New Roman"/>
          <w:bCs/>
          <w:color w:val="000000"/>
          <w:sz w:val="28"/>
          <w:szCs w:val="28"/>
          <w:lang w:val="uk-UA"/>
        </w:rPr>
        <w:t>та щодо самостійного вивчення дисципліни «Університетська освіта»</w:t>
      </w:r>
      <w:r w:rsidRPr="007F45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4593">
        <w:rPr>
          <w:rFonts w:ascii="Times New Roman" w:hAnsi="Times New Roman"/>
          <w:color w:val="000000"/>
          <w:sz w:val="28"/>
          <w:szCs w:val="28"/>
          <w:lang w:val="uk-UA"/>
        </w:rPr>
        <w:t>для студентів денної та заочної форм навчання спеціальності 6. 030505 «Управління персоналом і економіка праці». – Житомир: ЖДТУ, 2012. – 58 с.</w:t>
      </w:r>
    </w:p>
    <w:p w:rsidR="004B2330" w:rsidRPr="00B75539" w:rsidRDefault="004B2330" w:rsidP="007F4593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4B2330" w:rsidRPr="00B75539" w:rsidRDefault="004B2330" w:rsidP="00B7553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sz w:val="28"/>
          <w:szCs w:val="28"/>
          <w:lang w:val="uk-UA"/>
        </w:rPr>
        <w:t>14. Рекомендована література</w:t>
      </w:r>
    </w:p>
    <w:p w:rsidR="004B2330" w:rsidRPr="00B75539" w:rsidRDefault="004B2330" w:rsidP="00B7553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Базова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Болонський процес: документи. – К.: вид-во Європ. Університету 2004. – 169 с.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Ректор</w:t>
      </w:r>
      <w:r w:rsidRPr="00B75539">
        <w:rPr>
          <w:rFonts w:ascii="Times New Roman" w:hAnsi="Times New Roman"/>
          <w:sz w:val="28"/>
          <w:szCs w:val="28"/>
        </w:rPr>
        <w:t>ы национальных ВУЗов: авторитетно о Болонском процессе //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>СтуДень.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75539">
        <w:rPr>
          <w:rFonts w:ascii="Times New Roman" w:hAnsi="Times New Roman"/>
          <w:sz w:val="28"/>
          <w:szCs w:val="28"/>
        </w:rPr>
        <w:t>2005.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75539">
        <w:rPr>
          <w:rFonts w:ascii="Times New Roman" w:hAnsi="Times New Roman"/>
          <w:sz w:val="28"/>
          <w:szCs w:val="28"/>
        </w:rPr>
        <w:t>№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>2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B75539">
        <w:rPr>
          <w:rFonts w:ascii="Times New Roman" w:hAnsi="Times New Roman"/>
          <w:sz w:val="28"/>
          <w:szCs w:val="28"/>
        </w:rPr>
        <w:t>5с.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Створюючи зону вищої освіти Європи //Комюніке конференції міністрів вищої освіти. – Берлін, 19 вересня 2003 року.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Спільні декларація міністрів освіти Європи. Болон’я, 19 червня 1999 року // Маркетинг в Україні. – 2004. – №13. – С.66-68.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Сорбонська декларація./узгодження  структури системи вищої освіти в  Європі. – Париж,  Сорбонна ,25 травня 1998 року. 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Інтеграція вищої освіти в європейській освітній простір //Вища освіта, 2007. – №1. 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</w:rPr>
        <w:t xml:space="preserve">Андрусь </w:t>
      </w:r>
      <w:r w:rsidRPr="00B75539">
        <w:rPr>
          <w:rFonts w:ascii="Times New Roman" w:hAnsi="Times New Roman"/>
          <w:sz w:val="28"/>
          <w:szCs w:val="28"/>
          <w:lang w:val="uk-UA"/>
        </w:rPr>
        <w:t>О. Модульно-проектувальний комплекс: освітнє завдання та  методологічна основа // Вища освіта України. –  2004. – №1. – С. 5-9.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Теоретико-методологічні засади модернізації вищої  освіти в Україні на рубежі століть. //Вища освіта України. – №2. – 2001. – С. 5.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Модернізація педагогічної освіти України в контексті  Болонського процесу //Вища освіта України. –  2004. – №1. – С.5-9.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Педагогічна освіта України в стратегії Болонського  процес // Освіта України. – 2004 – №13. – С.4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В. Наука і вища освіта в Україні :міра інтеграції /Ін-т  вищої освіти України. – К.,2009. – 308 с.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Андрущенко В, Руденко Ю. Характер особистості: гармонія  національних і загально людських цінностей, шляхи формування //Вища освіта України. – 2009. – №1. – С. 13-19.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Антошкіна Л.І Еволюція освітньої парадигми: генерація соціального  капіталу і фінансові проблеми //Формування ринкових відносин в Україні. – 2004. – №7(38). – С. 52-56.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Білуха М.Т.Методологія наукових досліджень: Підручник. –  К.:АБУ,2002. – 408 с.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Болонский </w:t>
      </w:r>
      <w:r w:rsidRPr="00B75539">
        <w:rPr>
          <w:rFonts w:ascii="Times New Roman" w:hAnsi="Times New Roman"/>
          <w:sz w:val="28"/>
          <w:szCs w:val="28"/>
        </w:rPr>
        <w:t>процесс пошел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>// Обучение за рубежом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B75539">
        <w:rPr>
          <w:rFonts w:ascii="Times New Roman" w:hAnsi="Times New Roman"/>
          <w:sz w:val="28"/>
          <w:szCs w:val="28"/>
        </w:rPr>
        <w:t>2004.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75539">
        <w:rPr>
          <w:rFonts w:ascii="Times New Roman" w:hAnsi="Times New Roman"/>
          <w:sz w:val="28"/>
          <w:szCs w:val="28"/>
        </w:rPr>
        <w:t>№4.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B75539">
        <w:rPr>
          <w:rFonts w:ascii="Times New Roman" w:hAnsi="Times New Roman"/>
          <w:sz w:val="28"/>
          <w:szCs w:val="28"/>
        </w:rPr>
        <w:t>С.45-46.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Болюбаш Я. Чи визнаватиме Європа Українські дипломи про вищу освіту?  // Сучасна освіта. – 2004. – №3. – С.10-11.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Болюбаш Я. Болонський процес: подолання стереотипів // Освіта України. –2004. – №21. – С.5.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Владимир Янковський. Болонский процесс: путем европейской                      интеграции //Зеркало недели. – № 40 (465) 18 - 24 октября </w:t>
      </w:r>
      <w:smartTag w:uri="urn:schemas-microsoft-com:office:smarttags" w:element="metricconverter">
        <w:smartTagPr>
          <w:attr w:name="ProductID" w:val="2003 г"/>
        </w:smartTagPr>
        <w:r w:rsidRPr="00B75539">
          <w:rPr>
            <w:rFonts w:ascii="Times New Roman" w:hAnsi="Times New Roman"/>
            <w:sz w:val="28"/>
            <w:szCs w:val="28"/>
            <w:lang w:val="uk-UA"/>
          </w:rPr>
          <w:t>2003 г</w:t>
        </w:r>
      </w:smartTag>
      <w:r w:rsidRPr="00B7553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Вища освіта України і Болонський процес. Навчальній посібник / Ред. В.Г. Кремінь. – Тернопіль, «Богдан», 2004. – 368 с.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Гребенюк В. Болонський процес і традиції української освіти /  В.Гребенюк, Є.Євсєєв // Новий колегіум. – 2004. – №3. – С. 43-48.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Золотарьова І.М. Курс лекцій, тестові завдання, методичні вказівки до  практичних занять та самостійної роботи з дисципліни «Університетська  освіта». – Харків. – ХНАМГ, 2008.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 xml:space="preserve">Козлакова Г. Інформатизація навчального процесу – передумова  інтеграції до європейського освітнього простору // Освіта.–2004. – № 33. – С. 2. 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Колот А.М. Реализац</w:t>
      </w:r>
      <w:r w:rsidRPr="00B75539">
        <w:rPr>
          <w:rFonts w:ascii="Times New Roman" w:hAnsi="Times New Roman"/>
          <w:sz w:val="28"/>
          <w:szCs w:val="28"/>
        </w:rPr>
        <w:t xml:space="preserve">ия основных принципов Болонской декларации при 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5539">
        <w:rPr>
          <w:rFonts w:ascii="Times New Roman" w:hAnsi="Times New Roman"/>
          <w:sz w:val="28"/>
          <w:szCs w:val="28"/>
        </w:rPr>
        <w:t xml:space="preserve">подготовке специалистов экономического профиля //Высшая школа. – </w:t>
      </w:r>
      <w:r w:rsidRPr="00B75539">
        <w:rPr>
          <w:rFonts w:ascii="Times New Roman" w:hAnsi="Times New Roman"/>
          <w:sz w:val="28"/>
          <w:szCs w:val="28"/>
          <w:lang w:val="uk-UA"/>
        </w:rPr>
        <w:t>2004. – №2-3. – С. 90-101.</w:t>
      </w:r>
    </w:p>
    <w:p w:rsidR="004B2330" w:rsidRPr="00B75539" w:rsidRDefault="004B2330" w:rsidP="00B75539">
      <w:pPr>
        <w:numPr>
          <w:ilvl w:val="0"/>
          <w:numId w:val="11"/>
        </w:numPr>
        <w:tabs>
          <w:tab w:val="num" w:pos="0"/>
          <w:tab w:val="left" w:pos="720"/>
          <w:tab w:val="left" w:pos="90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Коровльов Б. Методична складова Болонського процесу //Освіта. – 2004. –№26. – С.2.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25. Корсак К. Образо</w:t>
      </w:r>
      <w:r w:rsidRPr="00B75539">
        <w:rPr>
          <w:rFonts w:ascii="Times New Roman" w:hAnsi="Times New Roman"/>
          <w:sz w:val="28"/>
          <w:szCs w:val="28"/>
        </w:rPr>
        <w:t xml:space="preserve">вание нового тысячелетия: применимы ли стандарты? // </w:t>
      </w:r>
      <w:r w:rsidRPr="00B75539">
        <w:rPr>
          <w:rFonts w:ascii="Times New Roman" w:hAnsi="Times New Roman"/>
          <w:sz w:val="28"/>
          <w:szCs w:val="28"/>
          <w:lang w:val="uk-UA"/>
        </w:rPr>
        <w:t xml:space="preserve"> Стандарты и мониторинг. – № 6. – 2001. – С.31. 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26. Основні засади розвитку вищої освіти України в контексті Болонського процесу. – За ред. Кременя В.Г. –Тернопіль, 2004.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27. Основи психології та педагогіки.- За ред.Степанова О.М., Фіцука Київ, 2003.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28. Педагогічні технології: теорія та пратика. Навч.-методичний посібник. – За ред. Гриньової М.В. – Полтава, 2006.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29. Рудавський Ю. Кредитно-модульна система організації навчального процесу як необхідна умова інтеграції вищої технічної освіти в Україні в європейській освітній простір // Аудиторія. – 2004. – № 10. – С. 4-5.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30. Сайдаметова З.С. Кредитно – модульна система і вибір навчальної траєкторії // Нові технології навчання. – 2006. – Вип. 43.</w:t>
      </w:r>
    </w:p>
    <w:p w:rsidR="004B2330" w:rsidRPr="00B75539" w:rsidRDefault="004B2330" w:rsidP="00B75539">
      <w:pPr>
        <w:tabs>
          <w:tab w:val="num" w:pos="0"/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31.  Семиноженко В. Освіта має починатися зі статусу вчителя в суспільстві // Освіта. – 2004. – №7. –  С.1.</w:t>
      </w:r>
    </w:p>
    <w:p w:rsidR="004B2330" w:rsidRPr="00B75539" w:rsidRDefault="004B2330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Сікорський П. Кредитно-модульна технологія у вищих навчальних закладах // Шлях освіти. – 2004. – №3. – С.29-38.</w:t>
      </w:r>
    </w:p>
    <w:p w:rsidR="004B2330" w:rsidRPr="00B75539" w:rsidRDefault="004B2330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Сітшаєва З.З. Організайно-методичне забезпечення кредитно-модульної системи організації навчального процесу // Нові технології навчання. – 2006. – № 44.</w:t>
      </w:r>
    </w:p>
    <w:p w:rsidR="004B2330" w:rsidRPr="00B75539" w:rsidRDefault="004B2330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Степко М.Ф. Вища освіта України: наступні етапи модернізації // Освіта України. – 2004. – № 54-55. – С. 4-5.</w:t>
      </w:r>
    </w:p>
    <w:p w:rsidR="004B2330" w:rsidRPr="00B75539" w:rsidRDefault="004B2330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Таланова Ж. Взаємозв’язок підготовки кадрів вищої кваліфікації і дослідницько-інноваційного потенціалу в регіонах України та країнах ОЕСР: статистично-кореляційний і порівняльний аналіз // Вища освіта України. – 2009. – №1. – С. 106-112.</w:t>
      </w:r>
    </w:p>
    <w:p w:rsidR="004B2330" w:rsidRPr="00B75539" w:rsidRDefault="004B2330" w:rsidP="00B75539">
      <w:pPr>
        <w:numPr>
          <w:ilvl w:val="0"/>
          <w:numId w:val="12"/>
        </w:numPr>
        <w:tabs>
          <w:tab w:val="num" w:pos="0"/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sz w:val="28"/>
          <w:szCs w:val="28"/>
          <w:lang w:val="uk-UA"/>
        </w:rPr>
        <w:t>Тимошенко О. Особистісна спрямованість освіти як відповідь на виклики глобалізації // Вища освіта України. – 2009. – № 1. – С. 67-72.</w:t>
      </w:r>
    </w:p>
    <w:p w:rsidR="004B2330" w:rsidRDefault="004B2330" w:rsidP="00B7553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2330" w:rsidRDefault="004B2330" w:rsidP="00B7553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2330" w:rsidRPr="00B75539" w:rsidRDefault="004B2330" w:rsidP="00B7553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B75539">
        <w:rPr>
          <w:rFonts w:ascii="Times New Roman" w:hAnsi="Times New Roman"/>
          <w:b/>
          <w:sz w:val="28"/>
          <w:szCs w:val="28"/>
          <w:lang w:val="uk-UA"/>
        </w:rPr>
        <w:t>15. Інформаційні ресурси</w:t>
      </w:r>
    </w:p>
    <w:p w:rsidR="004B2330" w:rsidRPr="002B2BF9" w:rsidRDefault="004B2330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Інформаційне забезпечення дисципліни включає в себе:</w:t>
      </w:r>
    </w:p>
    <w:p w:rsidR="004B2330" w:rsidRPr="002B2BF9" w:rsidRDefault="004B2330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– літературні джерела;</w:t>
      </w:r>
    </w:p>
    <w:p w:rsidR="004B2330" w:rsidRPr="002B2BF9" w:rsidRDefault="004B2330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– статистичні дані, джерелом яких є офіційний сайт Державного комітету статистики України;</w:t>
      </w:r>
    </w:p>
    <w:p w:rsidR="004B2330" w:rsidRPr="002B2BF9" w:rsidRDefault="004B2330" w:rsidP="002B2B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2BF9">
        <w:rPr>
          <w:rFonts w:ascii="Times New Roman" w:hAnsi="Times New Roman"/>
          <w:sz w:val="28"/>
          <w:szCs w:val="28"/>
          <w:lang w:val="uk-UA"/>
        </w:rPr>
        <w:t>– офіційні сайти інформаційних агенцій в Інтернеті.</w:t>
      </w:r>
    </w:p>
    <w:p w:rsidR="004B2330" w:rsidRPr="00B75539" w:rsidRDefault="004B2330" w:rsidP="00B7553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330" w:rsidRPr="00B75539" w:rsidRDefault="004B23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B2330" w:rsidRPr="00B75539" w:rsidSect="005369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2F6"/>
    <w:multiLevelType w:val="hybridMultilevel"/>
    <w:tmpl w:val="47BECFBA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BE7CBB"/>
    <w:multiLevelType w:val="hybridMultilevel"/>
    <w:tmpl w:val="0C94DAF0"/>
    <w:lvl w:ilvl="0" w:tplc="0D4C661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2350E9F"/>
    <w:multiLevelType w:val="hybridMultilevel"/>
    <w:tmpl w:val="4CD8686C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646D5E"/>
    <w:multiLevelType w:val="hybridMultilevel"/>
    <w:tmpl w:val="1CF095CA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127F3E"/>
    <w:multiLevelType w:val="hybridMultilevel"/>
    <w:tmpl w:val="A42A8E6C"/>
    <w:lvl w:ilvl="0" w:tplc="D948188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5">
    <w:nsid w:val="5BFA5170"/>
    <w:multiLevelType w:val="hybridMultilevel"/>
    <w:tmpl w:val="3F9E1A5A"/>
    <w:lvl w:ilvl="0" w:tplc="7F72DE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1E8AC90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</w:rPr>
    </w:lvl>
    <w:lvl w:ilvl="2" w:tplc="6BD2F95A">
      <w:start w:val="2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1F3926"/>
    <w:multiLevelType w:val="hybridMultilevel"/>
    <w:tmpl w:val="398ADF44"/>
    <w:lvl w:ilvl="0" w:tplc="2E582F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F0F7BDC"/>
    <w:multiLevelType w:val="hybridMultilevel"/>
    <w:tmpl w:val="C964A994"/>
    <w:lvl w:ilvl="0" w:tplc="041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4D7731"/>
    <w:multiLevelType w:val="hybridMultilevel"/>
    <w:tmpl w:val="8BCC7A20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515E6B"/>
    <w:multiLevelType w:val="hybridMultilevel"/>
    <w:tmpl w:val="A42E07F4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19C9E4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C042E1"/>
    <w:multiLevelType w:val="hybridMultilevel"/>
    <w:tmpl w:val="E196B192"/>
    <w:lvl w:ilvl="0" w:tplc="D9481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13A"/>
    <w:rsid w:val="0007020D"/>
    <w:rsid w:val="0021710A"/>
    <w:rsid w:val="002B2BF9"/>
    <w:rsid w:val="003155B4"/>
    <w:rsid w:val="003A4B9D"/>
    <w:rsid w:val="003D0850"/>
    <w:rsid w:val="003E430B"/>
    <w:rsid w:val="00410CA8"/>
    <w:rsid w:val="00411925"/>
    <w:rsid w:val="00451D46"/>
    <w:rsid w:val="00466596"/>
    <w:rsid w:val="004B2330"/>
    <w:rsid w:val="004B2C90"/>
    <w:rsid w:val="004E4051"/>
    <w:rsid w:val="005228C1"/>
    <w:rsid w:val="00536924"/>
    <w:rsid w:val="0063713A"/>
    <w:rsid w:val="00687C22"/>
    <w:rsid w:val="00751B37"/>
    <w:rsid w:val="007A0149"/>
    <w:rsid w:val="007F04F1"/>
    <w:rsid w:val="007F4593"/>
    <w:rsid w:val="00820369"/>
    <w:rsid w:val="00904B52"/>
    <w:rsid w:val="00986817"/>
    <w:rsid w:val="00A14906"/>
    <w:rsid w:val="00A33A74"/>
    <w:rsid w:val="00AC0C9D"/>
    <w:rsid w:val="00AD7850"/>
    <w:rsid w:val="00AF2BC1"/>
    <w:rsid w:val="00B75539"/>
    <w:rsid w:val="00B81359"/>
    <w:rsid w:val="00B87304"/>
    <w:rsid w:val="00BA60B1"/>
    <w:rsid w:val="00C3441B"/>
    <w:rsid w:val="00CB3483"/>
    <w:rsid w:val="00CE4AF9"/>
    <w:rsid w:val="00D110BC"/>
    <w:rsid w:val="00D1482E"/>
    <w:rsid w:val="00D24DE8"/>
    <w:rsid w:val="00D8090F"/>
    <w:rsid w:val="00DF4D0E"/>
    <w:rsid w:val="00E621C1"/>
    <w:rsid w:val="00EF085E"/>
    <w:rsid w:val="00F15B97"/>
    <w:rsid w:val="00F21C57"/>
    <w:rsid w:val="00F64C1D"/>
    <w:rsid w:val="00FB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3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71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713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13A"/>
    <w:rPr>
      <w:rFonts w:cs="Times New Roman"/>
      <w:i/>
      <w:iCs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63713A"/>
    <w:pPr>
      <w:shd w:val="clear" w:color="auto" w:fill="FFFFFF"/>
      <w:spacing w:after="0" w:line="274" w:lineRule="exact"/>
    </w:pPr>
    <w:rPr>
      <w:rFonts w:eastAsia="Calibri"/>
      <w:i/>
      <w:iCs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eastAsia="Times New Roman" w:cs="Times New Roman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63713A"/>
    <w:rPr>
      <w:rFonts w:ascii="Calibri" w:hAnsi="Calibri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63713A"/>
    <w:pPr>
      <w:ind w:left="720"/>
      <w:contextualSpacing/>
    </w:pPr>
  </w:style>
  <w:style w:type="paragraph" w:customStyle="1" w:styleId="10">
    <w:name w:val="Обычный1"/>
    <w:uiPriority w:val="99"/>
    <w:rsid w:val="00BA60B1"/>
    <w:pPr>
      <w:widowControl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23</Pages>
  <Words>6158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16</cp:revision>
  <cp:lastPrinted>2012-10-23T11:52:00Z</cp:lastPrinted>
  <dcterms:created xsi:type="dcterms:W3CDTF">2012-09-29T20:11:00Z</dcterms:created>
  <dcterms:modified xsi:type="dcterms:W3CDTF">2014-10-06T20:33:00Z</dcterms:modified>
</cp:coreProperties>
</file>