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31D71" w14:textId="77777777" w:rsidR="00187F23" w:rsidRDefault="00187F23" w:rsidP="00187F23">
      <w:pPr>
        <w:spacing w:after="0" w:line="240" w:lineRule="auto"/>
        <w:jc w:val="both"/>
        <w:rPr>
          <w:rFonts w:ascii="Times New Roman" w:hAnsi="Times New Roman" w:cs="Times New Roman"/>
          <w:b/>
          <w:bCs/>
          <w:sz w:val="24"/>
          <w:szCs w:val="24"/>
        </w:rPr>
      </w:pPr>
    </w:p>
    <w:p w14:paraId="2513FBDB" w14:textId="078D9468" w:rsidR="00187F23" w:rsidRPr="00B252FC" w:rsidRDefault="00187F23" w:rsidP="00187F23">
      <w:pPr>
        <w:spacing w:after="0" w:line="240" w:lineRule="auto"/>
        <w:jc w:val="both"/>
        <w:rPr>
          <w:rFonts w:ascii="Times New Roman" w:hAnsi="Times New Roman" w:cs="Times New Roman"/>
          <w:b/>
          <w:bCs/>
          <w:sz w:val="28"/>
          <w:szCs w:val="28"/>
        </w:rPr>
      </w:pPr>
      <w:r w:rsidRPr="00B252FC">
        <w:rPr>
          <w:rFonts w:ascii="Times New Roman" w:hAnsi="Times New Roman" w:cs="Times New Roman"/>
          <w:b/>
          <w:bCs/>
          <w:sz w:val="28"/>
          <w:szCs w:val="28"/>
        </w:rPr>
        <w:t xml:space="preserve">Вправа 1. Прочитайте текст, визначте основну думку та законспектуйте. </w:t>
      </w:r>
    </w:p>
    <w:p w14:paraId="0AB1CA4B" w14:textId="77777777" w:rsidR="00187F23" w:rsidRPr="00B252FC" w:rsidRDefault="00187F23" w:rsidP="00187F23">
      <w:pPr>
        <w:spacing w:after="0" w:line="240" w:lineRule="auto"/>
        <w:ind w:firstLine="284"/>
        <w:jc w:val="both"/>
        <w:rPr>
          <w:rFonts w:ascii="Times New Roman" w:hAnsi="Times New Roman" w:cs="Times New Roman"/>
          <w:sz w:val="28"/>
          <w:szCs w:val="28"/>
        </w:rPr>
      </w:pPr>
    </w:p>
    <w:p w14:paraId="61AA4888" w14:textId="77777777" w:rsidR="00187F23" w:rsidRPr="00B252FC" w:rsidRDefault="00187F23" w:rsidP="00187F23">
      <w:pPr>
        <w:spacing w:after="0" w:line="240" w:lineRule="auto"/>
        <w:jc w:val="center"/>
        <w:rPr>
          <w:rFonts w:ascii="Times New Roman" w:hAnsi="Times New Roman" w:cs="Times New Roman"/>
          <w:b/>
          <w:bCs/>
          <w:sz w:val="28"/>
          <w:szCs w:val="28"/>
        </w:rPr>
      </w:pPr>
      <w:r w:rsidRPr="00B252FC">
        <w:rPr>
          <w:rFonts w:ascii="Times New Roman" w:hAnsi="Times New Roman" w:cs="Times New Roman"/>
          <w:b/>
          <w:bCs/>
          <w:sz w:val="28"/>
          <w:szCs w:val="28"/>
        </w:rPr>
        <w:t>Особливості перекладу</w:t>
      </w:r>
    </w:p>
    <w:p w14:paraId="5CAD6677" w14:textId="77777777" w:rsidR="00187F23" w:rsidRPr="00B252FC" w:rsidRDefault="00187F23" w:rsidP="00187F23">
      <w:pPr>
        <w:spacing w:after="0" w:line="240" w:lineRule="auto"/>
        <w:ind w:firstLine="284"/>
        <w:jc w:val="both"/>
        <w:rPr>
          <w:rFonts w:ascii="Times New Roman" w:hAnsi="Times New Roman" w:cs="Times New Roman"/>
          <w:b/>
          <w:bCs/>
          <w:sz w:val="28"/>
          <w:szCs w:val="28"/>
        </w:rPr>
      </w:pPr>
    </w:p>
    <w:p w14:paraId="0340D400" w14:textId="77777777" w:rsidR="00187F23" w:rsidRPr="00B252FC" w:rsidRDefault="00187F23" w:rsidP="00187F23">
      <w:pPr>
        <w:spacing w:after="0" w:line="240" w:lineRule="auto"/>
        <w:ind w:firstLine="709"/>
        <w:jc w:val="both"/>
        <w:rPr>
          <w:rFonts w:ascii="Times New Roman" w:hAnsi="Times New Roman" w:cs="Times New Roman"/>
          <w:sz w:val="28"/>
          <w:szCs w:val="28"/>
        </w:rPr>
      </w:pPr>
      <w:r w:rsidRPr="00B252FC">
        <w:rPr>
          <w:rFonts w:ascii="Times New Roman" w:hAnsi="Times New Roman" w:cs="Times New Roman"/>
          <w:sz w:val="28"/>
          <w:szCs w:val="28"/>
        </w:rPr>
        <w:t xml:space="preserve">Слово </w:t>
      </w:r>
      <w:r w:rsidRPr="00B252FC">
        <w:rPr>
          <w:rFonts w:ascii="Times New Roman" w:hAnsi="Times New Roman" w:cs="Times New Roman"/>
          <w:b/>
          <w:sz w:val="28"/>
          <w:szCs w:val="28"/>
        </w:rPr>
        <w:t>«переклад»</w:t>
      </w:r>
      <w:r w:rsidRPr="00B252FC">
        <w:rPr>
          <w:rFonts w:ascii="Times New Roman" w:hAnsi="Times New Roman" w:cs="Times New Roman"/>
          <w:sz w:val="28"/>
          <w:szCs w:val="28"/>
        </w:rPr>
        <w:t xml:space="preserve"> має кілька значень.</w:t>
      </w:r>
      <w:r w:rsidRPr="00B252FC">
        <w:rPr>
          <w:rFonts w:ascii="Times New Roman" w:hAnsi="Times New Roman" w:cs="Times New Roman"/>
          <w:b/>
          <w:bCs/>
          <w:sz w:val="28"/>
          <w:szCs w:val="28"/>
        </w:rPr>
        <w:t xml:space="preserve"> Переклад</w:t>
      </w:r>
      <w:r w:rsidRPr="00B252FC">
        <w:rPr>
          <w:rFonts w:ascii="Times New Roman" w:hAnsi="Times New Roman" w:cs="Times New Roman"/>
          <w:sz w:val="28"/>
          <w:szCs w:val="28"/>
        </w:rPr>
        <w:t xml:space="preserve"> – це текст, слово, усне висловлювання, а також літературний твір, перекладені з однієї мови іншою. Отже, переклад є процесом міжмовного перетворення або трансформації тексту однією мовою в текст іншою мовою.</w:t>
      </w:r>
    </w:p>
    <w:p w14:paraId="6911C5A3" w14:textId="77777777" w:rsidR="00187F23" w:rsidRPr="00B252FC" w:rsidRDefault="00187F23" w:rsidP="00187F23">
      <w:pPr>
        <w:spacing w:after="0" w:line="240" w:lineRule="auto"/>
        <w:ind w:firstLine="709"/>
        <w:jc w:val="both"/>
        <w:rPr>
          <w:rFonts w:ascii="Times New Roman" w:hAnsi="Times New Roman" w:cs="Times New Roman"/>
          <w:sz w:val="28"/>
          <w:szCs w:val="28"/>
        </w:rPr>
      </w:pPr>
      <w:r w:rsidRPr="00B252FC">
        <w:rPr>
          <w:rFonts w:ascii="Times New Roman" w:hAnsi="Times New Roman" w:cs="Times New Roman"/>
          <w:sz w:val="28"/>
          <w:szCs w:val="28"/>
        </w:rPr>
        <w:t xml:space="preserve">У процесі навчання слід розрізняти навчальний і професійний переклади. Професійний є перекладацькою діяльністю, потребує спеціальної підготовки, вмінь і навичок, досконалого володіння рідною та іноземною мовою, обізнаності з культурою. </w:t>
      </w:r>
    </w:p>
    <w:p w14:paraId="69D7DC8D" w14:textId="77777777" w:rsidR="00187F23" w:rsidRPr="00B252FC" w:rsidRDefault="00187F23" w:rsidP="00187F23">
      <w:pPr>
        <w:spacing w:after="0" w:line="240" w:lineRule="auto"/>
        <w:ind w:firstLine="709"/>
        <w:jc w:val="both"/>
        <w:rPr>
          <w:rFonts w:ascii="Times New Roman" w:hAnsi="Times New Roman" w:cs="Times New Roman"/>
          <w:sz w:val="28"/>
          <w:szCs w:val="28"/>
        </w:rPr>
      </w:pPr>
      <w:r w:rsidRPr="00B252FC">
        <w:rPr>
          <w:rFonts w:ascii="Times New Roman" w:hAnsi="Times New Roman" w:cs="Times New Roman"/>
          <w:sz w:val="28"/>
          <w:szCs w:val="28"/>
        </w:rPr>
        <w:t>Під навчальним перекладом у методиці розуміють «систему різноманітних вправ і завдань, спрямованих на виявлення мовних еквівалентів з метою досягнення різних дидактичних цілей: для розуміння мови, що вивчається, розширення словникового запасу і збагачення мовлення другою мовою, свідомого практичного порівняння систем двох мов та їх засвоєння, для формування й удосконалення орфоепічних, лексичних, граматичних, орфографічних умінь і навичок, володіння обома задіяними в перекладі мовами».</w:t>
      </w:r>
    </w:p>
    <w:p w14:paraId="1934F201" w14:textId="77777777" w:rsidR="00187F23" w:rsidRPr="00B252FC" w:rsidRDefault="00187F23" w:rsidP="00187F23">
      <w:pPr>
        <w:spacing w:after="0" w:line="240" w:lineRule="auto"/>
        <w:ind w:firstLine="709"/>
        <w:jc w:val="both"/>
        <w:rPr>
          <w:rFonts w:ascii="Times New Roman" w:hAnsi="Times New Roman" w:cs="Times New Roman"/>
          <w:sz w:val="28"/>
          <w:szCs w:val="28"/>
        </w:rPr>
      </w:pPr>
      <w:r w:rsidRPr="00B252FC">
        <w:rPr>
          <w:rFonts w:ascii="Times New Roman" w:hAnsi="Times New Roman" w:cs="Times New Roman"/>
          <w:sz w:val="28"/>
          <w:szCs w:val="28"/>
        </w:rPr>
        <w:t>Навчальний переклад повинен мати чітко сформульовані завдання, визначений вибір засобів перекладу, оскільки є необхідним і поступовим  кроком до вивчення та ефективного засвоєння фахової лексики.</w:t>
      </w:r>
    </w:p>
    <w:p w14:paraId="1F34CF9B" w14:textId="77777777" w:rsidR="00187F23" w:rsidRPr="00B252FC" w:rsidRDefault="00187F23" w:rsidP="00187F23">
      <w:pPr>
        <w:spacing w:after="0" w:line="240" w:lineRule="auto"/>
        <w:ind w:firstLine="709"/>
        <w:jc w:val="both"/>
        <w:rPr>
          <w:rFonts w:ascii="Times New Roman" w:hAnsi="Times New Roman" w:cs="Times New Roman"/>
          <w:sz w:val="28"/>
          <w:szCs w:val="28"/>
        </w:rPr>
      </w:pPr>
      <w:r w:rsidRPr="00B252FC">
        <w:rPr>
          <w:rFonts w:ascii="Times New Roman" w:hAnsi="Times New Roman" w:cs="Times New Roman"/>
          <w:sz w:val="28"/>
          <w:szCs w:val="28"/>
        </w:rPr>
        <w:t>Вітчизняні та зарубіжні лінгвісти стверджують, щоб оволодіти перекладом з вузької спеціальності, достатньо знати закономірності, які присутні мові і стилю науково-технічної літератури та мати обмежений набір термінів. За цієї умови можна швидко набути навичок перекладу, незалежно від ступеня володіння іншими аспектами мови.</w:t>
      </w:r>
    </w:p>
    <w:p w14:paraId="480D2C79" w14:textId="77777777" w:rsidR="00187F23" w:rsidRPr="00B252FC" w:rsidRDefault="00187F23" w:rsidP="00187F23">
      <w:pPr>
        <w:spacing w:after="0" w:line="240" w:lineRule="auto"/>
        <w:ind w:firstLine="709"/>
        <w:jc w:val="both"/>
        <w:rPr>
          <w:rFonts w:ascii="Times New Roman" w:hAnsi="Times New Roman" w:cs="Times New Roman"/>
          <w:sz w:val="28"/>
          <w:szCs w:val="28"/>
        </w:rPr>
      </w:pPr>
      <w:r w:rsidRPr="00B252FC">
        <w:rPr>
          <w:rFonts w:ascii="Times New Roman" w:hAnsi="Times New Roman" w:cs="Times New Roman"/>
          <w:sz w:val="28"/>
          <w:szCs w:val="28"/>
        </w:rPr>
        <w:t>На відміну від художнього перекладу, який створює образ, відображає життя в усіх його проявах, науково-технічний  більш точно дає опис певним поняттям, явищам та фактам.  Мова науково-технічної літератури має певний стиль, ряд особливостей в термінології та граматиці, позбавлена оціночних відтінків, образних виразів і граматичних конструкцій.</w:t>
      </w:r>
    </w:p>
    <w:p w14:paraId="3C6FFC84" w14:textId="77777777" w:rsidR="00187F23" w:rsidRPr="00B252FC" w:rsidRDefault="00187F23" w:rsidP="00187F23">
      <w:pPr>
        <w:spacing w:after="0" w:line="240" w:lineRule="auto"/>
        <w:ind w:firstLine="709"/>
        <w:jc w:val="both"/>
        <w:rPr>
          <w:rFonts w:ascii="Times New Roman" w:hAnsi="Times New Roman" w:cs="Times New Roman"/>
          <w:sz w:val="28"/>
          <w:szCs w:val="28"/>
        </w:rPr>
      </w:pPr>
      <w:r w:rsidRPr="00B252FC">
        <w:rPr>
          <w:rFonts w:ascii="Times New Roman" w:hAnsi="Times New Roman" w:cs="Times New Roman"/>
          <w:sz w:val="28"/>
          <w:szCs w:val="28"/>
        </w:rPr>
        <w:t>У процесі вивчення професійного мовлення варто активізувати діяльність студентів і керувати нею, а студенти повинні зрозуміти, що набуття вмінь і навичок перекладу – це внутрішній процес усвідомленого особистісного опанування та засвоєння предмету. Паралельне вивчення професійного мовлення на заняттях з української та іноземної мов мотивує студентів до глибшого його засвоєння. Оскільки термінологія має здебільшого латинське, англійське та німецьке походження, то це дає можливість з’ясувати семантику слів, розширити словник професійної лексики та засвоювати терміни усвідомлено.</w:t>
      </w:r>
    </w:p>
    <w:p w14:paraId="2F3736A3" w14:textId="77777777" w:rsidR="00187F23" w:rsidRPr="00B252FC" w:rsidRDefault="00187F23" w:rsidP="00187F23">
      <w:pPr>
        <w:spacing w:after="0" w:line="240" w:lineRule="auto"/>
        <w:ind w:firstLine="709"/>
        <w:jc w:val="both"/>
        <w:rPr>
          <w:rFonts w:ascii="Times New Roman" w:hAnsi="Times New Roman" w:cs="Times New Roman"/>
          <w:sz w:val="28"/>
          <w:szCs w:val="28"/>
        </w:rPr>
      </w:pPr>
      <w:r w:rsidRPr="00B252FC">
        <w:rPr>
          <w:rFonts w:ascii="Times New Roman" w:hAnsi="Times New Roman" w:cs="Times New Roman"/>
          <w:sz w:val="28"/>
          <w:szCs w:val="28"/>
        </w:rPr>
        <w:t xml:space="preserve">Під час навчання перекладу студентів потрібно привчати працювати із словниками; довідниками; використовувати комп’ютерні перекладні програми тощо. Також під час занять слід виконувати вправи на добір синонімів, визначення термінів у тексті з їх тлумаченням, ігрові завдання. Рекомендується </w:t>
      </w:r>
      <w:r w:rsidRPr="00B252FC">
        <w:rPr>
          <w:rFonts w:ascii="Times New Roman" w:hAnsi="Times New Roman" w:cs="Times New Roman"/>
          <w:sz w:val="28"/>
          <w:szCs w:val="28"/>
        </w:rPr>
        <w:lastRenderedPageBreak/>
        <w:t xml:space="preserve">також звертати особливу увагу на ті мовні одиниці, правопис та вимова яких відрізняється в українській та іноземних мовах </w:t>
      </w:r>
      <w:r w:rsidRPr="00B252FC">
        <w:rPr>
          <w:rFonts w:ascii="Times New Roman" w:hAnsi="Times New Roman" w:cs="Times New Roman"/>
          <w:sz w:val="28"/>
          <w:szCs w:val="28"/>
          <w:lang w:val="en-US"/>
        </w:rPr>
        <w:t>[</w:t>
      </w:r>
      <w:r w:rsidRPr="00B252FC">
        <w:rPr>
          <w:rFonts w:ascii="Times New Roman" w:hAnsi="Times New Roman" w:cs="Times New Roman"/>
          <w:sz w:val="28"/>
          <w:szCs w:val="28"/>
        </w:rPr>
        <w:t>З. Білошицька</w:t>
      </w:r>
      <w:r w:rsidRPr="00B252FC">
        <w:rPr>
          <w:rFonts w:ascii="Times New Roman" w:hAnsi="Times New Roman" w:cs="Times New Roman"/>
          <w:sz w:val="28"/>
          <w:szCs w:val="28"/>
          <w:lang w:val="en-US"/>
        </w:rPr>
        <w:t>]</w:t>
      </w:r>
      <w:r w:rsidRPr="00B252FC">
        <w:rPr>
          <w:rFonts w:ascii="Times New Roman" w:hAnsi="Times New Roman" w:cs="Times New Roman"/>
          <w:sz w:val="28"/>
          <w:szCs w:val="28"/>
        </w:rPr>
        <w:t>.</w:t>
      </w:r>
    </w:p>
    <w:p w14:paraId="7437C728" w14:textId="77777777" w:rsidR="00187F23" w:rsidRPr="00B252FC" w:rsidRDefault="00187F23" w:rsidP="00187F23">
      <w:pPr>
        <w:spacing w:after="0" w:line="240" w:lineRule="auto"/>
        <w:jc w:val="both"/>
        <w:rPr>
          <w:rFonts w:ascii="Times New Roman" w:hAnsi="Times New Roman" w:cs="Times New Roman"/>
          <w:b/>
          <w:sz w:val="28"/>
          <w:szCs w:val="28"/>
        </w:rPr>
      </w:pPr>
    </w:p>
    <w:p w14:paraId="703C72E2" w14:textId="77777777" w:rsidR="00184282" w:rsidRPr="00B252FC" w:rsidRDefault="00184282" w:rsidP="00184282">
      <w:pPr>
        <w:spacing w:after="0" w:line="240" w:lineRule="auto"/>
        <w:ind w:firstLine="567"/>
        <w:jc w:val="both"/>
        <w:rPr>
          <w:rFonts w:ascii="Times New Roman" w:hAnsi="Times New Roman" w:cs="Times New Roman"/>
          <w:sz w:val="28"/>
          <w:szCs w:val="28"/>
        </w:rPr>
      </w:pPr>
    </w:p>
    <w:p w14:paraId="2AA914F4" w14:textId="6A7F8A31" w:rsidR="000A01CD" w:rsidRPr="00B252FC" w:rsidRDefault="000A01CD" w:rsidP="000A01CD">
      <w:pPr>
        <w:spacing w:after="0" w:line="240" w:lineRule="auto"/>
        <w:jc w:val="both"/>
        <w:rPr>
          <w:rFonts w:ascii="Times New Roman" w:hAnsi="Times New Roman" w:cs="Times New Roman"/>
          <w:b/>
          <w:sz w:val="28"/>
          <w:szCs w:val="28"/>
        </w:rPr>
      </w:pPr>
      <w:r w:rsidRPr="00B252FC">
        <w:rPr>
          <w:rFonts w:ascii="Times New Roman" w:hAnsi="Times New Roman" w:cs="Times New Roman"/>
          <w:b/>
          <w:sz w:val="28"/>
          <w:szCs w:val="28"/>
        </w:rPr>
        <w:t xml:space="preserve">Вправа </w:t>
      </w:r>
      <w:r w:rsidRPr="00B252FC">
        <w:rPr>
          <w:rFonts w:ascii="Times New Roman" w:hAnsi="Times New Roman" w:cs="Times New Roman"/>
          <w:b/>
          <w:sz w:val="28"/>
          <w:szCs w:val="28"/>
        </w:rPr>
        <w:t>2</w:t>
      </w:r>
      <w:r w:rsidRPr="00B252FC">
        <w:rPr>
          <w:rFonts w:ascii="Times New Roman" w:hAnsi="Times New Roman" w:cs="Times New Roman"/>
          <w:b/>
          <w:sz w:val="28"/>
          <w:szCs w:val="28"/>
        </w:rPr>
        <w:t>. Доберіть до іншомовних слів власне українські відповідники.</w:t>
      </w:r>
    </w:p>
    <w:p w14:paraId="33959082" w14:textId="77777777" w:rsidR="000A01CD" w:rsidRPr="00B252FC" w:rsidRDefault="000A01CD" w:rsidP="000A01CD">
      <w:pPr>
        <w:spacing w:after="0" w:line="240" w:lineRule="auto"/>
        <w:jc w:val="both"/>
        <w:rPr>
          <w:rFonts w:ascii="Times New Roman" w:hAnsi="Times New Roman" w:cs="Times New Roman"/>
          <w:b/>
          <w:sz w:val="28"/>
          <w:szCs w:val="28"/>
        </w:rPr>
      </w:pPr>
    </w:p>
    <w:p w14:paraId="0BD5AA17" w14:textId="77777777" w:rsidR="000A01CD" w:rsidRPr="00B252FC" w:rsidRDefault="000A01CD" w:rsidP="000A01CD">
      <w:pPr>
        <w:spacing w:after="0" w:line="240" w:lineRule="auto"/>
        <w:jc w:val="both"/>
        <w:rPr>
          <w:rFonts w:ascii="Times New Roman" w:hAnsi="Times New Roman" w:cs="Times New Roman"/>
          <w:b/>
          <w:sz w:val="28"/>
          <w:szCs w:val="28"/>
        </w:rPr>
      </w:pPr>
      <w:r w:rsidRPr="00B252FC">
        <w:rPr>
          <w:rFonts w:ascii="Times New Roman" w:hAnsi="Times New Roman" w:cs="Times New Roman"/>
          <w:b/>
          <w:sz w:val="28"/>
          <w:szCs w:val="28"/>
        </w:rPr>
        <w:t>Наприклад:</w:t>
      </w:r>
    </w:p>
    <w:p w14:paraId="1EEAE62F" w14:textId="5919EF28" w:rsidR="000A01CD" w:rsidRPr="00B252FC" w:rsidRDefault="000A01CD" w:rsidP="000A01CD">
      <w:pPr>
        <w:spacing w:after="0" w:line="240" w:lineRule="auto"/>
        <w:jc w:val="both"/>
        <w:rPr>
          <w:rFonts w:ascii="Times New Roman" w:hAnsi="Times New Roman" w:cs="Times New Roman"/>
          <w:b/>
          <w:sz w:val="28"/>
          <w:szCs w:val="28"/>
        </w:rPr>
      </w:pPr>
      <w:r w:rsidRPr="00B252FC">
        <w:rPr>
          <w:rFonts w:ascii="Times New Roman" w:hAnsi="Times New Roman" w:cs="Times New Roman"/>
          <w:b/>
          <w:sz w:val="28"/>
          <w:szCs w:val="28"/>
        </w:rPr>
        <w:t xml:space="preserve">Дедлайн – </w:t>
      </w:r>
      <w:r w:rsidRPr="00B252FC">
        <w:rPr>
          <w:rFonts w:ascii="Times New Roman" w:hAnsi="Times New Roman" w:cs="Times New Roman"/>
          <w:bCs/>
          <w:sz w:val="28"/>
          <w:szCs w:val="28"/>
        </w:rPr>
        <w:t>крайній строк виконання якої-небудь роботи або поставленого завдання. Слово Дедлайн в більшості випадків використовується по відношенню до тієї роботи або завдання (задачі), яка має на увазі чіткі і встановлені терміни здачі.</w:t>
      </w:r>
    </w:p>
    <w:p w14:paraId="348D6AE6" w14:textId="77777777" w:rsidR="000A01CD" w:rsidRPr="00B252FC" w:rsidRDefault="000A01CD" w:rsidP="000A01CD">
      <w:pPr>
        <w:spacing w:after="0" w:line="240" w:lineRule="auto"/>
        <w:jc w:val="both"/>
        <w:rPr>
          <w:rFonts w:ascii="Times New Roman" w:hAnsi="Times New Roman" w:cs="Times New Roman"/>
          <w:b/>
          <w:sz w:val="28"/>
          <w:szCs w:val="28"/>
        </w:rPr>
      </w:pPr>
    </w:p>
    <w:p w14:paraId="304ABA85" w14:textId="77777777" w:rsidR="000A01CD" w:rsidRPr="00B252FC" w:rsidRDefault="000A01CD" w:rsidP="000A01CD">
      <w:pPr>
        <w:spacing w:after="0" w:line="240" w:lineRule="auto"/>
        <w:jc w:val="both"/>
        <w:rPr>
          <w:rFonts w:ascii="Times New Roman" w:hAnsi="Times New Roman" w:cs="Times New Roman"/>
          <w:bCs/>
          <w:sz w:val="28"/>
          <w:szCs w:val="28"/>
        </w:rPr>
      </w:pPr>
      <w:r w:rsidRPr="00B252FC">
        <w:rPr>
          <w:rFonts w:ascii="Times New Roman" w:hAnsi="Times New Roman" w:cs="Times New Roman"/>
          <w:bCs/>
          <w:sz w:val="28"/>
          <w:szCs w:val="28"/>
        </w:rPr>
        <w:t>Спікер, мер, квота, ембарго, еміграція, імпорт, імміграція, ліцензія, інвестиція, міграція, прерогатива, преференція, пріоритет, превалювати, девальвація, дивіденд, експансія, інвестор, контролінг, стагнація, субвенція, верифікація, валідний, фіаско, асиміляція, спонсор.</w:t>
      </w:r>
    </w:p>
    <w:p w14:paraId="3DE2464D" w14:textId="77777777" w:rsidR="000A01CD" w:rsidRPr="00B252FC" w:rsidRDefault="000A01CD" w:rsidP="000A01CD">
      <w:pPr>
        <w:spacing w:after="0" w:line="240" w:lineRule="auto"/>
        <w:jc w:val="both"/>
        <w:rPr>
          <w:rFonts w:ascii="Times New Roman" w:hAnsi="Times New Roman" w:cs="Times New Roman"/>
          <w:bCs/>
          <w:sz w:val="28"/>
          <w:szCs w:val="28"/>
        </w:rPr>
      </w:pPr>
    </w:p>
    <w:p w14:paraId="12D55B14" w14:textId="77777777" w:rsidR="001F77E7" w:rsidRPr="00B252FC" w:rsidRDefault="001F77E7">
      <w:pPr>
        <w:rPr>
          <w:sz w:val="28"/>
          <w:szCs w:val="28"/>
        </w:rPr>
      </w:pPr>
    </w:p>
    <w:sectPr w:rsidR="001F77E7" w:rsidRPr="00B252F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96E"/>
    <w:rsid w:val="0005529D"/>
    <w:rsid w:val="000A01CD"/>
    <w:rsid w:val="00111A3E"/>
    <w:rsid w:val="0013796E"/>
    <w:rsid w:val="00184282"/>
    <w:rsid w:val="00187F23"/>
    <w:rsid w:val="001D4A4F"/>
    <w:rsid w:val="001F77E7"/>
    <w:rsid w:val="002D77CA"/>
    <w:rsid w:val="00361E20"/>
    <w:rsid w:val="00591E44"/>
    <w:rsid w:val="00626D61"/>
    <w:rsid w:val="007B5B64"/>
    <w:rsid w:val="00920ECC"/>
    <w:rsid w:val="00B252FC"/>
    <w:rsid w:val="00DD1D3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33321"/>
  <w15:chartTrackingRefBased/>
  <w15:docId w15:val="{231BF9D6-6DB5-4C58-9E21-8D1250DA6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4282"/>
    <w:rPr>
      <w:kern w:val="0"/>
      <w:lang w:val="uk-UA"/>
      <w14:ligatures w14:val="none"/>
    </w:rPr>
  </w:style>
  <w:style w:type="paragraph" w:styleId="1">
    <w:name w:val="heading 1"/>
    <w:basedOn w:val="a"/>
    <w:next w:val="a"/>
    <w:link w:val="10"/>
    <w:uiPriority w:val="9"/>
    <w:qFormat/>
    <w:rsid w:val="0013796E"/>
    <w:pPr>
      <w:keepNext/>
      <w:keepLines/>
      <w:spacing w:before="360" w:after="80"/>
      <w:outlineLvl w:val="0"/>
    </w:pPr>
    <w:rPr>
      <w:rFonts w:asciiTheme="majorHAnsi" w:eastAsiaTheme="majorEastAsia" w:hAnsiTheme="majorHAnsi" w:cstheme="majorBidi"/>
      <w:color w:val="2F5496" w:themeColor="accent1" w:themeShade="BF"/>
      <w:kern w:val="2"/>
      <w:sz w:val="40"/>
      <w:szCs w:val="40"/>
      <w:lang w:val="ru-RU"/>
      <w14:ligatures w14:val="standardContextual"/>
    </w:rPr>
  </w:style>
  <w:style w:type="paragraph" w:styleId="2">
    <w:name w:val="heading 2"/>
    <w:basedOn w:val="a"/>
    <w:next w:val="a"/>
    <w:link w:val="20"/>
    <w:uiPriority w:val="9"/>
    <w:semiHidden/>
    <w:unhideWhenUsed/>
    <w:qFormat/>
    <w:rsid w:val="0013796E"/>
    <w:pPr>
      <w:keepNext/>
      <w:keepLines/>
      <w:spacing w:before="160" w:after="80"/>
      <w:outlineLvl w:val="1"/>
    </w:pPr>
    <w:rPr>
      <w:rFonts w:asciiTheme="majorHAnsi" w:eastAsiaTheme="majorEastAsia" w:hAnsiTheme="majorHAnsi" w:cstheme="majorBidi"/>
      <w:color w:val="2F5496" w:themeColor="accent1" w:themeShade="BF"/>
      <w:kern w:val="2"/>
      <w:sz w:val="32"/>
      <w:szCs w:val="32"/>
      <w:lang w:val="ru-RU"/>
      <w14:ligatures w14:val="standardContextual"/>
    </w:rPr>
  </w:style>
  <w:style w:type="paragraph" w:styleId="3">
    <w:name w:val="heading 3"/>
    <w:basedOn w:val="a"/>
    <w:next w:val="a"/>
    <w:link w:val="30"/>
    <w:uiPriority w:val="9"/>
    <w:semiHidden/>
    <w:unhideWhenUsed/>
    <w:qFormat/>
    <w:rsid w:val="0013796E"/>
    <w:pPr>
      <w:keepNext/>
      <w:keepLines/>
      <w:spacing w:before="160" w:after="80"/>
      <w:outlineLvl w:val="2"/>
    </w:pPr>
    <w:rPr>
      <w:rFonts w:eastAsiaTheme="majorEastAsia" w:cstheme="majorBidi"/>
      <w:color w:val="2F5496" w:themeColor="accent1" w:themeShade="BF"/>
      <w:kern w:val="2"/>
      <w:sz w:val="28"/>
      <w:szCs w:val="28"/>
      <w:lang w:val="ru-RU"/>
      <w14:ligatures w14:val="standardContextual"/>
    </w:rPr>
  </w:style>
  <w:style w:type="paragraph" w:styleId="4">
    <w:name w:val="heading 4"/>
    <w:basedOn w:val="a"/>
    <w:next w:val="a"/>
    <w:link w:val="40"/>
    <w:uiPriority w:val="9"/>
    <w:semiHidden/>
    <w:unhideWhenUsed/>
    <w:qFormat/>
    <w:rsid w:val="0013796E"/>
    <w:pPr>
      <w:keepNext/>
      <w:keepLines/>
      <w:spacing w:before="80" w:after="40"/>
      <w:outlineLvl w:val="3"/>
    </w:pPr>
    <w:rPr>
      <w:rFonts w:eastAsiaTheme="majorEastAsia" w:cstheme="majorBidi"/>
      <w:i/>
      <w:iCs/>
      <w:color w:val="2F5496" w:themeColor="accent1" w:themeShade="BF"/>
      <w:kern w:val="2"/>
      <w:lang w:val="ru-RU"/>
      <w14:ligatures w14:val="standardContextual"/>
    </w:rPr>
  </w:style>
  <w:style w:type="paragraph" w:styleId="5">
    <w:name w:val="heading 5"/>
    <w:basedOn w:val="a"/>
    <w:next w:val="a"/>
    <w:link w:val="50"/>
    <w:uiPriority w:val="9"/>
    <w:semiHidden/>
    <w:unhideWhenUsed/>
    <w:qFormat/>
    <w:rsid w:val="0013796E"/>
    <w:pPr>
      <w:keepNext/>
      <w:keepLines/>
      <w:spacing w:before="80" w:after="40"/>
      <w:outlineLvl w:val="4"/>
    </w:pPr>
    <w:rPr>
      <w:rFonts w:eastAsiaTheme="majorEastAsia" w:cstheme="majorBidi"/>
      <w:color w:val="2F5496" w:themeColor="accent1" w:themeShade="BF"/>
      <w:kern w:val="2"/>
      <w:lang w:val="ru-RU"/>
      <w14:ligatures w14:val="standardContextual"/>
    </w:rPr>
  </w:style>
  <w:style w:type="paragraph" w:styleId="6">
    <w:name w:val="heading 6"/>
    <w:basedOn w:val="a"/>
    <w:next w:val="a"/>
    <w:link w:val="60"/>
    <w:uiPriority w:val="9"/>
    <w:semiHidden/>
    <w:unhideWhenUsed/>
    <w:qFormat/>
    <w:rsid w:val="0013796E"/>
    <w:pPr>
      <w:keepNext/>
      <w:keepLines/>
      <w:spacing w:before="40" w:after="0"/>
      <w:outlineLvl w:val="5"/>
    </w:pPr>
    <w:rPr>
      <w:rFonts w:eastAsiaTheme="majorEastAsia" w:cstheme="majorBidi"/>
      <w:i/>
      <w:iCs/>
      <w:color w:val="595959" w:themeColor="text1" w:themeTint="A6"/>
      <w:kern w:val="2"/>
      <w:lang w:val="ru-RU"/>
      <w14:ligatures w14:val="standardContextual"/>
    </w:rPr>
  </w:style>
  <w:style w:type="paragraph" w:styleId="7">
    <w:name w:val="heading 7"/>
    <w:basedOn w:val="a"/>
    <w:next w:val="a"/>
    <w:link w:val="70"/>
    <w:uiPriority w:val="9"/>
    <w:semiHidden/>
    <w:unhideWhenUsed/>
    <w:qFormat/>
    <w:rsid w:val="0013796E"/>
    <w:pPr>
      <w:keepNext/>
      <w:keepLines/>
      <w:spacing w:before="40" w:after="0"/>
      <w:outlineLvl w:val="6"/>
    </w:pPr>
    <w:rPr>
      <w:rFonts w:eastAsiaTheme="majorEastAsia" w:cstheme="majorBidi"/>
      <w:color w:val="595959" w:themeColor="text1" w:themeTint="A6"/>
      <w:kern w:val="2"/>
      <w:lang w:val="ru-RU"/>
      <w14:ligatures w14:val="standardContextual"/>
    </w:rPr>
  </w:style>
  <w:style w:type="paragraph" w:styleId="8">
    <w:name w:val="heading 8"/>
    <w:basedOn w:val="a"/>
    <w:next w:val="a"/>
    <w:link w:val="80"/>
    <w:uiPriority w:val="9"/>
    <w:semiHidden/>
    <w:unhideWhenUsed/>
    <w:qFormat/>
    <w:rsid w:val="0013796E"/>
    <w:pPr>
      <w:keepNext/>
      <w:keepLines/>
      <w:spacing w:after="0"/>
      <w:outlineLvl w:val="7"/>
    </w:pPr>
    <w:rPr>
      <w:rFonts w:eastAsiaTheme="majorEastAsia" w:cstheme="majorBidi"/>
      <w:i/>
      <w:iCs/>
      <w:color w:val="272727" w:themeColor="text1" w:themeTint="D8"/>
      <w:kern w:val="2"/>
      <w:lang w:val="ru-RU"/>
      <w14:ligatures w14:val="standardContextual"/>
    </w:rPr>
  </w:style>
  <w:style w:type="paragraph" w:styleId="9">
    <w:name w:val="heading 9"/>
    <w:basedOn w:val="a"/>
    <w:next w:val="a"/>
    <w:link w:val="90"/>
    <w:uiPriority w:val="9"/>
    <w:semiHidden/>
    <w:unhideWhenUsed/>
    <w:qFormat/>
    <w:rsid w:val="0013796E"/>
    <w:pPr>
      <w:keepNext/>
      <w:keepLines/>
      <w:spacing w:after="0"/>
      <w:outlineLvl w:val="8"/>
    </w:pPr>
    <w:rPr>
      <w:rFonts w:eastAsiaTheme="majorEastAsia" w:cstheme="majorBidi"/>
      <w:color w:val="272727" w:themeColor="text1" w:themeTint="D8"/>
      <w:kern w:val="2"/>
      <w:lang w:val="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3796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3796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3796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3796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3796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3796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3796E"/>
    <w:rPr>
      <w:rFonts w:eastAsiaTheme="majorEastAsia" w:cstheme="majorBidi"/>
      <w:color w:val="595959" w:themeColor="text1" w:themeTint="A6"/>
    </w:rPr>
  </w:style>
  <w:style w:type="character" w:customStyle="1" w:styleId="80">
    <w:name w:val="Заголовок 8 Знак"/>
    <w:basedOn w:val="a0"/>
    <w:link w:val="8"/>
    <w:uiPriority w:val="9"/>
    <w:semiHidden/>
    <w:rsid w:val="0013796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3796E"/>
    <w:rPr>
      <w:rFonts w:eastAsiaTheme="majorEastAsia" w:cstheme="majorBidi"/>
      <w:color w:val="272727" w:themeColor="text1" w:themeTint="D8"/>
    </w:rPr>
  </w:style>
  <w:style w:type="paragraph" w:styleId="a3">
    <w:name w:val="Title"/>
    <w:basedOn w:val="a"/>
    <w:next w:val="a"/>
    <w:link w:val="a4"/>
    <w:uiPriority w:val="10"/>
    <w:qFormat/>
    <w:rsid w:val="0013796E"/>
    <w:pPr>
      <w:spacing w:after="80" w:line="240" w:lineRule="auto"/>
      <w:contextualSpacing/>
    </w:pPr>
    <w:rPr>
      <w:rFonts w:asciiTheme="majorHAnsi" w:eastAsiaTheme="majorEastAsia" w:hAnsiTheme="majorHAnsi" w:cstheme="majorBidi"/>
      <w:spacing w:val="-10"/>
      <w:kern w:val="28"/>
      <w:sz w:val="56"/>
      <w:szCs w:val="56"/>
      <w:lang w:val="ru-RU"/>
      <w14:ligatures w14:val="standardContextual"/>
    </w:rPr>
  </w:style>
  <w:style w:type="character" w:customStyle="1" w:styleId="a4">
    <w:name w:val="Назва Знак"/>
    <w:basedOn w:val="a0"/>
    <w:link w:val="a3"/>
    <w:uiPriority w:val="10"/>
    <w:rsid w:val="0013796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3796E"/>
    <w:pPr>
      <w:numPr>
        <w:ilvl w:val="1"/>
      </w:numPr>
    </w:pPr>
    <w:rPr>
      <w:rFonts w:eastAsiaTheme="majorEastAsia" w:cstheme="majorBidi"/>
      <w:color w:val="595959" w:themeColor="text1" w:themeTint="A6"/>
      <w:spacing w:val="15"/>
      <w:kern w:val="2"/>
      <w:sz w:val="28"/>
      <w:szCs w:val="28"/>
      <w:lang w:val="ru-RU"/>
      <w14:ligatures w14:val="standardContextual"/>
    </w:rPr>
  </w:style>
  <w:style w:type="character" w:customStyle="1" w:styleId="a6">
    <w:name w:val="Підзаголовок Знак"/>
    <w:basedOn w:val="a0"/>
    <w:link w:val="a5"/>
    <w:uiPriority w:val="11"/>
    <w:rsid w:val="0013796E"/>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13796E"/>
    <w:pPr>
      <w:spacing w:before="160"/>
      <w:jc w:val="center"/>
    </w:pPr>
    <w:rPr>
      <w:i/>
      <w:iCs/>
      <w:color w:val="404040" w:themeColor="text1" w:themeTint="BF"/>
      <w:kern w:val="2"/>
      <w:lang w:val="ru-RU"/>
      <w14:ligatures w14:val="standardContextual"/>
    </w:rPr>
  </w:style>
  <w:style w:type="character" w:customStyle="1" w:styleId="a8">
    <w:name w:val="Цитата Знак"/>
    <w:basedOn w:val="a0"/>
    <w:link w:val="a7"/>
    <w:uiPriority w:val="29"/>
    <w:rsid w:val="0013796E"/>
    <w:rPr>
      <w:i/>
      <w:iCs/>
      <w:color w:val="404040" w:themeColor="text1" w:themeTint="BF"/>
    </w:rPr>
  </w:style>
  <w:style w:type="paragraph" w:styleId="a9">
    <w:name w:val="List Paragraph"/>
    <w:basedOn w:val="a"/>
    <w:uiPriority w:val="34"/>
    <w:qFormat/>
    <w:rsid w:val="0013796E"/>
    <w:pPr>
      <w:ind w:left="720"/>
      <w:contextualSpacing/>
    </w:pPr>
    <w:rPr>
      <w:kern w:val="2"/>
      <w:lang w:val="ru-RU"/>
      <w14:ligatures w14:val="standardContextual"/>
    </w:rPr>
  </w:style>
  <w:style w:type="character" w:styleId="aa">
    <w:name w:val="Intense Emphasis"/>
    <w:basedOn w:val="a0"/>
    <w:uiPriority w:val="21"/>
    <w:qFormat/>
    <w:rsid w:val="0013796E"/>
    <w:rPr>
      <w:i/>
      <w:iCs/>
      <w:color w:val="2F5496" w:themeColor="accent1" w:themeShade="BF"/>
    </w:rPr>
  </w:style>
  <w:style w:type="paragraph" w:styleId="ab">
    <w:name w:val="Intense Quote"/>
    <w:basedOn w:val="a"/>
    <w:next w:val="a"/>
    <w:link w:val="ac"/>
    <w:uiPriority w:val="30"/>
    <w:qFormat/>
    <w:rsid w:val="0013796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lang w:val="ru-RU"/>
      <w14:ligatures w14:val="standardContextual"/>
    </w:rPr>
  </w:style>
  <w:style w:type="character" w:customStyle="1" w:styleId="ac">
    <w:name w:val="Насичена цитата Знак"/>
    <w:basedOn w:val="a0"/>
    <w:link w:val="ab"/>
    <w:uiPriority w:val="30"/>
    <w:rsid w:val="0013796E"/>
    <w:rPr>
      <w:i/>
      <w:iCs/>
      <w:color w:val="2F5496" w:themeColor="accent1" w:themeShade="BF"/>
    </w:rPr>
  </w:style>
  <w:style w:type="character" w:styleId="ad">
    <w:name w:val="Intense Reference"/>
    <w:basedOn w:val="a0"/>
    <w:uiPriority w:val="32"/>
    <w:qFormat/>
    <w:rsid w:val="0013796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2263</Words>
  <Characters>1290</Characters>
  <Application>Microsoft Office Word</Application>
  <DocSecurity>0</DocSecurity>
  <Lines>10</Lines>
  <Paragraphs>7</Paragraphs>
  <ScaleCrop>false</ScaleCrop>
  <Company/>
  <LinksUpToDate>false</LinksUpToDate>
  <CharactersWithSpaces>3546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Zoya Biloshitska</dc:creator>
  <cp:keywords/>
  <dc:description/>
  <cp:lastModifiedBy>Zoya Biloshitska</cp:lastModifiedBy>
  <cp:revision>7</cp:revision>
  <dcterms:created xsi:type="dcterms:W3CDTF">2026-10-30T15:14:00Z</dcterms:created>
  <dcterms:modified xsi:type="dcterms:W3CDTF">2026-10-30T15:20:00Z</dcterms:modified>
</cp:coreProperties>
</file>