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E0877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Навчальний конспект: Що таке бізнес-план та детальні етапи його створення (з урахуванням регуляторних норм 2026 року в Україні)</w:t>
      </w:r>
    </w:p>
    <w:p w14:paraId="39DAD25B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1. Поняття, призначення та стратегічні функції бізнес-плану</w:t>
      </w:r>
    </w:p>
    <w:p w14:paraId="1AC4B0F2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1.1. Сутність та подвійність призначення бізнес-плану</w:t>
      </w:r>
    </w:p>
    <w:p w14:paraId="06C4FD1F" w14:textId="0492723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Бізнес-план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це фінансово-управлінська модель проєкту, що є комплексом економічних розрахунків, стратегічних рішень та ринкових оцінок. Вона чітко визначає, як саме компанія генеруватиме доходи, які ресурси (фінансові, матеріальні, кадрові) необхідні для реалізації її діяльності та в який момент проєкт вийде у зону прибутковості.</w:t>
      </w:r>
    </w:p>
    <w:p w14:paraId="4E2F537F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Для здобувача освіти важливо засвоїти «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двовекторну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сутність» цього документа:</w:t>
      </w:r>
    </w:p>
    <w:p w14:paraId="08A302AF" w14:textId="77777777" w:rsidR="00175581" w:rsidRPr="00175581" w:rsidRDefault="00175581" w:rsidP="00175581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Внутрішній вектор (карта руху засновника):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бізнес-план дає змогу підприємцю перевірити життєздатність гіпотез до моменту реального інвестування коштів, розрахувати прогнози грошових потоків, визначити точку беззбитковості та завчасно ідентифікувати потенційні касові розриви.</w:t>
      </w:r>
    </w:p>
    <w:p w14:paraId="70AABB5A" w14:textId="4C5EAA86" w:rsidR="00175581" w:rsidRPr="00175581" w:rsidRDefault="00175581" w:rsidP="00175581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Зовнішній вектор (візитівка для партнерів та інвесторів):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документ презентує проєкт зовнішнім суб’єктам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банкам, грантовим комісіям, венчурним фондам та державним органам, демонструючи економічну обґрунтованість, надійність та очікуване повернення вкладеного капіталу.</w:t>
      </w:r>
    </w:p>
    <w:p w14:paraId="60E26C58" w14:textId="0A7FC1A3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Основний висновок: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Бізнес-план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це не статичний документ для «галочки», а динамічний робочий інструмент управління. Він слугує орієнтиром для засновника, мінімізуючи ризик втрати капіталу, і одночасно виступає офіційним доказом спроможності бізнесу для зовнішніх інвесторів та кредиторів.</w:t>
      </w:r>
    </w:p>
    <w:p w14:paraId="46156511" w14:textId="77777777" w:rsid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5876DAD" w14:textId="31668BFE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1.2. Класифікація функцій: внутрішній та зовнішній вектори</w:t>
      </w:r>
    </w:p>
    <w:p w14:paraId="57875233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Управлінські та економічні функції бізнес-плану систематизовано за двома основними спрямуваннями: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4"/>
        <w:gridCol w:w="4725"/>
      </w:tblGrid>
      <w:tr w:rsidR="00175581" w:rsidRPr="00175581" w14:paraId="1AFB359E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694BE2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Внутрішні функції (для менеджменту та засновників)</w:t>
            </w:r>
          </w:p>
        </w:tc>
        <w:tc>
          <w:tcPr>
            <w:tcW w:w="0" w:type="auto"/>
            <w:vAlign w:val="center"/>
            <w:hideMark/>
          </w:tcPr>
          <w:p w14:paraId="4B9129BE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Зовнішні функції (для ринкового середовища)</w:t>
            </w:r>
          </w:p>
        </w:tc>
      </w:tr>
      <w:tr w:rsidR="00175581" w:rsidRPr="00175581" w14:paraId="24EF94D6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4AED7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Стратегічне планування:</w:t>
            </w: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визначення довгострокових цілей, місії, векторів розвитку та формування покрокового алгоритму їх досягнення.</w:t>
            </w:r>
          </w:p>
        </w:tc>
        <w:tc>
          <w:tcPr>
            <w:tcW w:w="0" w:type="auto"/>
            <w:vAlign w:val="center"/>
            <w:hideMark/>
          </w:tcPr>
          <w:p w14:paraId="0FF429AD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Залучення інвестицій та кредитів:</w:t>
            </w: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доведення до відома інвесторів показників окупності, рентабельності та рівня ризику.</w:t>
            </w:r>
          </w:p>
        </w:tc>
      </w:tr>
      <w:tr w:rsidR="00175581" w:rsidRPr="00175581" w14:paraId="21218832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2D980E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Оцінка ресурсних потреб:</w:t>
            </w: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точний розрахунок необхідних капітальних інвестицій (CAPEX), операційних витрат (OPEX) та необхідного штату співробітників.</w:t>
            </w:r>
          </w:p>
        </w:tc>
        <w:tc>
          <w:tcPr>
            <w:tcW w:w="0" w:type="auto"/>
            <w:vAlign w:val="center"/>
            <w:hideMark/>
          </w:tcPr>
          <w:p w14:paraId="6E2F2168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Отримання державних грантів:</w:t>
            </w: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обґрунтування соціально-економічного ефекту, створення нових робочих місць та сплати податків до бюджету.</w:t>
            </w:r>
          </w:p>
        </w:tc>
      </w:tr>
      <w:tr w:rsidR="00175581" w:rsidRPr="00175581" w14:paraId="3FB74737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72B1EB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Сценарний аналіз та моделювання:</w:t>
            </w: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тестування стійкості бізнес-моделі за умови зміни ціноутворення, падіння попиту або зростання собівартості.</w:t>
            </w:r>
          </w:p>
        </w:tc>
        <w:tc>
          <w:tcPr>
            <w:tcW w:w="0" w:type="auto"/>
            <w:vAlign w:val="center"/>
            <w:hideMark/>
          </w:tcPr>
          <w:p w14:paraId="3120505A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Формування ділової репутації:</w:t>
            </w: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демонстрація професіоналізму, прозорості та високої управлінської зрілості команди засновників.</w:t>
            </w:r>
          </w:p>
        </w:tc>
      </w:tr>
      <w:tr w:rsidR="00175581" w:rsidRPr="00175581" w14:paraId="692D4F98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33DD7F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Операційний контроль:</w:t>
            </w: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можливість порівнювати планові показники з фактичними результатами (</w:t>
            </w:r>
            <w:proofErr w:type="spellStart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Plan</w:t>
            </w:r>
            <w:proofErr w:type="spellEnd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vs</w:t>
            </w:r>
            <w:proofErr w:type="spellEnd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Actual</w:t>
            </w:r>
            <w:proofErr w:type="spellEnd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) під час реалізації проєкту.</w:t>
            </w:r>
          </w:p>
        </w:tc>
        <w:tc>
          <w:tcPr>
            <w:tcW w:w="0" w:type="auto"/>
            <w:vAlign w:val="center"/>
            <w:hideMark/>
          </w:tcPr>
          <w:p w14:paraId="61C54D24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Укладання партнерських угод:</w:t>
            </w: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забезпечення прозорості для постачальників, дистриб'юторів та підрядників.</w:t>
            </w:r>
          </w:p>
        </w:tc>
      </w:tr>
    </w:tbl>
    <w:p w14:paraId="3ADDA8D6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lastRenderedPageBreak/>
        <w:t>1.3. Практичний контекст в Україні (2026 рік): кредити та гранти</w:t>
      </w:r>
    </w:p>
    <w:p w14:paraId="64A2EB43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 xml:space="preserve">У сучасних економічних реаліях України бізнес-план виконує роль базового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перепусткового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документа для залучення капіталу. Фінансові установи та державні інституції висувають чіткі регуляторні вимоги до змісту проєкту:</w:t>
      </w:r>
    </w:p>
    <w:p w14:paraId="59285B28" w14:textId="77777777" w:rsidR="00175581" w:rsidRPr="00175581" w:rsidRDefault="00175581" w:rsidP="00175581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Пільгове кредитування (програма «5-7-9%»):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Банківські установи оцінюють реалістичність припущень фінансової моделі, прогнозовану ліквідність та обсяг грошового потоку (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Cash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Flow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), який має повністю перекривати графік обслуговування боргу та сплати відсотків.</w:t>
      </w:r>
    </w:p>
    <w:p w14:paraId="7C3DE3FF" w14:textId="77777777" w:rsidR="00175581" w:rsidRPr="00175581" w:rsidRDefault="00175581" w:rsidP="00175581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Державні грантові програми («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єРобота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» / «Власна справа»):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Під час розкладу ресурсів за регуляторними вимогами програми «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єРобота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» державні органи фокусують увагу не лише на комерційній прибутковості, але й на виконанні таких показників:</w:t>
      </w:r>
    </w:p>
    <w:p w14:paraId="6D609F00" w14:textId="77777777" w:rsidR="00175581" w:rsidRPr="00175581" w:rsidRDefault="00175581" w:rsidP="00175581">
      <w:pPr>
        <w:numPr>
          <w:ilvl w:val="1"/>
          <w:numId w:val="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створення зафіксованої кількості нових робочих місць із заробітною платою, не нижчою за законодавчий мінімум;</w:t>
      </w:r>
    </w:p>
    <w:p w14:paraId="2EC0BC76" w14:textId="77777777" w:rsidR="00175581" w:rsidRPr="00175581" w:rsidRDefault="00175581" w:rsidP="00175581">
      <w:pPr>
        <w:numPr>
          <w:ilvl w:val="1"/>
          <w:numId w:val="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обсяг повернення грантових коштів у вигляді сплачених податків, єдиного соціального внеску (ЄСВ) та військового збору протягом 3 років (36 місяців).</w:t>
      </w:r>
    </w:p>
    <w:p w14:paraId="330ABF47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Для успішної реалізації цих функцій бізнес-план повинен відповідати чітким методологічним стандартам та розроблятися із застосуванням сучасних цифрових інструментів.</w:t>
      </w:r>
    </w:p>
    <w:p w14:paraId="6AE7DD9D" w14:textId="77777777" w:rsid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71BFE341" w14:textId="5FB62CF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2. Методологічні стандарти бізнес-планування та цифрові інструменти</w:t>
      </w:r>
    </w:p>
    <w:p w14:paraId="697E3124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2.1. Міжнародний стандарт UNIDO</w:t>
      </w:r>
    </w:p>
    <w:p w14:paraId="29302E16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Стандарт UNIDO (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United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Nations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Industrial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Development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Organization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 є міжнародно визнаною методикою розробки бізнес-планів, яка акцентує увагу на фінансовій прозорості, екологічній та соціальній стійкості. Стандарт вимагає дотримання чіткої структури з 9 обов'язкових розділів:</w:t>
      </w:r>
    </w:p>
    <w:p w14:paraId="3864CD12" w14:textId="77777777" w:rsidR="00175581" w:rsidRPr="00175581" w:rsidRDefault="00175581" w:rsidP="00175581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Резюме проєкту: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стислий огляд цілей, продукції, фінансових потреб та підсумкової ефективності проєкту для швидкого ознайомлення інвестора.</w:t>
      </w:r>
    </w:p>
    <w:p w14:paraId="0E1C0588" w14:textId="77777777" w:rsidR="00175581" w:rsidRPr="00175581" w:rsidRDefault="00175581" w:rsidP="00175581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Опис бізнесу та підприємства: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юридичний статус, власники, структура капіталу, місія,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візія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, місцерозташування та інфраструктура.</w:t>
      </w:r>
    </w:p>
    <w:p w14:paraId="640CEBA6" w14:textId="77777777" w:rsidR="00175581" w:rsidRPr="00175581" w:rsidRDefault="00175581" w:rsidP="00175581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Аналіз ринку та маркетингова концепція: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оцінка галузевих тенденцій, цільової аудиторії, аналіз конкурентів та SWOT-аналіз.</w:t>
      </w:r>
    </w:p>
    <w:p w14:paraId="5EB936D0" w14:textId="77777777" w:rsidR="00175581" w:rsidRPr="00175581" w:rsidRDefault="00175581" w:rsidP="00175581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Опис продукції або послуг: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деталізація фізичних та споживчих характеристик, патентів, ліцензій та цінності для клієнта.</w:t>
      </w:r>
    </w:p>
    <w:p w14:paraId="0278BEE7" w14:textId="77777777" w:rsidR="00175581" w:rsidRPr="00175581" w:rsidRDefault="00175581" w:rsidP="00175581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Маркетингова стратегія: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канали збуту, рекламні кампанії, ціноутворення та цільова частка ринку.</w:t>
      </w:r>
    </w:p>
    <w:p w14:paraId="6D4068A0" w14:textId="77777777" w:rsidR="00175581" w:rsidRPr="00175581" w:rsidRDefault="00175581" w:rsidP="00175581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Організаційна структура та кадри: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штатний розпис, розподіл обов'язків, вимоги до кваліфікації та фонд оплати праці.</w:t>
      </w:r>
    </w:p>
    <w:p w14:paraId="5AFAB19F" w14:textId="77777777" w:rsidR="00175581" w:rsidRPr="00175581" w:rsidRDefault="00175581" w:rsidP="00175581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Операційний (виробничий) план: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опис технологічного процесу, обладнання, постачальників, виробничих площ та операційних витрат.</w:t>
      </w:r>
    </w:p>
    <w:p w14:paraId="5E7CF61A" w14:textId="77777777" w:rsidR="00175581" w:rsidRPr="00175581" w:rsidRDefault="00175581" w:rsidP="00175581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Фінансовий план: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розрахунок доходів і витрат (P&amp;L), руху грошових коштів (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Cash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Flow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), балансу, точки беззбитковості та показників інвестиційної ефективності.</w:t>
      </w:r>
    </w:p>
    <w:p w14:paraId="7AFA3F60" w14:textId="77777777" w:rsidR="00175581" w:rsidRPr="00175581" w:rsidRDefault="00175581" w:rsidP="00175581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Управління ризиками: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ідентифікація ризиків (фінансових, операційних, технологічних) та розробка заходів із їх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мітигації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.</w:t>
      </w:r>
    </w:p>
    <w:p w14:paraId="6247809A" w14:textId="77777777" w:rsid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171A484" w14:textId="5C2DC0BA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2.2. Українські нормативні формати (</w:t>
      </w:r>
      <w:proofErr w:type="spellStart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єРобота</w:t>
      </w:r>
      <w:proofErr w:type="spellEnd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/ Наказ Мінекономіки №1969 / КМУ №1527)</w:t>
      </w:r>
    </w:p>
    <w:p w14:paraId="0FC1423C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Український нормативний формат бізнес-планування спрямований на вирішення завдань державної підтримки малого бізнесу. Нормативні вимоги (зокрема Наказ Мінекономіки №1969 та постанови КМУ №1527) передбачають подання спрощеної, але чітко структурованої типової форми через портал «Дія».</w:t>
      </w:r>
    </w:p>
    <w:p w14:paraId="0416A8F4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Ключові особливості українського грантового формату:</w:t>
      </w:r>
    </w:p>
    <w:p w14:paraId="745C521C" w14:textId="098E5CB5" w:rsidR="00175581" w:rsidRPr="00175581" w:rsidRDefault="00175581" w:rsidP="00175581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Пріоритет бюджетної віддачі: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ключовий критерій ухвалення рішення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повне повернення наданої грантової суми державі через сплачені податки та збори протягом 3 років.</w:t>
      </w:r>
    </w:p>
    <w:p w14:paraId="14C6E23A" w14:textId="77777777" w:rsidR="00175581" w:rsidRPr="00175581" w:rsidRDefault="00175581" w:rsidP="00175581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Жорстка прив'язка до штатного розпису: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обов'язкове офіційне працевлаштування найманих працівників із виплатою заробітної плати, не нижчої за законодавчо встановлений мінімум.</w:t>
      </w:r>
    </w:p>
    <w:p w14:paraId="2CE18DD5" w14:textId="77777777" w:rsidR="00175581" w:rsidRPr="00175581" w:rsidRDefault="00175581" w:rsidP="00175581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Цільовий характер використання коштів: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фінансування надається виключно на визначені закупівлі (обладнання, сировина, оренда), що підтверджується первинною документацією.</w:t>
      </w:r>
    </w:p>
    <w:p w14:paraId="640AF826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Порада консультанта: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Найпоширенішою помилкою заявників під час подання бізнес-плану через портал «Дія» є розбіжність між задекларованим фондом оплати праці та сумою гранту. Якщо у фінансово-податковій моделі закладено заробітну плату працівників на рівні мінімальної, але сума податкових надходжень від неї не перекриває розмір гранту за 36 місяців, грантова комісія відхилить заявку через некоректність бюджетного балансу.</w:t>
      </w:r>
    </w:p>
    <w:p w14:paraId="41541AD2" w14:textId="77777777" w:rsid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5FA5FDB2" w14:textId="6C1D7666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2.3. Матриця </w:t>
      </w:r>
      <w:proofErr w:type="spellStart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Business</w:t>
      </w:r>
      <w:proofErr w:type="spellEnd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Model</w:t>
      </w:r>
      <w:proofErr w:type="spellEnd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Canvas</w:t>
      </w:r>
      <w:proofErr w:type="spellEnd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(</w:t>
      </w:r>
      <w:proofErr w:type="spellStart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Остервальдера</w:t>
      </w:r>
      <w:proofErr w:type="spellEnd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)</w:t>
      </w:r>
    </w:p>
    <w:p w14:paraId="7E029244" w14:textId="231E0EC0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На етапі концептуалізації та експрес-планування використовується концепція стрункого планування (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Lean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Planning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) за допомогою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односторінкової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матриці Алекса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Остервальдера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Business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Model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Canvas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. Вона складається з 9 блоків, що відповідають на фундаментальні запитання бізнесу:</w:t>
      </w:r>
    </w:p>
    <w:p w14:paraId="43B23D87" w14:textId="77777777" w:rsidR="00175581" w:rsidRPr="00175581" w:rsidRDefault="00175581" w:rsidP="00175581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Сегменти клієнтів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Customer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Segments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Для кого ми створюємо цінність? Хто наші найважливіші клієнти?</w:t>
      </w:r>
    </w:p>
    <w:p w14:paraId="27EF4394" w14:textId="77777777" w:rsidR="00175581" w:rsidRPr="00175581" w:rsidRDefault="00175581" w:rsidP="00175581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Ціннісні пропозиції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Value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Propositions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Яку проблему клієнта ми вирішуємо? Який продукт або послугу ми пропонуємо?</w:t>
      </w:r>
    </w:p>
    <w:p w14:paraId="21004EF2" w14:textId="77777777" w:rsidR="00175581" w:rsidRPr="00175581" w:rsidRDefault="00175581" w:rsidP="00175581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Канали збуту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Channels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Через які канали наші клієнтські сегменти хочуть отримувати цінність?</w:t>
      </w:r>
    </w:p>
    <w:p w14:paraId="23E16D03" w14:textId="77777777" w:rsidR="00175581" w:rsidRPr="00175581" w:rsidRDefault="00175581" w:rsidP="00175581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Взаємини з клієнтами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Customer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Relationships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Який тип відносин встановлюється з кожним сегментом (персональний, автоматизований)?</w:t>
      </w:r>
    </w:p>
    <w:p w14:paraId="1A1FD06D" w14:textId="77777777" w:rsidR="00175581" w:rsidRPr="00175581" w:rsidRDefault="00175581" w:rsidP="00175581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Джерела доходів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Revenue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Streams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За що клієнти дійсно готові платити? Як вони платять зараз і як воліли б платити?</w:t>
      </w:r>
    </w:p>
    <w:p w14:paraId="518BB240" w14:textId="77777777" w:rsidR="00175581" w:rsidRPr="00175581" w:rsidRDefault="00175581" w:rsidP="00175581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Ключові ресурси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Key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Resources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Яких матеріальних, інтелектуальних, людських та фінансових ресурсів вимагає наша цінність?</w:t>
      </w:r>
    </w:p>
    <w:p w14:paraId="7742141E" w14:textId="77777777" w:rsidR="00175581" w:rsidRPr="00175581" w:rsidRDefault="00175581" w:rsidP="00175581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Ключові види діяльності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Key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Activities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Яких дій вимагають наші канали збуту, ціннісні пропозиції та джерела доходів?</w:t>
      </w:r>
    </w:p>
    <w:p w14:paraId="3D0ABF0E" w14:textId="77777777" w:rsidR="00175581" w:rsidRPr="00175581" w:rsidRDefault="00175581" w:rsidP="00175581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Ключові партнери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Key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Partners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Хто є нашими постачальниками та партнерами? Які ресурси ми отримуємо від них?</w:t>
      </w:r>
    </w:p>
    <w:p w14:paraId="6050552D" w14:textId="77777777" w:rsidR="00175581" w:rsidRPr="00175581" w:rsidRDefault="00175581" w:rsidP="00175581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Структура витрат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Cost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Structure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Які найважливіші витрати виникають у нашій бізнес-моделі? Які ресурси та діяльність найдорожчі?</w:t>
      </w:r>
    </w:p>
    <w:p w14:paraId="547B4FB7" w14:textId="77777777" w:rsid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26ADA0D" w14:textId="5295B631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2.4. Порівняльний огляд сучасних програм та онлайн-сервісів бізнес-планування (2026)</w:t>
      </w:r>
    </w:p>
    <w:p w14:paraId="483BEF34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Для автоматизації розрахунків, написання текстової частини та візуалізації бізнес-моделей у 2026 році використовують спеціалізоване програмне забезпечення: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4"/>
        <w:gridCol w:w="2609"/>
        <w:gridCol w:w="1678"/>
        <w:gridCol w:w="1994"/>
        <w:gridCol w:w="2014"/>
      </w:tblGrid>
      <w:tr w:rsidR="00175581" w:rsidRPr="00175581" w14:paraId="69B604A4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54667F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Назва сервісу</w:t>
            </w:r>
          </w:p>
        </w:tc>
        <w:tc>
          <w:tcPr>
            <w:tcW w:w="0" w:type="auto"/>
            <w:vAlign w:val="center"/>
            <w:hideMark/>
          </w:tcPr>
          <w:p w14:paraId="46ECF05A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Глибина фінансової моделі</w:t>
            </w:r>
          </w:p>
        </w:tc>
        <w:tc>
          <w:tcPr>
            <w:tcW w:w="0" w:type="auto"/>
            <w:vAlign w:val="center"/>
            <w:hideMark/>
          </w:tcPr>
          <w:p w14:paraId="0ACD7AD9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Наявність ШІ (</w:t>
            </w:r>
            <w:r w:rsidRPr="0017558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uk-UA"/>
              </w:rPr>
              <w:t>AI</w:t>
            </w: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07EE9B9F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Адаптація до податкового ландшафту</w:t>
            </w:r>
          </w:p>
        </w:tc>
        <w:tc>
          <w:tcPr>
            <w:tcW w:w="0" w:type="auto"/>
            <w:vAlign w:val="center"/>
            <w:hideMark/>
          </w:tcPr>
          <w:p w14:paraId="67D4CC7F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Основне призначення та сфера застосування</w:t>
            </w:r>
          </w:p>
        </w:tc>
      </w:tr>
      <w:tr w:rsidR="00175581" w:rsidRPr="00175581" w14:paraId="520CC368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DD05FC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Project </w:t>
            </w:r>
            <w:proofErr w:type="spellStart"/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Expert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3B586E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Повноцінна інвестиційна модель (P&amp;L, </w:t>
            </w:r>
            <w:proofErr w:type="spellStart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Cash</w:t>
            </w:r>
            <w:proofErr w:type="spellEnd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Flow</w:t>
            </w:r>
            <w:proofErr w:type="spellEnd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Balance</w:t>
            </w:r>
            <w:proofErr w:type="spellEnd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, NPV, IRR, WACC, Монте-Карло)</w:t>
            </w:r>
          </w:p>
        </w:tc>
        <w:tc>
          <w:tcPr>
            <w:tcW w:w="0" w:type="auto"/>
            <w:vAlign w:val="center"/>
            <w:hideMark/>
          </w:tcPr>
          <w:p w14:paraId="47BC6387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Відсутній</w:t>
            </w:r>
          </w:p>
        </w:tc>
        <w:tc>
          <w:tcPr>
            <w:tcW w:w="0" w:type="auto"/>
            <w:vAlign w:val="center"/>
            <w:hideMark/>
          </w:tcPr>
          <w:p w14:paraId="21431DA4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Налаштування формул вручну під національні вимоги</w:t>
            </w:r>
          </w:p>
        </w:tc>
        <w:tc>
          <w:tcPr>
            <w:tcW w:w="0" w:type="auto"/>
            <w:vAlign w:val="center"/>
            <w:hideMark/>
          </w:tcPr>
          <w:p w14:paraId="26D4F020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Середній та великий бізнес, складні інвестиційні та банківські проєкти</w:t>
            </w:r>
          </w:p>
        </w:tc>
      </w:tr>
      <w:tr w:rsidR="00175581" w:rsidRPr="00175581" w14:paraId="7C4123F0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B14712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E-</w:t>
            </w:r>
            <w:proofErr w:type="spellStart"/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Planificator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0052A9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Деталізовані розрахунки з урахуванням податкових режимів, ПДВ та кредитів</w:t>
            </w:r>
          </w:p>
        </w:tc>
        <w:tc>
          <w:tcPr>
            <w:tcW w:w="0" w:type="auto"/>
            <w:vAlign w:val="center"/>
            <w:hideMark/>
          </w:tcPr>
          <w:p w14:paraId="616FDE0E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Відсутній</w:t>
            </w:r>
          </w:p>
        </w:tc>
        <w:tc>
          <w:tcPr>
            <w:tcW w:w="0" w:type="auto"/>
            <w:vAlign w:val="center"/>
            <w:hideMark/>
          </w:tcPr>
          <w:p w14:paraId="1BA6B5ED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Орієнтований на регламентовані податкові режими</w:t>
            </w:r>
          </w:p>
        </w:tc>
        <w:tc>
          <w:tcPr>
            <w:tcW w:w="0" w:type="auto"/>
            <w:vAlign w:val="center"/>
            <w:hideMark/>
          </w:tcPr>
          <w:p w14:paraId="659E12B9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Малий бізнес, підготовка розрахунків під місцеві гранти та субсидії</w:t>
            </w:r>
          </w:p>
        </w:tc>
      </w:tr>
      <w:tr w:rsidR="00175581" w:rsidRPr="00175581" w14:paraId="27732795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C9B22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LivePlan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A84564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Базові фінансові прогнози, сценарний аналіз, інтеграція з </w:t>
            </w:r>
            <w:proofErr w:type="spellStart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QuickBooks</w:t>
            </w:r>
            <w:proofErr w:type="spellEnd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/</w:t>
            </w:r>
            <w:proofErr w:type="spellStart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Xero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27ABF3B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Вбудований асистент (</w:t>
            </w:r>
            <w:proofErr w:type="spellStart"/>
            <w:r w:rsidRPr="00175581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Plan</w:t>
            </w:r>
            <w:proofErr w:type="spellEnd"/>
            <w:r w:rsidRPr="00175581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175581">
              <w:rPr>
                <w:rFonts w:ascii="Times New Roman" w:hAnsi="Times New Roman"/>
                <w:i/>
                <w:iCs/>
                <w:sz w:val="24"/>
                <w:szCs w:val="24"/>
                <w:lang w:val="uk-UA"/>
              </w:rPr>
              <w:t>Review</w:t>
            </w:r>
            <w:proofErr w:type="spellEnd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, текстові підказки)</w:t>
            </w:r>
          </w:p>
        </w:tc>
        <w:tc>
          <w:tcPr>
            <w:tcW w:w="0" w:type="auto"/>
            <w:vAlign w:val="center"/>
            <w:hideMark/>
          </w:tcPr>
          <w:p w14:paraId="4A071339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Орієнтований на західні стандарти (потребує адаптації)</w:t>
            </w:r>
          </w:p>
        </w:tc>
        <w:tc>
          <w:tcPr>
            <w:tcW w:w="0" w:type="auto"/>
            <w:vAlign w:val="center"/>
            <w:hideMark/>
          </w:tcPr>
          <w:p w14:paraId="0C796061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Стартапи, малий бізнес, покрокове планування та план-факт аналіз</w:t>
            </w:r>
          </w:p>
        </w:tc>
      </w:tr>
      <w:tr w:rsidR="00175581" w:rsidRPr="00175581" w14:paraId="03395C85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C23767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Upmetrics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D42DB4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Автоматичний розрахунок прогнозів до 7 років, понад 400 шаблонів</w:t>
            </w:r>
          </w:p>
        </w:tc>
        <w:tc>
          <w:tcPr>
            <w:tcW w:w="0" w:type="auto"/>
            <w:vAlign w:val="center"/>
            <w:hideMark/>
          </w:tcPr>
          <w:p w14:paraId="26EA3094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Вбудований генератор тексту та презентацій</w:t>
            </w:r>
          </w:p>
        </w:tc>
        <w:tc>
          <w:tcPr>
            <w:tcW w:w="0" w:type="auto"/>
            <w:vAlign w:val="center"/>
            <w:hideMark/>
          </w:tcPr>
          <w:p w14:paraId="01565D9C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Загальні міжнародні параметри (потребує адаптації)</w:t>
            </w:r>
          </w:p>
        </w:tc>
        <w:tc>
          <w:tcPr>
            <w:tcW w:w="0" w:type="auto"/>
            <w:vAlign w:val="center"/>
            <w:hideMark/>
          </w:tcPr>
          <w:p w14:paraId="6951D3DB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Початківці, стартапи, бізнес-консультанти</w:t>
            </w:r>
          </w:p>
        </w:tc>
      </w:tr>
      <w:tr w:rsidR="00175581" w:rsidRPr="00175581" w14:paraId="47F073FE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9EFEBB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Notion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09F306A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Відсутній вбудований фінансовий движок (потребує налаштування баз даних і формул)</w:t>
            </w:r>
          </w:p>
        </w:tc>
        <w:tc>
          <w:tcPr>
            <w:tcW w:w="0" w:type="auto"/>
            <w:vAlign w:val="center"/>
            <w:hideMark/>
          </w:tcPr>
          <w:p w14:paraId="0611333E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Вбудований ШІ-редактор стратегії та тексту</w:t>
            </w:r>
          </w:p>
        </w:tc>
        <w:tc>
          <w:tcPr>
            <w:tcW w:w="0" w:type="auto"/>
            <w:vAlign w:val="center"/>
            <w:hideMark/>
          </w:tcPr>
          <w:p w14:paraId="5CE7981B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Повна відсутність адаптації</w:t>
            </w:r>
          </w:p>
        </w:tc>
        <w:tc>
          <w:tcPr>
            <w:tcW w:w="0" w:type="auto"/>
            <w:vAlign w:val="center"/>
            <w:hideMark/>
          </w:tcPr>
          <w:p w14:paraId="3BC321B2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Операційний менеджмент, гнучке стратегічне планування команд</w:t>
            </w:r>
          </w:p>
        </w:tc>
      </w:tr>
      <w:tr w:rsidR="00175581" w:rsidRPr="00175581" w14:paraId="3BFEF047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EB84E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Visme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116ACA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Відсутня (використовується лише для імпорту готових даних)</w:t>
            </w:r>
          </w:p>
        </w:tc>
        <w:tc>
          <w:tcPr>
            <w:tcW w:w="0" w:type="auto"/>
            <w:vAlign w:val="center"/>
            <w:hideMark/>
          </w:tcPr>
          <w:p w14:paraId="693ABB4B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Генерація макетів та слайдів за текстовим запитом</w:t>
            </w:r>
          </w:p>
        </w:tc>
        <w:tc>
          <w:tcPr>
            <w:tcW w:w="0" w:type="auto"/>
            <w:vAlign w:val="center"/>
            <w:hideMark/>
          </w:tcPr>
          <w:p w14:paraId="0D302C60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Відсутня</w:t>
            </w:r>
          </w:p>
        </w:tc>
        <w:tc>
          <w:tcPr>
            <w:tcW w:w="0" w:type="auto"/>
            <w:vAlign w:val="center"/>
            <w:hideMark/>
          </w:tcPr>
          <w:p w14:paraId="0C232995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Візуальна упаковка, </w:t>
            </w:r>
            <w:proofErr w:type="spellStart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питч-деки</w:t>
            </w:r>
            <w:proofErr w:type="spellEnd"/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, презентації для інвесторів</w:t>
            </w:r>
          </w:p>
        </w:tc>
      </w:tr>
    </w:tbl>
    <w:p w14:paraId="3E54A1A5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 xml:space="preserve">Незалежно від обраного стандарту чи цифрового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софту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, процес розробки вимагає покрокового виконання класичних етапів побудови бізнес-плану.</w:t>
      </w:r>
    </w:p>
    <w:p w14:paraId="5E57AD61" w14:textId="77777777" w:rsid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66F8F7C" w14:textId="77777777" w:rsidR="00175581" w:rsidRDefault="00175581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br w:type="page"/>
      </w:r>
    </w:p>
    <w:p w14:paraId="145D4C91" w14:textId="64A343DE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lastRenderedPageBreak/>
        <w:t>3. Покрокові етапи розробки бізнес-плану</w:t>
      </w:r>
    </w:p>
    <w:p w14:paraId="5A4F0F52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3.1. Етап 1: </w:t>
      </w:r>
      <w:proofErr w:type="spellStart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Валідація</w:t>
      </w:r>
      <w:proofErr w:type="spellEnd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ідеї та аналітичний блок (SWOT / PESTEL)</w:t>
      </w:r>
    </w:p>
    <w:p w14:paraId="260BA2EB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 xml:space="preserve">Перш ніж переходити до капітальних витрат, необхідно провести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валідацію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бізнес-ідеї за допомогою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Idea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Canvas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та сформувати аналітичний фундамент.</w:t>
      </w:r>
    </w:p>
    <w:p w14:paraId="2775DAF4" w14:textId="77777777" w:rsidR="00175581" w:rsidRPr="00175581" w:rsidRDefault="00175581" w:rsidP="00175581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Тестування гіпотез: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первинне дослідження ринку дозволяє перевірити наявність реального попиту та оцінити ризики до залучення реального капіталу.</w:t>
      </w:r>
    </w:p>
    <w:p w14:paraId="6F5D845A" w14:textId="77777777" w:rsidR="00175581" w:rsidRPr="00175581" w:rsidRDefault="00175581" w:rsidP="00175581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SWOT-аналіз: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матриця оцінки внутрішніх та зовнішніх факторів:</w:t>
      </w:r>
    </w:p>
    <w:p w14:paraId="71AB55FF" w14:textId="77777777" w:rsidR="00175581" w:rsidRPr="00175581" w:rsidRDefault="00175581" w:rsidP="00175581">
      <w:pPr>
        <w:numPr>
          <w:ilvl w:val="1"/>
          <w:numId w:val="6"/>
        </w:numPr>
        <w:tabs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Strengths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(Сильні сторони):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внутрішні переваги продукту чи команди.</w:t>
      </w:r>
    </w:p>
    <w:p w14:paraId="550F07A7" w14:textId="77777777" w:rsidR="00175581" w:rsidRPr="00175581" w:rsidRDefault="00175581" w:rsidP="00175581">
      <w:pPr>
        <w:numPr>
          <w:ilvl w:val="1"/>
          <w:numId w:val="6"/>
        </w:numPr>
        <w:tabs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Weaknesses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(Слабкі сторони):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внутрішні обмеження (брак досвіду, дефіцит оборотних коштів).</w:t>
      </w:r>
    </w:p>
    <w:p w14:paraId="3CA580CA" w14:textId="77777777" w:rsidR="00175581" w:rsidRPr="00175581" w:rsidRDefault="00175581" w:rsidP="00175581">
      <w:pPr>
        <w:numPr>
          <w:ilvl w:val="1"/>
          <w:numId w:val="6"/>
        </w:numPr>
        <w:tabs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Opportunities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(Можливості):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зовнішні сприятливі чинники ринку.</w:t>
      </w:r>
    </w:p>
    <w:p w14:paraId="344A872C" w14:textId="77777777" w:rsidR="00175581" w:rsidRPr="00175581" w:rsidRDefault="00175581" w:rsidP="00175581">
      <w:pPr>
        <w:numPr>
          <w:ilvl w:val="1"/>
          <w:numId w:val="6"/>
        </w:numPr>
        <w:tabs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Threats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(Загрози):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зовнішні ризики (зміни законодавства, воєнні чинники, зростання цін на енергоносії).</w:t>
      </w:r>
    </w:p>
    <w:p w14:paraId="2A3068E5" w14:textId="77777777" w:rsidR="00175581" w:rsidRPr="00175581" w:rsidRDefault="00175581" w:rsidP="00175581">
      <w:pPr>
        <w:numPr>
          <w:ilvl w:val="0"/>
          <w:numId w:val="6"/>
        </w:numPr>
        <w:tabs>
          <w:tab w:val="clear" w:pos="720"/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PESTEL-аналіз ринкового середовища в Україні (контекст 2026 року):</w:t>
      </w:r>
    </w:p>
    <w:p w14:paraId="1E34DEBA" w14:textId="77777777" w:rsidR="00175581" w:rsidRPr="00175581" w:rsidRDefault="00175581" w:rsidP="00175581">
      <w:pPr>
        <w:numPr>
          <w:ilvl w:val="1"/>
          <w:numId w:val="6"/>
        </w:numPr>
        <w:tabs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Political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Політичний):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регуляторні норми воєнного стану, державні пріоритети підтримки малого бізнесу (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грантори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«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єРобота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», «5-7-9%»), бронювання ключового персоналу та безпекові обмеження.</w:t>
      </w:r>
    </w:p>
    <w:p w14:paraId="6D514E9F" w14:textId="77777777" w:rsidR="00175581" w:rsidRPr="00175581" w:rsidRDefault="00175581" w:rsidP="00175581">
      <w:pPr>
        <w:numPr>
          <w:ilvl w:val="1"/>
          <w:numId w:val="6"/>
        </w:numPr>
        <w:tabs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E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Economic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Економічний):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інфляційні очікування, коливання валютного курсу (USD/EUR), динаміка ставок банківського кредитування та купівельна спроможність населення.</w:t>
      </w:r>
    </w:p>
    <w:p w14:paraId="63422DC9" w14:textId="77777777" w:rsidR="00175581" w:rsidRPr="00175581" w:rsidRDefault="00175581" w:rsidP="00175581">
      <w:pPr>
        <w:numPr>
          <w:ilvl w:val="1"/>
          <w:numId w:val="6"/>
        </w:numPr>
        <w:tabs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S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Social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Соціальний):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демографічні зсуви, внутрішня та зовнішня міграція робочої сили, дефіцит кваліфікованих кадрів, переорієнтація споживчого попиту на товари першої необхідності.</w:t>
      </w:r>
    </w:p>
    <w:p w14:paraId="7CE353F4" w14:textId="77777777" w:rsidR="00175581" w:rsidRPr="00175581" w:rsidRDefault="00175581" w:rsidP="00175581">
      <w:pPr>
        <w:numPr>
          <w:ilvl w:val="1"/>
          <w:numId w:val="6"/>
        </w:numPr>
        <w:tabs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T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Technological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Технологічний):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необхідність закладення автономних джерел енергії (СЕС, системи накопичення ESS),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цифровізація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бізнес-процесів, автоматизація збуту та впровадження ШІ-асистентів.</w:t>
      </w:r>
    </w:p>
    <w:p w14:paraId="3818B2F9" w14:textId="77777777" w:rsidR="00175581" w:rsidRPr="00175581" w:rsidRDefault="00175581" w:rsidP="00175581">
      <w:pPr>
        <w:numPr>
          <w:ilvl w:val="1"/>
          <w:numId w:val="6"/>
        </w:numPr>
        <w:tabs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E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Environmental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Екологічний):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відповідність європейським стандартам зеленого переходу (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Green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Deal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), вимоги до енергоефективності обладнання та утилізації відходів.</w:t>
      </w:r>
    </w:p>
    <w:p w14:paraId="2696D3B3" w14:textId="77777777" w:rsidR="00175581" w:rsidRPr="00175581" w:rsidRDefault="00175581" w:rsidP="00175581">
      <w:pPr>
        <w:numPr>
          <w:ilvl w:val="1"/>
          <w:numId w:val="6"/>
        </w:numPr>
        <w:tabs>
          <w:tab w:val="num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L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Legal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Юридичний):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оновлення податкового законодавства у 2026 році (нові ставки військового збору для ФОП, квартальна звітність щодо найманих працівників, вимоги РРО/ПРРО).</w:t>
      </w:r>
    </w:p>
    <w:p w14:paraId="36151F57" w14:textId="77777777" w:rsid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6B7E096B" w14:textId="3FD3A95D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3.2. Етап 2: Маркетингова стратегія та позиціонування</w:t>
      </w:r>
    </w:p>
    <w:p w14:paraId="5D3C3F77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Маркетинговий блок визначає модель ціноутворення, канали збуту, методи просування та розрахунок потенційної частки ринку. Для забезпечення належної академічної глибини оцінка ринкового потенціалу базується на багаторівневому розрахунку ємності ринку (</w:t>
      </w: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TAM / SAM / SOM</w:t>
      </w:r>
      <w:r w:rsidRPr="00175581">
        <w:rPr>
          <w:rFonts w:ascii="Times New Roman" w:hAnsi="Times New Roman"/>
          <w:sz w:val="28"/>
          <w:szCs w:val="28"/>
          <w:lang w:val="uk-UA"/>
        </w:rPr>
        <w:t>):</w:t>
      </w:r>
    </w:p>
    <w:p w14:paraId="6B5B90DE" w14:textId="77777777" w:rsidR="00175581" w:rsidRPr="00175581" w:rsidRDefault="00175581" w:rsidP="00175581">
      <w:pPr>
        <w:numPr>
          <w:ilvl w:val="0"/>
          <w:numId w:val="7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TAM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Total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Addressable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Market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Сукупний обсяг ринку):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загальний потенційний попит на продукт чи послугу за умови 100% охоплення всіх можливих споживачів.</w:t>
      </w:r>
    </w:p>
    <w:p w14:paraId="32D19048" w14:textId="6B9A9358" w:rsidR="00175581" w:rsidRPr="00175581" w:rsidRDefault="00175581" w:rsidP="00175581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TAM = Загальна кількість потенційних клієнтів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* </w:t>
      </w:r>
      <w:r w:rsidRPr="00175581">
        <w:rPr>
          <w:rFonts w:ascii="Times New Roman" w:hAnsi="Times New Roman"/>
          <w:sz w:val="28"/>
          <w:szCs w:val="28"/>
          <w:lang w:val="uk-UA"/>
        </w:rPr>
        <w:t>Середній річний чек</w:t>
      </w:r>
    </w:p>
    <w:p w14:paraId="2C98E8E8" w14:textId="77777777" w:rsidR="00175581" w:rsidRPr="00175581" w:rsidRDefault="00175581" w:rsidP="00175581">
      <w:pPr>
        <w:numPr>
          <w:ilvl w:val="0"/>
          <w:numId w:val="8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SAM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Serviceable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Addressable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Market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Доступний обсяг ринку):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сегмент ринку, який проєкт здатний обслуговувати у межах своєї географічної присутності та технологічного формату.</w:t>
      </w:r>
    </w:p>
    <w:p w14:paraId="012BE274" w14:textId="20192239" w:rsidR="00175581" w:rsidRPr="00175581" w:rsidRDefault="00175581" w:rsidP="00175581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SAM = Цільова частка досяжних клієнтів</w:t>
      </w:r>
      <w:r w:rsidRPr="00175581">
        <w:rPr>
          <w:rFonts w:ascii="Times New Roman" w:hAnsi="Times New Roman"/>
          <w:sz w:val="28"/>
          <w:szCs w:val="28"/>
        </w:rPr>
        <w:t xml:space="preserve"> * </w:t>
      </w:r>
      <w:r w:rsidRPr="00175581">
        <w:rPr>
          <w:rFonts w:ascii="Times New Roman" w:hAnsi="Times New Roman"/>
          <w:sz w:val="28"/>
          <w:szCs w:val="28"/>
          <w:lang w:val="uk-UA"/>
        </w:rPr>
        <w:t>Середній річний чек</w:t>
      </w:r>
    </w:p>
    <w:p w14:paraId="0B9B2B46" w14:textId="77777777" w:rsidR="00175581" w:rsidRPr="00175581" w:rsidRDefault="00175581" w:rsidP="00175581">
      <w:pPr>
        <w:numPr>
          <w:ilvl w:val="0"/>
          <w:numId w:val="9"/>
        </w:numPr>
        <w:tabs>
          <w:tab w:val="clear" w:pos="720"/>
          <w:tab w:val="num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>SOM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Serviceable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Obtainable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Market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Реально досяжний обсяг ринку):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частка ринку, яку підприємство реально планує завоювати у перший-третій роки з урахуванням конкуренції, маркетингового бюджету та виробничих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потужностей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.</w:t>
      </w:r>
    </w:p>
    <w:p w14:paraId="5AD7D992" w14:textId="5C50559B" w:rsidR="00175581" w:rsidRPr="00175581" w:rsidRDefault="00175581" w:rsidP="00175581">
      <w:pPr>
        <w:tabs>
          <w:tab w:val="num" w:pos="993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SOM = Прогнозований обсяг продажів у перший рік діяльності</w:t>
      </w:r>
    </w:p>
    <w:p w14:paraId="07865E25" w14:textId="77777777" w:rsid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3711AA1D" w14:textId="10F0F8D3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3.3. Етап 3: Виробничо-операційний план та капітальні витрати (CAPEX)</w:t>
      </w:r>
    </w:p>
    <w:p w14:paraId="3BB7E371" w14:textId="65C82663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Цей етап описує матеріально-технічне забезпечення бізнесу та визначає обсяг початкових інвестицій (</w:t>
      </w: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CAPEX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Capital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Expenditures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 і поточних операційних витрат (</w:t>
      </w: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OPEX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Operational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Expenditures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).</w:t>
      </w:r>
    </w:p>
    <w:p w14:paraId="189D35C7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 xml:space="preserve">Практичний кейс: Розрахунок інвестицій у сонячну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электростанцію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(СЕС) потужністю 100 кВт</w:t>
      </w:r>
    </w:p>
    <w:p w14:paraId="6224D0F5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Для комерційних підприємств середнього розміру актуальним прикладом створення матеріально-технічної бази є будівництво СЕС потужністю 100 кВт (для власного споживання або продажу в мережу):</w:t>
      </w:r>
    </w:p>
    <w:p w14:paraId="397133A7" w14:textId="77777777" w:rsidR="00175581" w:rsidRPr="00175581" w:rsidRDefault="00175581" w:rsidP="00175581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Початкові капітальні витрати (CAPEX):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$50 000 – $55 000.</w:t>
      </w:r>
    </w:p>
    <w:p w14:paraId="46D74FAE" w14:textId="77777777" w:rsidR="00175581" w:rsidRPr="00175581" w:rsidRDefault="00175581" w:rsidP="00175581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Структура капітальних витрат:</w:t>
      </w:r>
    </w:p>
    <w:p w14:paraId="4D18A106" w14:textId="77777777" w:rsidR="00175581" w:rsidRPr="00175581" w:rsidRDefault="00175581" w:rsidP="00175581">
      <w:pPr>
        <w:numPr>
          <w:ilvl w:val="1"/>
          <w:numId w:val="10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Сонячні панелі: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основна стаття витрат (панелі брендів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Longi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, JA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Solar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Trina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Solar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JinkoSolar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).</w:t>
      </w:r>
    </w:p>
    <w:p w14:paraId="44E642B7" w14:textId="77777777" w:rsidR="00175581" w:rsidRPr="00175581" w:rsidRDefault="00175581" w:rsidP="00175581">
      <w:pPr>
        <w:numPr>
          <w:ilvl w:val="1"/>
          <w:numId w:val="10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Інвертори: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обладнання для перетворення постійного струму на змінний.</w:t>
      </w:r>
    </w:p>
    <w:p w14:paraId="509A30A9" w14:textId="77777777" w:rsidR="00175581" w:rsidRPr="00175581" w:rsidRDefault="00175581" w:rsidP="00175581">
      <w:pPr>
        <w:numPr>
          <w:ilvl w:val="1"/>
          <w:numId w:val="10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Системи кріплення: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конструкції для дахового або наземного монтажу.</w:t>
      </w:r>
    </w:p>
    <w:p w14:paraId="4649967D" w14:textId="77777777" w:rsidR="00175581" w:rsidRPr="00175581" w:rsidRDefault="00175581" w:rsidP="00175581">
      <w:pPr>
        <w:numPr>
          <w:ilvl w:val="1"/>
          <w:numId w:val="10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Кабельно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-провідникова продукція та автоматика: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захисні та з'єднувальні елементи.</w:t>
      </w:r>
    </w:p>
    <w:p w14:paraId="101F241C" w14:textId="77777777" w:rsidR="00175581" w:rsidRPr="00175581" w:rsidRDefault="00175581" w:rsidP="00175581">
      <w:pPr>
        <w:numPr>
          <w:ilvl w:val="1"/>
          <w:numId w:val="10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Проєктування та монтажні роботи: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оплата інженерно-інсталяційних послуг.</w:t>
      </w:r>
    </w:p>
    <w:p w14:paraId="15B912D4" w14:textId="77777777" w:rsidR="00175581" w:rsidRPr="00175581" w:rsidRDefault="00175581" w:rsidP="00175581">
      <w:pPr>
        <w:numPr>
          <w:ilvl w:val="1"/>
          <w:numId w:val="10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Оформлення документів та підключення: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отримання технічних умов від обленерго, підписання договорів.</w:t>
      </w:r>
    </w:p>
    <w:p w14:paraId="7813FB85" w14:textId="77777777" w:rsidR="00175581" w:rsidRPr="00175581" w:rsidRDefault="00175581" w:rsidP="00175581">
      <w:pPr>
        <w:numPr>
          <w:ilvl w:val="0"/>
          <w:numId w:val="10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Операційні витрати (OPEX):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2–3% від початкової вартості станції на рік ($1 000 – $1 500/рік або ~$100/місяць). Включають технічне обслуговування (1–2 рази на рік), очищення панелей від бруду, страхування майна (1–2% вартості) та резерв на планову заміну інвертора (термін служби 10–15 років).</w:t>
      </w:r>
    </w:p>
    <w:p w14:paraId="62550F47" w14:textId="77777777" w:rsid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5CF100C" w14:textId="48D65A5A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3.4. Етап 4: Організаційний план та управління персоналом</w:t>
      </w:r>
    </w:p>
    <w:p w14:paraId="13A77514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 xml:space="preserve">Розділ описує правовий статус бізнесу (наприклад, ФОП або ТОВ), організаційну структуру управління, розклад змінності та штатний розпис. Головним завданням етапу є розрахунок </w:t>
      </w: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Фонду оплати праці (ФОП)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із урахуванням обов’язкових державних нарахувань на заробітну плату найманих працівників.</w:t>
      </w:r>
    </w:p>
    <w:p w14:paraId="1A433624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 xml:space="preserve">Усі операційні, маркетингові та кадрові рішення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агрегуються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у підсумковому фінансовому блоці проєкту.</w:t>
      </w:r>
    </w:p>
    <w:p w14:paraId="21DD9F9A" w14:textId="77777777" w:rsidR="00175581" w:rsidRDefault="00175581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br w:type="page"/>
      </w:r>
    </w:p>
    <w:p w14:paraId="2B5AAF8E" w14:textId="7437F5CD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lastRenderedPageBreak/>
        <w:t>4. Фінансове моделювання та податковий ландшафт ФОП 2026 року в Україні</w:t>
      </w:r>
    </w:p>
    <w:p w14:paraId="510DB4CD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4.1. Тріада фінансової звітності проєкту</w:t>
      </w:r>
    </w:p>
    <w:p w14:paraId="15DDEAA0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Ядром фінансової моделі є три взаємопов'язані документи:</w:t>
      </w:r>
    </w:p>
    <w:p w14:paraId="7D7EC0E8" w14:textId="77777777" w:rsidR="00175581" w:rsidRPr="00175581" w:rsidRDefault="00175581" w:rsidP="00175581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P&amp;L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Profit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and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Loss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Звіт про фінансові результати):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відображає доходи, операційні витрати, амортизацію, податкові зобов'язання та чистий прибуток компанії за кожен період.</w:t>
      </w:r>
    </w:p>
    <w:p w14:paraId="02BB7ABF" w14:textId="77777777" w:rsidR="00175581" w:rsidRPr="00175581" w:rsidRDefault="00175581" w:rsidP="00175581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Cash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Flow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(БДДС / Звіт про рух грошових коштів):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прогнозує реальні припливи та відпливи грошей. На відміну від P&amp;L,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Cash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Flow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враховує фактичний час надходження коштів, що дає змогу виявити касові розриви.</w:t>
      </w:r>
    </w:p>
    <w:p w14:paraId="6D60AB9B" w14:textId="77777777" w:rsidR="00175581" w:rsidRPr="00175581" w:rsidRDefault="00175581" w:rsidP="00175581">
      <w:pPr>
        <w:numPr>
          <w:ilvl w:val="0"/>
          <w:numId w:val="11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Balance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Sheet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(Управлінський баланс):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фіксує фінансовий стан підприємства на конкретну дату, балансуючи Активи (що бізнес має) та Джерела їх фінансування (Пасиви: власний капітал та зобов'язання).</w:t>
      </w:r>
    </w:p>
    <w:p w14:paraId="205DFCA1" w14:textId="77777777" w:rsid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71178A2" w14:textId="4E40A099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4.2. Регуляторні та податкові параметри ФОП у 2026 році (ДПС України)</w:t>
      </w:r>
    </w:p>
    <w:p w14:paraId="644DA655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Під час розробки фінансової моделі в Україні на 2026 рік слід спиратися на офіційні базові соціальні та податкові параметри, зафіксовані Державною податковою службою України та Законом України «Про Державний бюджет України на 2026 рік»:</w:t>
      </w:r>
    </w:p>
    <w:p w14:paraId="11F2EFA9" w14:textId="77777777" w:rsidR="00175581" w:rsidRPr="00175581" w:rsidRDefault="00175581" w:rsidP="00175581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Мінімальна заробітна плата (МЗП):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8 647 грн</w:t>
      </w:r>
      <w:r w:rsidRPr="00175581">
        <w:rPr>
          <w:rFonts w:ascii="Times New Roman" w:hAnsi="Times New Roman"/>
          <w:sz w:val="28"/>
          <w:szCs w:val="28"/>
          <w:lang w:val="uk-UA"/>
        </w:rPr>
        <w:t>.</w:t>
      </w:r>
    </w:p>
    <w:p w14:paraId="2FE0E5A3" w14:textId="77777777" w:rsidR="00175581" w:rsidRPr="00175581" w:rsidRDefault="00175581" w:rsidP="00175581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Прожитковий мінімум для працездатних осіб (ПМ):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3 328 грн</w:t>
      </w:r>
      <w:r w:rsidRPr="00175581">
        <w:rPr>
          <w:rFonts w:ascii="Times New Roman" w:hAnsi="Times New Roman"/>
          <w:sz w:val="28"/>
          <w:szCs w:val="28"/>
          <w:lang w:val="uk-UA"/>
        </w:rPr>
        <w:t>.</w:t>
      </w:r>
    </w:p>
    <w:p w14:paraId="61D65D61" w14:textId="19F1E7CB" w:rsidR="00175581" w:rsidRPr="00175581" w:rsidRDefault="00175581" w:rsidP="00175581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Єдиний соціальний внесок (ЄСВ) «за себе»: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мінімальний розмір складає 22% від МЗП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1 902,34 грн/місяць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або </w:t>
      </w: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5 707,02 грн/квартал</w:t>
      </w:r>
      <w:r w:rsidRPr="00175581">
        <w:rPr>
          <w:rFonts w:ascii="Times New Roman" w:hAnsi="Times New Roman"/>
          <w:sz w:val="28"/>
          <w:szCs w:val="28"/>
          <w:lang w:val="uk-UA"/>
        </w:rPr>
        <w:t>.</w:t>
      </w:r>
    </w:p>
    <w:p w14:paraId="77C930CB" w14:textId="77777777" w:rsidR="00175581" w:rsidRPr="00175581" w:rsidRDefault="00175581" w:rsidP="00175581">
      <w:pPr>
        <w:numPr>
          <w:ilvl w:val="0"/>
          <w:numId w:val="1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Податкове навантаження на найманого працівника:</w:t>
      </w:r>
    </w:p>
    <w:p w14:paraId="7C61E4C9" w14:textId="234562C5" w:rsidR="00175581" w:rsidRPr="00175581" w:rsidRDefault="00175581" w:rsidP="00175581">
      <w:pPr>
        <w:numPr>
          <w:ilvl w:val="1"/>
          <w:numId w:val="1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 xml:space="preserve">Утримання із зарплати робітника: ПДФО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18%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, Військовий збір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5%</w:t>
      </w:r>
      <w:r w:rsidRPr="00175581">
        <w:rPr>
          <w:rFonts w:ascii="Times New Roman" w:hAnsi="Times New Roman"/>
          <w:sz w:val="28"/>
          <w:szCs w:val="28"/>
          <w:lang w:val="uk-UA"/>
        </w:rPr>
        <w:t>.</w:t>
      </w:r>
    </w:p>
    <w:p w14:paraId="5292FBC3" w14:textId="4B15EBF9" w:rsidR="00175581" w:rsidRPr="00175581" w:rsidRDefault="00175581" w:rsidP="00175581">
      <w:pPr>
        <w:numPr>
          <w:ilvl w:val="1"/>
          <w:numId w:val="1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 xml:space="preserve">Нарахування роботодавця: ЄСВ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22%</w:t>
      </w:r>
      <w:r w:rsidRPr="00175581">
        <w:rPr>
          <w:rFonts w:ascii="Times New Roman" w:hAnsi="Times New Roman"/>
          <w:sz w:val="28"/>
          <w:szCs w:val="28"/>
          <w:lang w:val="uk-UA"/>
        </w:rPr>
        <w:t>.</w:t>
      </w:r>
    </w:p>
    <w:p w14:paraId="6BD154B5" w14:textId="77777777" w:rsidR="00175581" w:rsidRPr="00175581" w:rsidRDefault="00175581" w:rsidP="00175581">
      <w:pPr>
        <w:numPr>
          <w:ilvl w:val="1"/>
          <w:numId w:val="12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Примітка: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з 1 січня 2026 року запроваджено квартальну звітність щодо ПДФО, ВЗ та ЄСВ за працівників.</w:t>
      </w:r>
    </w:p>
    <w:p w14:paraId="58ABA108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Зведена таблиця: «Податкові параметри та ліміти для ФОП у 2026 році»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4"/>
        <w:gridCol w:w="2610"/>
        <w:gridCol w:w="2456"/>
        <w:gridCol w:w="2499"/>
      </w:tblGrid>
      <w:tr w:rsidR="00175581" w:rsidRPr="00175581" w14:paraId="1E9F5958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DA4B8" w14:textId="77777777" w:rsidR="00175581" w:rsidRPr="00175581" w:rsidRDefault="00175581" w:rsidP="001755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Показник / Параметр</w:t>
            </w:r>
          </w:p>
        </w:tc>
        <w:tc>
          <w:tcPr>
            <w:tcW w:w="2580" w:type="dxa"/>
            <w:vAlign w:val="center"/>
            <w:hideMark/>
          </w:tcPr>
          <w:p w14:paraId="7CB5077F" w14:textId="77777777" w:rsidR="00175581" w:rsidRPr="00175581" w:rsidRDefault="00175581" w:rsidP="001755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1 група ФОП</w:t>
            </w:r>
          </w:p>
        </w:tc>
        <w:tc>
          <w:tcPr>
            <w:tcW w:w="2426" w:type="dxa"/>
            <w:vAlign w:val="center"/>
            <w:hideMark/>
          </w:tcPr>
          <w:p w14:paraId="47ED9F7A" w14:textId="77777777" w:rsidR="00175581" w:rsidRPr="00175581" w:rsidRDefault="00175581" w:rsidP="001755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2 група ФОП</w:t>
            </w:r>
          </w:p>
        </w:tc>
        <w:tc>
          <w:tcPr>
            <w:tcW w:w="0" w:type="auto"/>
            <w:vAlign w:val="center"/>
            <w:hideMark/>
          </w:tcPr>
          <w:p w14:paraId="020BED68" w14:textId="77777777" w:rsidR="00175581" w:rsidRPr="00175581" w:rsidRDefault="00175581" w:rsidP="0017558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3 група ФОП</w:t>
            </w:r>
          </w:p>
        </w:tc>
      </w:tr>
      <w:tr w:rsidR="00175581" w:rsidRPr="00175581" w14:paraId="1AE9787E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33F0A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Граничний річний ліміт доходу</w:t>
            </w:r>
          </w:p>
        </w:tc>
        <w:tc>
          <w:tcPr>
            <w:tcW w:w="2580" w:type="dxa"/>
            <w:vAlign w:val="center"/>
            <w:hideMark/>
          </w:tcPr>
          <w:p w14:paraId="63064AB5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1 444 049 грн</w:t>
            </w:r>
          </w:p>
        </w:tc>
        <w:tc>
          <w:tcPr>
            <w:tcW w:w="2426" w:type="dxa"/>
            <w:vAlign w:val="center"/>
            <w:hideMark/>
          </w:tcPr>
          <w:p w14:paraId="036CE710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7 211 598 грн</w:t>
            </w:r>
          </w:p>
        </w:tc>
        <w:tc>
          <w:tcPr>
            <w:tcW w:w="0" w:type="auto"/>
            <w:vAlign w:val="center"/>
            <w:hideMark/>
          </w:tcPr>
          <w:p w14:paraId="03E8F41C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10 091 049 грн</w:t>
            </w:r>
          </w:p>
        </w:tc>
      </w:tr>
      <w:tr w:rsidR="00175581" w:rsidRPr="00175581" w14:paraId="3A00721C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C03499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Максимальний Єдиний податок (ЄП)</w:t>
            </w:r>
          </w:p>
        </w:tc>
        <w:tc>
          <w:tcPr>
            <w:tcW w:w="2580" w:type="dxa"/>
            <w:vAlign w:val="center"/>
            <w:hideMark/>
          </w:tcPr>
          <w:p w14:paraId="2DAE7540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До 332,80 грн/міс (10% від ПМ)</w:t>
            </w:r>
          </w:p>
        </w:tc>
        <w:tc>
          <w:tcPr>
            <w:tcW w:w="2426" w:type="dxa"/>
            <w:vAlign w:val="center"/>
            <w:hideMark/>
          </w:tcPr>
          <w:p w14:paraId="18D4DD69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До 1 729,40 грн/міс (20% від МЗП)</w:t>
            </w:r>
          </w:p>
        </w:tc>
        <w:tc>
          <w:tcPr>
            <w:tcW w:w="0" w:type="auto"/>
            <w:vAlign w:val="center"/>
            <w:hideMark/>
          </w:tcPr>
          <w:p w14:paraId="393ED1B9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5% від доходу (або 3% + ПДВ)</w:t>
            </w:r>
          </w:p>
        </w:tc>
      </w:tr>
      <w:tr w:rsidR="00175581" w:rsidRPr="00175581" w14:paraId="67B6B384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67616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Військовий збір (ВЗ) «за себе»</w:t>
            </w:r>
          </w:p>
        </w:tc>
        <w:tc>
          <w:tcPr>
            <w:tcW w:w="2580" w:type="dxa"/>
            <w:vAlign w:val="center"/>
            <w:hideMark/>
          </w:tcPr>
          <w:p w14:paraId="648D02A1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864,70 грн/міс (10% від МЗП)</w:t>
            </w:r>
          </w:p>
        </w:tc>
        <w:tc>
          <w:tcPr>
            <w:tcW w:w="2426" w:type="dxa"/>
            <w:vAlign w:val="center"/>
            <w:hideMark/>
          </w:tcPr>
          <w:p w14:paraId="10AAD620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864,70 грн/міс (10% від МЗП)</w:t>
            </w:r>
          </w:p>
        </w:tc>
        <w:tc>
          <w:tcPr>
            <w:tcW w:w="0" w:type="auto"/>
            <w:vAlign w:val="center"/>
            <w:hideMark/>
          </w:tcPr>
          <w:p w14:paraId="04E531DE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1% від задекларованого доходу</w:t>
            </w:r>
          </w:p>
        </w:tc>
      </w:tr>
      <w:tr w:rsidR="00175581" w:rsidRPr="00175581" w14:paraId="4034889E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11ACB0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>Терміни сплати ВЗ</w:t>
            </w:r>
          </w:p>
        </w:tc>
        <w:tc>
          <w:tcPr>
            <w:tcW w:w="2580" w:type="dxa"/>
            <w:vAlign w:val="center"/>
            <w:hideMark/>
          </w:tcPr>
          <w:p w14:paraId="2C1ABEB2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Щомісяця, до 20 числа (включно)</w:t>
            </w:r>
          </w:p>
        </w:tc>
        <w:tc>
          <w:tcPr>
            <w:tcW w:w="2426" w:type="dxa"/>
            <w:vAlign w:val="center"/>
            <w:hideMark/>
          </w:tcPr>
          <w:p w14:paraId="19127594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Щомісяця, до 20 числа (включно)</w:t>
            </w:r>
          </w:p>
        </w:tc>
        <w:tc>
          <w:tcPr>
            <w:tcW w:w="0" w:type="auto"/>
            <w:vAlign w:val="center"/>
            <w:hideMark/>
          </w:tcPr>
          <w:p w14:paraId="74356A1B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Протягом 10 днів після граничного терміну подання квартальної декларації</w:t>
            </w:r>
          </w:p>
        </w:tc>
      </w:tr>
      <w:tr w:rsidR="00175581" w:rsidRPr="00175581" w14:paraId="5935A7E3" w14:textId="77777777" w:rsidTr="0017558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69E426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lastRenderedPageBreak/>
              <w:t>Підвищена ставка ЄП (15%)</w:t>
            </w:r>
          </w:p>
        </w:tc>
        <w:tc>
          <w:tcPr>
            <w:tcW w:w="2580" w:type="dxa"/>
            <w:vAlign w:val="center"/>
            <w:hideMark/>
          </w:tcPr>
          <w:p w14:paraId="0B625BFA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75581">
              <w:rPr>
                <w:rFonts w:ascii="Times New Roman" w:hAnsi="Times New Roman"/>
                <w:sz w:val="24"/>
                <w:szCs w:val="24"/>
                <w:lang w:val="uk-UA"/>
              </w:rPr>
              <w:t>Застосовується у разі перевищення ліміту доходу, отримання доходу від незареєстрованих видів діяльності або використання заборонених способів розрахунків</w:t>
            </w:r>
          </w:p>
        </w:tc>
        <w:tc>
          <w:tcPr>
            <w:tcW w:w="2426" w:type="dxa"/>
            <w:vAlign w:val="center"/>
            <w:hideMark/>
          </w:tcPr>
          <w:p w14:paraId="576F34F3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0" w:type="auto"/>
            <w:vAlign w:val="center"/>
            <w:hideMark/>
          </w:tcPr>
          <w:p w14:paraId="604F31C8" w14:textId="77777777" w:rsidR="00175581" w:rsidRPr="00175581" w:rsidRDefault="00175581" w:rsidP="0017558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7A768E52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Примітка щодо ФОП 4 групи: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Ставка військового збору «за себе» становить </w:t>
      </w: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864,70 грн/міс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(10% від МЗП) зі сплатою щомісяця до 20 числа.</w:t>
      </w:r>
    </w:p>
    <w:p w14:paraId="313EDE58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Правильно розрахована фінансова модель та податкові зобов'язання дозволяють перейти до розрахунку показників інвестиційної ефективності.</w:t>
      </w:r>
    </w:p>
    <w:p w14:paraId="1576AA52" w14:textId="77777777" w:rsid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0608B795" w14:textId="79498B6C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5. Оцінка інвестиційної ефективності, економічні розрахунки та аналіз ризиків</w:t>
      </w:r>
    </w:p>
    <w:p w14:paraId="177790FE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5.1. Ключові показники ефективності інвестицій (</w:t>
      </w:r>
      <w:proofErr w:type="spellStart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Formulas</w:t>
      </w:r>
      <w:proofErr w:type="spellEnd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&amp; </w:t>
      </w:r>
      <w:proofErr w:type="spellStart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Logic</w:t>
      </w:r>
      <w:proofErr w:type="spellEnd"/>
      <w:r w:rsidRPr="00175581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)</w:t>
      </w:r>
    </w:p>
    <w:p w14:paraId="61022D26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Для оцінки привабливості проєкту для інвесторів застосовують такі показники:</w:t>
      </w:r>
    </w:p>
    <w:p w14:paraId="2B8AF295" w14:textId="5420A378" w:rsidR="00175581" w:rsidRPr="00175581" w:rsidRDefault="00175581" w:rsidP="00175581">
      <w:pPr>
        <w:numPr>
          <w:ilvl w:val="0"/>
          <w:numId w:val="1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NPV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Net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Present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Value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Чиста приведена вартість):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сума дисконтованих грошових потоків за мінусом початкових інвестицій</w:t>
      </w:r>
    </w:p>
    <w:p w14:paraId="47F5E08A" w14:textId="5F742CD6" w:rsidR="00175581" w:rsidRPr="00175581" w:rsidRDefault="00175581" w:rsidP="00175581">
      <w:pPr>
        <w:numPr>
          <w:ilvl w:val="0"/>
          <w:numId w:val="14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WACC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Weighted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Average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Cost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of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Capital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Середньозважена вартість капіталу):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середня ставка витрат на залучення власного та позикового капіталу, яка слугує ставкою дисконтування (r)</w:t>
      </w:r>
    </w:p>
    <w:p w14:paraId="5582DCDE" w14:textId="23607A3C" w:rsidR="00175581" w:rsidRPr="00175581" w:rsidRDefault="00175581" w:rsidP="00175581">
      <w:pPr>
        <w:numPr>
          <w:ilvl w:val="0"/>
          <w:numId w:val="1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IRR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Internal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Rate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of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Return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Внутрішня норма доходності):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ставка дисконтування, за якої NPV проєкту дорівнює нулю</w:t>
      </w:r>
    </w:p>
    <w:p w14:paraId="3A6D6D54" w14:textId="473E1076" w:rsidR="00175581" w:rsidRPr="00175581" w:rsidRDefault="00175581" w:rsidP="00175581">
      <w:pPr>
        <w:numPr>
          <w:ilvl w:val="0"/>
          <w:numId w:val="16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PI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Profitability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Index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Індекс рентабельності):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відношення приведених доходів до початкових інвестицій</w:t>
      </w:r>
    </w:p>
    <w:p w14:paraId="3613DCF7" w14:textId="2224798C" w:rsidR="00175581" w:rsidRPr="00175581" w:rsidRDefault="00175581" w:rsidP="00175581">
      <w:pPr>
        <w:numPr>
          <w:ilvl w:val="0"/>
          <w:numId w:val="17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Payback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Period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(Термін окупності):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період часу, необхідний для повернення вкладеного капіталу</w:t>
      </w:r>
    </w:p>
    <w:p w14:paraId="7E604F84" w14:textId="77777777" w:rsidR="000E0E96" w:rsidRDefault="000E0E96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20D286C5" w14:textId="6C57C653" w:rsidR="00175581" w:rsidRPr="000E0E96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5.2. CVP-аналіз та розрахунок точки беззбитковості (</w:t>
      </w:r>
      <w:proofErr w:type="spellStart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Break-even</w:t>
      </w:r>
      <w:proofErr w:type="spellEnd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</w:t>
      </w:r>
      <w:proofErr w:type="spellStart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Point</w:t>
      </w:r>
      <w:proofErr w:type="spellEnd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)</w:t>
      </w:r>
    </w:p>
    <w:p w14:paraId="4788E997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CVP-аналіз (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Cost-Volume-Profit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 базується на поділі витрат бізнесу на дві категорії:</w:t>
      </w:r>
    </w:p>
    <w:p w14:paraId="6A761E45" w14:textId="77777777" w:rsidR="00175581" w:rsidRPr="00175581" w:rsidRDefault="00175581" w:rsidP="00175581">
      <w:pPr>
        <w:numPr>
          <w:ilvl w:val="0"/>
          <w:numId w:val="18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Постійні витрати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Fixed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Costs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FC):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не залежать від обсягів виробництва (оренда, фіксований оклад адміністрації, страхування).</w:t>
      </w:r>
    </w:p>
    <w:p w14:paraId="507423CB" w14:textId="77777777" w:rsidR="00175581" w:rsidRPr="00175581" w:rsidRDefault="00175581" w:rsidP="00175581">
      <w:pPr>
        <w:numPr>
          <w:ilvl w:val="0"/>
          <w:numId w:val="18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Змінні витрати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Variable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Costs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VC):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пропорційні обсягу випуску (сировина, комплектуючі, відрядна оплата).</w:t>
      </w:r>
    </w:p>
    <w:p w14:paraId="128DFDB6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Точка беззбитковості (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Break-even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Point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/ BEP)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показує обсяг продажів, за якого виручка повністю покриває сукупні витрати, а чистий прибуток дорівнює нулю.</w:t>
      </w:r>
    </w:p>
    <w:p w14:paraId="6C4AF639" w14:textId="77777777" w:rsidR="00175581" w:rsidRPr="00175581" w:rsidRDefault="00175581" w:rsidP="00175581">
      <w:pPr>
        <w:numPr>
          <w:ilvl w:val="0"/>
          <w:numId w:val="19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Точка беззбитковості у натуральному вираженні (одиницях продукції):</w:t>
      </w:r>
    </w:p>
    <w:p w14:paraId="2319ED1E" w14:textId="3ED8E17B" w:rsidR="000E0E96" w:rsidRPr="000E0E96" w:rsidRDefault="000E0E96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CA0C85">
        <w:rPr>
          <w:rFonts w:ascii="Times New Roman" w:hAnsi="Times New Roman"/>
          <w:sz w:val="28"/>
          <w:szCs w:val="28"/>
          <w:lang w:val="uk-UA"/>
        </w:rPr>
        <w:t>BEP</w:t>
      </w:r>
      <w:r w:rsidRPr="0079317C">
        <w:rPr>
          <w:rFonts w:ascii="Times New Roman" w:hAnsi="Times New Roman"/>
          <w:sz w:val="28"/>
          <w:szCs w:val="28"/>
          <w:vertAlign w:val="subscript"/>
          <w:lang w:val="uk-UA"/>
        </w:rPr>
        <w:t>units</w:t>
      </w:r>
      <w:proofErr w:type="spellEnd"/>
      <w:r w:rsidRPr="00CA0C85">
        <w:rPr>
          <w:rFonts w:ascii="Times New Roman" w:hAnsi="Times New Roman"/>
          <w:sz w:val="28"/>
          <w:szCs w:val="28"/>
          <w:lang w:val="uk-UA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uk-UA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FC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uk-UA"/>
              </w:rPr>
              <m:t>P-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VC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unit</m:t>
                </m:r>
              </m:sub>
            </m:sSub>
          </m:den>
        </m:f>
      </m:oMath>
    </w:p>
    <w:p w14:paraId="09630D93" w14:textId="1FA5C7D7" w:rsidR="00175581" w:rsidRPr="000E0E96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де </w:t>
      </w:r>
      <w:r w:rsidRPr="00175581">
        <w:rPr>
          <w:rFonts w:ascii="Times New Roman" w:hAnsi="Times New Roman"/>
          <w:sz w:val="28"/>
          <w:szCs w:val="28"/>
          <w:lang w:val="uk-UA"/>
        </w:rPr>
        <w:t>FC</w:t>
      </w: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постійні витрати, </w:t>
      </w:r>
      <w:r w:rsidRPr="00175581">
        <w:rPr>
          <w:rFonts w:ascii="Times New Roman" w:hAnsi="Times New Roman"/>
          <w:sz w:val="28"/>
          <w:szCs w:val="28"/>
          <w:lang w:val="uk-UA"/>
        </w:rPr>
        <w:t>P</w:t>
      </w: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ціна за одиницю продукції,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VCunit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змінні витрати на одиницю продукції.</w:t>
      </w:r>
    </w:p>
    <w:p w14:paraId="380C7DB2" w14:textId="77777777" w:rsidR="00175581" w:rsidRPr="00175581" w:rsidRDefault="00175581" w:rsidP="00175581">
      <w:pPr>
        <w:numPr>
          <w:ilvl w:val="0"/>
          <w:numId w:val="20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Точка беззбитковості у грошовому вираженні (виручці):</w:t>
      </w:r>
    </w:p>
    <w:p w14:paraId="523EDF78" w14:textId="2E78E12B" w:rsidR="00175581" w:rsidRPr="00175581" w:rsidRDefault="000E0E96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CA0C85">
        <w:rPr>
          <w:rFonts w:ascii="Times New Roman" w:hAnsi="Times New Roman"/>
          <w:sz w:val="28"/>
          <w:szCs w:val="28"/>
          <w:lang w:val="uk-UA"/>
        </w:rPr>
        <w:lastRenderedPageBreak/>
        <w:t>BEP</w:t>
      </w:r>
      <w:r w:rsidRPr="0079317C">
        <w:rPr>
          <w:rFonts w:ascii="Times New Roman" w:hAnsi="Times New Roman"/>
          <w:sz w:val="28"/>
          <w:szCs w:val="28"/>
          <w:vertAlign w:val="subscript"/>
          <w:lang w:val="uk-UA"/>
        </w:rPr>
        <w:t>money</w:t>
      </w:r>
      <w:proofErr w:type="spellEnd"/>
      <w:r w:rsidRPr="00CA0C85">
        <w:rPr>
          <w:rFonts w:ascii="Times New Roman" w:hAnsi="Times New Roman"/>
          <w:sz w:val="28"/>
          <w:szCs w:val="28"/>
          <w:lang w:val="uk-UA"/>
        </w:rPr>
        <w:t xml:space="preserve"> = </w:t>
      </w:r>
      <w:proofErr w:type="spellStart"/>
      <w:r w:rsidRPr="00CA0C85">
        <w:rPr>
          <w:rFonts w:ascii="Times New Roman" w:hAnsi="Times New Roman"/>
          <w:sz w:val="28"/>
          <w:szCs w:val="28"/>
          <w:lang w:val="uk-UA"/>
        </w:rPr>
        <w:t>BEP</w:t>
      </w:r>
      <w:r w:rsidRPr="00BC4586">
        <w:rPr>
          <w:rFonts w:ascii="Times New Roman" w:hAnsi="Times New Roman"/>
          <w:sz w:val="28"/>
          <w:szCs w:val="28"/>
          <w:vertAlign w:val="subscript"/>
          <w:lang w:val="uk-UA"/>
        </w:rPr>
        <w:t>units</w:t>
      </w:r>
      <w:proofErr w:type="spellEnd"/>
      <w:r w:rsidRPr="00CA0C8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CA0C85">
        <w:rPr>
          <w:rFonts w:ascii="Times New Roman" w:hAnsi="Times New Roman"/>
          <w:sz w:val="28"/>
          <w:szCs w:val="28"/>
          <w:lang w:val="uk-UA"/>
        </w:rPr>
        <w:t xml:space="preserve"> P</w:t>
      </w:r>
    </w:p>
    <w:p w14:paraId="510FD536" w14:textId="4000CD2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де </w:t>
      </w:r>
      <w:r w:rsidRPr="00175581">
        <w:rPr>
          <w:rFonts w:ascii="Times New Roman" w:hAnsi="Times New Roman"/>
          <w:sz w:val="28"/>
          <w:szCs w:val="28"/>
          <w:lang w:val="uk-UA"/>
        </w:rPr>
        <w:t>VC</w:t>
      </w: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сукупні змінні витрати, </w:t>
      </w:r>
      <w:r w:rsidRPr="00175581">
        <w:rPr>
          <w:rFonts w:ascii="Times New Roman" w:hAnsi="Times New Roman"/>
          <w:sz w:val="28"/>
          <w:szCs w:val="28"/>
          <w:lang w:val="uk-UA"/>
        </w:rPr>
        <w:t>TR</w:t>
      </w: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загальна виручка, </w:t>
      </w:r>
      <w:r w:rsidRPr="00175581">
        <w:rPr>
          <w:rFonts w:ascii="Times New Roman" w:hAnsi="Times New Roman"/>
          <w:sz w:val="28"/>
          <w:szCs w:val="28"/>
          <w:lang w:val="uk-UA"/>
        </w:rPr>
        <w:t>MR</w:t>
      </w: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lang w:val="uk-UA"/>
        </w:rPr>
        <w:t>–</w:t>
      </w: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маржинальний дохід (коефіцієнт маржинального прибутку).</w:t>
      </w:r>
    </w:p>
    <w:p w14:paraId="02465D04" w14:textId="77777777" w:rsidR="000E0E96" w:rsidRDefault="000E0E96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9222773" w14:textId="6F55CF13" w:rsidR="00175581" w:rsidRPr="000E0E96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5.3. Аналіз ризиків: воєнні та енергетичні чинники в Україні</w:t>
      </w:r>
    </w:p>
    <w:p w14:paraId="4E502963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У 2026 році під час розробки бізнес-плану в Україні обов'язково враховують специфічні макроекономічні та безпекові ризики:</w:t>
      </w:r>
    </w:p>
    <w:p w14:paraId="7450A729" w14:textId="77777777" w:rsidR="00175581" w:rsidRPr="00175581" w:rsidRDefault="00175581" w:rsidP="00175581">
      <w:pPr>
        <w:numPr>
          <w:ilvl w:val="0"/>
          <w:numId w:val="2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Виявлені ризики: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загрози фізичного руйнування активів, енергетичний дефіцит та відключення світла, інфляційні та валютні коливання, загрози касових розривів.</w:t>
      </w:r>
    </w:p>
    <w:p w14:paraId="5529B4D2" w14:textId="77777777" w:rsidR="00175581" w:rsidRPr="00175581" w:rsidRDefault="00175581" w:rsidP="00175581">
      <w:pPr>
        <w:numPr>
          <w:ilvl w:val="0"/>
          <w:numId w:val="2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Заходи з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мітигації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(мінімізації):</w:t>
      </w:r>
    </w:p>
    <w:p w14:paraId="3C0ACFE7" w14:textId="77777777" w:rsidR="00175581" w:rsidRPr="00175581" w:rsidRDefault="00175581" w:rsidP="00175581">
      <w:pPr>
        <w:numPr>
          <w:ilvl w:val="1"/>
          <w:numId w:val="2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Страхування майна: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закладення 1–2% від вартості обладнання на річний страховий поліс.</w:t>
      </w:r>
    </w:p>
    <w:p w14:paraId="05D6B52D" w14:textId="77777777" w:rsidR="00175581" w:rsidRPr="00175581" w:rsidRDefault="00175581" w:rsidP="00175581">
      <w:pPr>
        <w:numPr>
          <w:ilvl w:val="1"/>
          <w:numId w:val="2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Енергоавтономність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обов'язкове закладення альтернативних джерел живлення (СЕС, промислові накопичувачі ESS, генератори).</w:t>
      </w:r>
    </w:p>
    <w:p w14:paraId="18F1342D" w14:textId="77777777" w:rsidR="00175581" w:rsidRPr="00175581" w:rsidRDefault="00175581" w:rsidP="00175581">
      <w:pPr>
        <w:numPr>
          <w:ilvl w:val="1"/>
          <w:numId w:val="23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Сценарний аналіз та метод Монте-Карло: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розрахунок негативного сценарію (наприклад, падіння доходів на 20%) у спеціалізованих програмах (Project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Expert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LivePlan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).</w:t>
      </w:r>
    </w:p>
    <w:p w14:paraId="786B57FE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Детально розрахований план та проаналізовані ризики є основою для успішного захисту проєкту перед інвесторами та банками.</w:t>
      </w:r>
    </w:p>
    <w:p w14:paraId="7AF9CA7E" w14:textId="77777777" w:rsidR="000E0E96" w:rsidRDefault="000E0E96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5DEB572" w14:textId="49F5EFB5" w:rsidR="00175581" w:rsidRPr="000E0E96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6. Захист та реалізація проєктів (</w:t>
      </w:r>
      <w:proofErr w:type="spellStart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Питчинг</w:t>
      </w:r>
      <w:proofErr w:type="spellEnd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та банківський </w:t>
      </w:r>
      <w:proofErr w:type="spellStart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скоринг</w:t>
      </w:r>
      <w:proofErr w:type="spellEnd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)</w:t>
      </w:r>
    </w:p>
    <w:p w14:paraId="0BE3B67A" w14:textId="77777777" w:rsidR="00175581" w:rsidRPr="000E0E96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6.1. Оцінка проєкту фінансовими установами (Банківський </w:t>
      </w:r>
      <w:proofErr w:type="spellStart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скоринг</w:t>
      </w:r>
      <w:proofErr w:type="spellEnd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)</w:t>
      </w:r>
    </w:p>
    <w:p w14:paraId="39DC148D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 xml:space="preserve">Під час аналізу бізнес-плану банківські інспектори та грантові комісії застосовують процедуру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скорингу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, перевіряючи:</w:t>
      </w:r>
    </w:p>
    <w:p w14:paraId="4B0D41D5" w14:textId="77777777" w:rsidR="00175581" w:rsidRPr="00175581" w:rsidRDefault="00175581" w:rsidP="00175581">
      <w:pPr>
        <w:numPr>
          <w:ilvl w:val="0"/>
          <w:numId w:val="24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Реалістичність припущень: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чи відповідають ціни та обсяги продажів ринковим реаліям.</w:t>
      </w:r>
    </w:p>
    <w:p w14:paraId="56A375B3" w14:textId="77777777" w:rsidR="00175581" w:rsidRPr="00175581" w:rsidRDefault="00175581" w:rsidP="00175581">
      <w:pPr>
        <w:numPr>
          <w:ilvl w:val="0"/>
          <w:numId w:val="24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Узгодженість документів: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перевірка відповідності текстової частини та фінансових таблиць (наприклад, інструмент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Plan</w:t>
      </w:r>
      <w:proofErr w:type="spellEnd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Review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у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LivePlan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виявляє суперечності між твердженнями в тексті та цифрами в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Cash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Flow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).</w:t>
      </w:r>
    </w:p>
    <w:p w14:paraId="57E72E64" w14:textId="77777777" w:rsidR="00175581" w:rsidRPr="00175581" w:rsidRDefault="00175581" w:rsidP="00175581">
      <w:pPr>
        <w:numPr>
          <w:ilvl w:val="0"/>
          <w:numId w:val="24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Ділову репутацію: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наявність кредитної історії та досвіду команди.</w:t>
      </w:r>
    </w:p>
    <w:p w14:paraId="5DB6D36D" w14:textId="77777777" w:rsidR="000E0E96" w:rsidRDefault="000E0E96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9C35B6A" w14:textId="5BDA3883" w:rsidR="00175581" w:rsidRPr="000E0E96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6.2. Підготовка до захисту (</w:t>
      </w:r>
      <w:proofErr w:type="spellStart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Zoom</w:t>
      </w:r>
      <w:proofErr w:type="spellEnd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-співбесіда / Центр зайнятості)</w:t>
      </w:r>
    </w:p>
    <w:p w14:paraId="7696C25A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 xml:space="preserve">Під час публічного захисту бізнес-плану (наприклад, у Центрі зайнятості або під час онлайн-інтерв'ю в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Zoom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 комісія оцінює особисту залученість засновника.</w:t>
      </w:r>
    </w:p>
    <w:p w14:paraId="10AAF687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>Чек-лист із 5 найпоширеніших запитань кредиторів/екзаменаторів та алгоритм відповідей:</w:t>
      </w:r>
    </w:p>
    <w:p w14:paraId="09C04807" w14:textId="77777777" w:rsidR="00175581" w:rsidRPr="00175581" w:rsidRDefault="00175581" w:rsidP="00175581">
      <w:pPr>
        <w:numPr>
          <w:ilvl w:val="0"/>
          <w:numId w:val="2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«Які ваші джерела походження даних про ринок?»</w:t>
      </w:r>
    </w:p>
    <w:p w14:paraId="3097E3C0" w14:textId="77777777" w:rsidR="00175581" w:rsidRPr="00175581" w:rsidRDefault="00175581" w:rsidP="00175581">
      <w:pPr>
        <w:numPr>
          <w:ilvl w:val="1"/>
          <w:numId w:val="2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Алгоритм відповіді: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Посилання на офіційні галузеві звіти, дані ДПС чи аналітичні дослідження із зазначенням конкретних джерел.</w:t>
      </w:r>
    </w:p>
    <w:p w14:paraId="4E0900DC" w14:textId="77777777" w:rsidR="00175581" w:rsidRPr="00175581" w:rsidRDefault="00175581" w:rsidP="00175581">
      <w:pPr>
        <w:numPr>
          <w:ilvl w:val="0"/>
          <w:numId w:val="2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«Що станеться з грошовим потоком, якщо доходи впадуть на 20%?»</w:t>
      </w:r>
    </w:p>
    <w:p w14:paraId="4A72D608" w14:textId="77777777" w:rsidR="00175581" w:rsidRPr="00175581" w:rsidRDefault="00175581" w:rsidP="00175581">
      <w:pPr>
        <w:numPr>
          <w:ilvl w:val="1"/>
          <w:numId w:val="2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lastRenderedPageBreak/>
        <w:t>Алгоритм відповіді: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Демонстрація розрахованого негативного сценарію з P&amp;L та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Cash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Flow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, що показує запас міцності та наявність резервного фонду.</w:t>
      </w:r>
    </w:p>
    <w:p w14:paraId="3289D024" w14:textId="77777777" w:rsidR="00175581" w:rsidRPr="00175581" w:rsidRDefault="00175581" w:rsidP="00175581">
      <w:pPr>
        <w:numPr>
          <w:ilvl w:val="0"/>
          <w:numId w:val="2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«Як саме проєкт гарантує повернення грантових коштів?»</w:t>
      </w:r>
    </w:p>
    <w:p w14:paraId="6C02C9BF" w14:textId="77777777" w:rsidR="00175581" w:rsidRPr="00175581" w:rsidRDefault="00175581" w:rsidP="00175581">
      <w:pPr>
        <w:numPr>
          <w:ilvl w:val="1"/>
          <w:numId w:val="2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Алгоритм відповіді: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Чіткий розклад за роками щодо сплати ПДФО, ЄСВ, ВЗ за працівників та ЄП/ВЗ за себе, що покриває суму гранту.</w:t>
      </w:r>
    </w:p>
    <w:p w14:paraId="420287F7" w14:textId="77777777" w:rsidR="00175581" w:rsidRPr="00175581" w:rsidRDefault="00175581" w:rsidP="00175581">
      <w:pPr>
        <w:numPr>
          <w:ilvl w:val="0"/>
          <w:numId w:val="2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«Чому ви обрали саме таке обладнання та постачальників?»</w:t>
      </w:r>
    </w:p>
    <w:p w14:paraId="7626F800" w14:textId="77777777" w:rsidR="00175581" w:rsidRPr="00175581" w:rsidRDefault="00175581" w:rsidP="00175581">
      <w:pPr>
        <w:numPr>
          <w:ilvl w:val="1"/>
          <w:numId w:val="2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Алгоритм відповіді: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Порівняльний аналіз альтернатив (наприклад, співвідношення ціни, гарантії понад 25 років та ефективності брендів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Longi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/JA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Solar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).</w:t>
      </w:r>
    </w:p>
    <w:p w14:paraId="50052012" w14:textId="77777777" w:rsidR="00175581" w:rsidRPr="00175581" w:rsidRDefault="00175581" w:rsidP="00175581">
      <w:pPr>
        <w:numPr>
          <w:ilvl w:val="0"/>
          <w:numId w:val="2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«Який ваш особистий фінансовий внесок у проєкт?»</w:t>
      </w:r>
    </w:p>
    <w:p w14:paraId="6FAC26FB" w14:textId="77777777" w:rsidR="00175581" w:rsidRPr="00175581" w:rsidRDefault="00175581" w:rsidP="00175581">
      <w:pPr>
        <w:numPr>
          <w:ilvl w:val="1"/>
          <w:numId w:val="25"/>
        </w:num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i/>
          <w:iCs/>
          <w:sz w:val="28"/>
          <w:szCs w:val="28"/>
          <w:lang w:val="uk-UA"/>
        </w:rPr>
        <w:t>Алгоритм відповіді: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Вказання частки власних коштів (CAPEX), вже вкладених у нерухомість, розробку чи обіговий капітал.</w:t>
      </w:r>
    </w:p>
    <w:p w14:paraId="498AC43E" w14:textId="77777777" w:rsidR="000E0E96" w:rsidRDefault="000E0E96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E583A0F" w14:textId="49D9F4A2" w:rsidR="00175581" w:rsidRPr="000E0E96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</w:pPr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6.3. Операційний контроль: порівняння плану та факту (</w:t>
      </w:r>
      <w:proofErr w:type="spellStart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Plan</w:t>
      </w:r>
      <w:proofErr w:type="spellEnd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 </w:t>
      </w:r>
      <w:proofErr w:type="spellStart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vs</w:t>
      </w:r>
      <w:proofErr w:type="spellEnd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 xml:space="preserve">. </w:t>
      </w:r>
      <w:proofErr w:type="spellStart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Actual</w:t>
      </w:r>
      <w:proofErr w:type="spellEnd"/>
      <w:r w:rsidRPr="000E0E96">
        <w:rPr>
          <w:rFonts w:ascii="Times New Roman" w:hAnsi="Times New Roman"/>
          <w:b/>
          <w:bCs/>
          <w:i/>
          <w:iCs/>
          <w:sz w:val="28"/>
          <w:szCs w:val="28"/>
          <w:lang w:val="uk-UA"/>
        </w:rPr>
        <w:t>)</w:t>
      </w:r>
    </w:p>
    <w:p w14:paraId="39B812A3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sz w:val="28"/>
          <w:szCs w:val="28"/>
          <w:lang w:val="uk-UA"/>
        </w:rPr>
        <w:t xml:space="preserve">Після запуску бізнесу процес бізнес-планування не завершується. На етапі реалізації здійснюється регулярний моніторинг відхилень за схемою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Plan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vs</w:t>
      </w:r>
      <w:proofErr w:type="spellEnd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 xml:space="preserve">. </w:t>
      </w:r>
      <w:proofErr w:type="spellStart"/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Actual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(План проти Факту). Для цього бізнес-план інтегрують із бухгалтерськими та обліковими системами (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QuickBooks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Xero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або спеціалізованими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дашбордами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в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LivePlan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 xml:space="preserve"> та </w:t>
      </w:r>
      <w:proofErr w:type="spellStart"/>
      <w:r w:rsidRPr="00175581">
        <w:rPr>
          <w:rFonts w:ascii="Times New Roman" w:hAnsi="Times New Roman"/>
          <w:sz w:val="28"/>
          <w:szCs w:val="28"/>
          <w:lang w:val="uk-UA"/>
        </w:rPr>
        <w:t>Notion</w:t>
      </w:r>
      <w:proofErr w:type="spellEnd"/>
      <w:r w:rsidRPr="00175581">
        <w:rPr>
          <w:rFonts w:ascii="Times New Roman" w:hAnsi="Times New Roman"/>
          <w:sz w:val="28"/>
          <w:szCs w:val="28"/>
          <w:lang w:val="uk-UA"/>
        </w:rPr>
        <w:t>). Це дає змогу щомісяця контролювати виконання бюджету, вчасно помічати зростання операційних витрат та коригувати управлінські рішення.</w:t>
      </w:r>
    </w:p>
    <w:p w14:paraId="65AFD21A" w14:textId="77777777" w:rsidR="00175581" w:rsidRPr="00175581" w:rsidRDefault="00175581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75581">
        <w:rPr>
          <w:rFonts w:ascii="Times New Roman" w:hAnsi="Times New Roman"/>
          <w:b/>
          <w:bCs/>
          <w:sz w:val="28"/>
          <w:szCs w:val="28"/>
          <w:lang w:val="uk-UA"/>
        </w:rPr>
        <w:t>Заключний висновок:</w:t>
      </w:r>
      <w:r w:rsidRPr="00175581">
        <w:rPr>
          <w:rFonts w:ascii="Times New Roman" w:hAnsi="Times New Roman"/>
          <w:sz w:val="28"/>
          <w:szCs w:val="28"/>
          <w:lang w:val="uk-UA"/>
        </w:rPr>
        <w:t xml:space="preserve"> Бізнес-план є динамічним інструментом управління, який потребує періодичного перегляду та адаптації до змін ринкового, податкового та безпекового середовища. Вміння розробляти, аналізувати та коригувати бізнес-план є ключовою компетенцією сучасного підприємця та фінансового менеджера.</w:t>
      </w:r>
    </w:p>
    <w:p w14:paraId="6C558BE1" w14:textId="77777777" w:rsidR="000165BA" w:rsidRPr="00175581" w:rsidRDefault="000165BA" w:rsidP="0017558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sectPr w:rsidR="000165BA" w:rsidRPr="0017558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B7F34"/>
    <w:multiLevelType w:val="multilevel"/>
    <w:tmpl w:val="8892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814A6D"/>
    <w:multiLevelType w:val="multilevel"/>
    <w:tmpl w:val="1D9C3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835DA4"/>
    <w:multiLevelType w:val="multilevel"/>
    <w:tmpl w:val="4EE0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2E5BA7"/>
    <w:multiLevelType w:val="multilevel"/>
    <w:tmpl w:val="DB04B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BF1B85"/>
    <w:multiLevelType w:val="multilevel"/>
    <w:tmpl w:val="E446D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97DCF"/>
    <w:multiLevelType w:val="multilevel"/>
    <w:tmpl w:val="611A8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C028C6"/>
    <w:multiLevelType w:val="multilevel"/>
    <w:tmpl w:val="B7AA7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2341E2"/>
    <w:multiLevelType w:val="multilevel"/>
    <w:tmpl w:val="5ED0B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C7230D"/>
    <w:multiLevelType w:val="multilevel"/>
    <w:tmpl w:val="E4C01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F740A4"/>
    <w:multiLevelType w:val="multilevel"/>
    <w:tmpl w:val="296C8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22442"/>
    <w:multiLevelType w:val="multilevel"/>
    <w:tmpl w:val="53623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485F76"/>
    <w:multiLevelType w:val="multilevel"/>
    <w:tmpl w:val="D514F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05749"/>
    <w:multiLevelType w:val="multilevel"/>
    <w:tmpl w:val="9E28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621E29"/>
    <w:multiLevelType w:val="multilevel"/>
    <w:tmpl w:val="74FC6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15C37"/>
    <w:multiLevelType w:val="multilevel"/>
    <w:tmpl w:val="C546A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4E79EE"/>
    <w:multiLevelType w:val="multilevel"/>
    <w:tmpl w:val="D0280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E552F8"/>
    <w:multiLevelType w:val="multilevel"/>
    <w:tmpl w:val="6570E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003F4F"/>
    <w:multiLevelType w:val="multilevel"/>
    <w:tmpl w:val="DDEA0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0C1832"/>
    <w:multiLevelType w:val="multilevel"/>
    <w:tmpl w:val="B4467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481DEC"/>
    <w:multiLevelType w:val="multilevel"/>
    <w:tmpl w:val="22627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3F42E37"/>
    <w:multiLevelType w:val="multilevel"/>
    <w:tmpl w:val="77AC7B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5C30167"/>
    <w:multiLevelType w:val="multilevel"/>
    <w:tmpl w:val="D702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456888"/>
    <w:multiLevelType w:val="multilevel"/>
    <w:tmpl w:val="FDF06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B660AF"/>
    <w:multiLevelType w:val="multilevel"/>
    <w:tmpl w:val="E9807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E29475B"/>
    <w:multiLevelType w:val="multilevel"/>
    <w:tmpl w:val="6256E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9413953">
    <w:abstractNumId w:val="5"/>
  </w:num>
  <w:num w:numId="2" w16cid:durableId="1540438303">
    <w:abstractNumId w:val="20"/>
  </w:num>
  <w:num w:numId="3" w16cid:durableId="1815443882">
    <w:abstractNumId w:val="1"/>
  </w:num>
  <w:num w:numId="4" w16cid:durableId="1358433633">
    <w:abstractNumId w:val="9"/>
  </w:num>
  <w:num w:numId="5" w16cid:durableId="1277525363">
    <w:abstractNumId w:val="24"/>
  </w:num>
  <w:num w:numId="6" w16cid:durableId="185561463">
    <w:abstractNumId w:val="19"/>
  </w:num>
  <w:num w:numId="7" w16cid:durableId="2140561128">
    <w:abstractNumId w:val="13"/>
  </w:num>
  <w:num w:numId="8" w16cid:durableId="277374543">
    <w:abstractNumId w:val="15"/>
  </w:num>
  <w:num w:numId="9" w16cid:durableId="977106272">
    <w:abstractNumId w:val="8"/>
  </w:num>
  <w:num w:numId="10" w16cid:durableId="1234438252">
    <w:abstractNumId w:val="7"/>
  </w:num>
  <w:num w:numId="11" w16cid:durableId="1914854139">
    <w:abstractNumId w:val="14"/>
  </w:num>
  <w:num w:numId="12" w16cid:durableId="887228678">
    <w:abstractNumId w:val="6"/>
  </w:num>
  <w:num w:numId="13" w16cid:durableId="2048944137">
    <w:abstractNumId w:val="3"/>
  </w:num>
  <w:num w:numId="14" w16cid:durableId="2068720755">
    <w:abstractNumId w:val="16"/>
  </w:num>
  <w:num w:numId="15" w16cid:durableId="1250583281">
    <w:abstractNumId w:val="18"/>
  </w:num>
  <w:num w:numId="16" w16cid:durableId="584262992">
    <w:abstractNumId w:val="0"/>
  </w:num>
  <w:num w:numId="17" w16cid:durableId="345254381">
    <w:abstractNumId w:val="10"/>
  </w:num>
  <w:num w:numId="18" w16cid:durableId="451247621">
    <w:abstractNumId w:val="11"/>
  </w:num>
  <w:num w:numId="19" w16cid:durableId="1110705579">
    <w:abstractNumId w:val="17"/>
  </w:num>
  <w:num w:numId="20" w16cid:durableId="1486704699">
    <w:abstractNumId w:val="4"/>
  </w:num>
  <w:num w:numId="21" w16cid:durableId="443421396">
    <w:abstractNumId w:val="2"/>
  </w:num>
  <w:num w:numId="22" w16cid:durableId="45380248">
    <w:abstractNumId w:val="21"/>
  </w:num>
  <w:num w:numId="23" w16cid:durableId="300889409">
    <w:abstractNumId w:val="23"/>
  </w:num>
  <w:num w:numId="24" w16cid:durableId="714546016">
    <w:abstractNumId w:val="12"/>
  </w:num>
  <w:num w:numId="25" w16cid:durableId="17835267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581"/>
    <w:rsid w:val="000165BA"/>
    <w:rsid w:val="000E0E96"/>
    <w:rsid w:val="00175581"/>
    <w:rsid w:val="002B3292"/>
    <w:rsid w:val="00365BDF"/>
    <w:rsid w:val="00761563"/>
    <w:rsid w:val="007A1401"/>
    <w:rsid w:val="00881F29"/>
    <w:rsid w:val="00B4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DE2FD"/>
  <w15:chartTrackingRefBased/>
  <w15:docId w15:val="{99CFC62B-A54F-469C-B42F-4336F1DDB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F29"/>
    <w:pPr>
      <w:spacing w:after="160" w:line="259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881F29"/>
    <w:pPr>
      <w:keepNext/>
      <w:keepLines/>
      <w:spacing w:before="240" w:after="0"/>
      <w:outlineLvl w:val="0"/>
    </w:pPr>
    <w:rPr>
      <w:rFonts w:ascii="Calibri Light" w:eastAsiaTheme="majorEastAsia" w:hAnsi="Calibri Light" w:cstheme="majorBidi"/>
      <w:color w:val="2E74B5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81F2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uk-UA" w:eastAsia="uk-UA"/>
    </w:rPr>
  </w:style>
  <w:style w:type="paragraph" w:styleId="3">
    <w:name w:val="heading 3"/>
    <w:basedOn w:val="a"/>
    <w:link w:val="30"/>
    <w:uiPriority w:val="9"/>
    <w:qFormat/>
    <w:rsid w:val="00881F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uk-UA" w:eastAsia="uk-UA"/>
    </w:rPr>
  </w:style>
  <w:style w:type="paragraph" w:styleId="4">
    <w:name w:val="heading 4"/>
    <w:basedOn w:val="a"/>
    <w:next w:val="a"/>
    <w:link w:val="40"/>
    <w:uiPriority w:val="9"/>
    <w:unhideWhenUsed/>
    <w:qFormat/>
    <w:rsid w:val="00881F29"/>
    <w:pPr>
      <w:keepNext/>
      <w:spacing w:before="240" w:after="6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  <w:lang w:val="uk-UA" w:eastAsia="uk-U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1F29"/>
    <w:pPr>
      <w:keepNext/>
      <w:keepLines/>
      <w:spacing w:before="200" w:after="0" w:line="276" w:lineRule="auto"/>
      <w:outlineLvl w:val="4"/>
    </w:pPr>
    <w:rPr>
      <w:rFonts w:ascii="Cambria" w:eastAsia="Times New Roman" w:hAnsi="Cambria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558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558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558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1F29"/>
    <w:pPr>
      <w:spacing w:before="240" w:after="60"/>
      <w:outlineLvl w:val="8"/>
    </w:pPr>
    <w:rPr>
      <w:rFonts w:ascii="Cambria" w:eastAsia="Times New Roman" w:hAnsi="Cambria"/>
      <w:i/>
      <w:iCs/>
      <w:color w:val="404040"/>
      <w:sz w:val="20"/>
      <w:szCs w:val="20"/>
      <w:lang w:val="uk-UA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81F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881F29"/>
    <w:pPr>
      <w:keepNext/>
      <w:keepLines/>
      <w:spacing w:before="200" w:after="0" w:line="276" w:lineRule="auto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881F29"/>
    <w:pPr>
      <w:keepNext/>
      <w:keepLines/>
      <w:spacing w:before="200" w:after="0" w:line="276" w:lineRule="auto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customStyle="1" w:styleId="11">
    <w:name w:val="Заголовок змісту1"/>
    <w:basedOn w:val="1"/>
    <w:next w:val="a"/>
    <w:uiPriority w:val="39"/>
    <w:semiHidden/>
    <w:unhideWhenUsed/>
    <w:qFormat/>
    <w:rsid w:val="00881F29"/>
    <w:pPr>
      <w:spacing w:before="480" w:line="276" w:lineRule="auto"/>
      <w:outlineLvl w:val="9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0">
    <w:name w:val="Заголовок 1 Знак"/>
    <w:link w:val="1"/>
    <w:uiPriority w:val="99"/>
    <w:rsid w:val="00881F29"/>
    <w:rPr>
      <w:rFonts w:ascii="Calibri Light" w:eastAsiaTheme="majorEastAsia" w:hAnsi="Calibri Light" w:cstheme="majorBidi"/>
      <w:color w:val="2E74B5"/>
      <w:sz w:val="32"/>
      <w:szCs w:val="32"/>
      <w:lang w:val="ru-RU"/>
    </w:rPr>
  </w:style>
  <w:style w:type="paragraph" w:customStyle="1" w:styleId="DecimalAligned">
    <w:name w:val="Decimal Aligned"/>
    <w:basedOn w:val="a"/>
    <w:uiPriority w:val="40"/>
    <w:qFormat/>
    <w:rsid w:val="00881F29"/>
    <w:pPr>
      <w:tabs>
        <w:tab w:val="decimal" w:pos="360"/>
      </w:tabs>
      <w:spacing w:after="200" w:line="276" w:lineRule="auto"/>
    </w:pPr>
    <w:rPr>
      <w:rFonts w:eastAsia="Times New Roman"/>
    </w:rPr>
  </w:style>
  <w:style w:type="paragraph" w:customStyle="1" w:styleId="12">
    <w:name w:val="Абзац списку1"/>
    <w:basedOn w:val="a"/>
    <w:qFormat/>
    <w:rsid w:val="00881F2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20">
    <w:name w:val="Заголовок 2 Знак"/>
    <w:link w:val="2"/>
    <w:uiPriority w:val="9"/>
    <w:rsid w:val="00881F29"/>
    <w:rPr>
      <w:rFonts w:ascii="Times New Roman" w:eastAsia="Times New Roman" w:hAnsi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link w:val="3"/>
    <w:uiPriority w:val="9"/>
    <w:rsid w:val="00881F29"/>
    <w:rPr>
      <w:rFonts w:ascii="Times New Roman" w:eastAsia="Times New Roman" w:hAnsi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link w:val="4"/>
    <w:uiPriority w:val="9"/>
    <w:rsid w:val="00881F29"/>
    <w:rPr>
      <w:rFonts w:ascii="Cambria" w:eastAsia="Times New Roman" w:hAnsi="Cambria"/>
      <w:b/>
      <w:bCs/>
      <w:i/>
      <w:iCs/>
      <w:color w:val="4F81BD"/>
      <w:lang w:eastAsia="uk-UA"/>
    </w:rPr>
  </w:style>
  <w:style w:type="character" w:customStyle="1" w:styleId="50">
    <w:name w:val="Заголовок 5 Знак"/>
    <w:link w:val="5"/>
    <w:uiPriority w:val="9"/>
    <w:semiHidden/>
    <w:rsid w:val="00881F29"/>
    <w:rPr>
      <w:rFonts w:ascii="Cambria" w:eastAsia="Times New Roman" w:hAnsi="Cambria"/>
      <w:color w:val="243F60"/>
      <w:sz w:val="22"/>
      <w:szCs w:val="22"/>
      <w:lang w:val="ru-RU"/>
    </w:rPr>
  </w:style>
  <w:style w:type="character" w:customStyle="1" w:styleId="90">
    <w:name w:val="Заголовок 9 Знак"/>
    <w:link w:val="9"/>
    <w:uiPriority w:val="9"/>
    <w:semiHidden/>
    <w:rsid w:val="00881F29"/>
    <w:rPr>
      <w:rFonts w:ascii="Cambria" w:eastAsia="Times New Roman" w:hAnsi="Cambria"/>
      <w:i/>
      <w:iCs/>
      <w:color w:val="404040"/>
      <w:lang w:eastAsia="uk-UA"/>
    </w:rPr>
  </w:style>
  <w:style w:type="paragraph" w:styleId="a3">
    <w:name w:val="Title"/>
    <w:basedOn w:val="a"/>
    <w:link w:val="a4"/>
    <w:qFormat/>
    <w:rsid w:val="00881F29"/>
    <w:pPr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b/>
      <w:bCs/>
      <w:sz w:val="28"/>
      <w:szCs w:val="28"/>
      <w:lang w:val="uk-UA" w:eastAsia="ru-RU"/>
    </w:rPr>
  </w:style>
  <w:style w:type="character" w:customStyle="1" w:styleId="a4">
    <w:name w:val="Назва Знак"/>
    <w:link w:val="a3"/>
    <w:rsid w:val="00881F29"/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styleId="a5">
    <w:name w:val="Strong"/>
    <w:uiPriority w:val="22"/>
    <w:qFormat/>
    <w:rsid w:val="00881F29"/>
    <w:rPr>
      <w:b/>
      <w:bCs/>
    </w:rPr>
  </w:style>
  <w:style w:type="character" w:styleId="a6">
    <w:name w:val="Emphasis"/>
    <w:uiPriority w:val="20"/>
    <w:qFormat/>
    <w:rsid w:val="00881F29"/>
    <w:rPr>
      <w:i/>
      <w:iCs/>
    </w:rPr>
  </w:style>
  <w:style w:type="paragraph" w:styleId="a7">
    <w:name w:val="No Spacing"/>
    <w:link w:val="a8"/>
    <w:uiPriority w:val="1"/>
    <w:qFormat/>
    <w:rsid w:val="00881F29"/>
    <w:rPr>
      <w:sz w:val="22"/>
      <w:szCs w:val="22"/>
      <w:lang w:val="ru-RU"/>
    </w:rPr>
  </w:style>
  <w:style w:type="character" w:customStyle="1" w:styleId="a8">
    <w:name w:val="Без інтервалів Знак"/>
    <w:link w:val="a7"/>
    <w:uiPriority w:val="1"/>
    <w:locked/>
    <w:rsid w:val="00881F29"/>
    <w:rPr>
      <w:sz w:val="22"/>
      <w:szCs w:val="22"/>
      <w:lang w:val="ru-RU"/>
    </w:rPr>
  </w:style>
  <w:style w:type="paragraph" w:styleId="a9">
    <w:name w:val="List Paragraph"/>
    <w:basedOn w:val="a"/>
    <w:uiPriority w:val="34"/>
    <w:qFormat/>
    <w:rsid w:val="00881F29"/>
    <w:pPr>
      <w:ind w:left="720"/>
      <w:contextualSpacing/>
    </w:pPr>
  </w:style>
  <w:style w:type="character" w:styleId="aa">
    <w:name w:val="Subtle Emphasis"/>
    <w:uiPriority w:val="19"/>
    <w:qFormat/>
    <w:rsid w:val="00881F29"/>
    <w:rPr>
      <w:rFonts w:eastAsia="Times New Roman" w:cs="Times New Roman"/>
      <w:bCs w:val="0"/>
      <w:i/>
      <w:iCs/>
      <w:color w:val="808080"/>
      <w:szCs w:val="22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175581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175581"/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175581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ru-RU"/>
    </w:rPr>
  </w:style>
  <w:style w:type="paragraph" w:styleId="ab">
    <w:name w:val="Subtitle"/>
    <w:basedOn w:val="a"/>
    <w:next w:val="a"/>
    <w:link w:val="ac"/>
    <w:uiPriority w:val="11"/>
    <w:qFormat/>
    <w:rsid w:val="0017558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c">
    <w:name w:val="Підзаголовок Знак"/>
    <w:basedOn w:val="a0"/>
    <w:link w:val="ab"/>
    <w:uiPriority w:val="11"/>
    <w:rsid w:val="0017558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ru-RU"/>
    </w:rPr>
  </w:style>
  <w:style w:type="paragraph" w:styleId="ad">
    <w:name w:val="Quote"/>
    <w:basedOn w:val="a"/>
    <w:next w:val="a"/>
    <w:link w:val="ae"/>
    <w:uiPriority w:val="29"/>
    <w:qFormat/>
    <w:rsid w:val="001755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e">
    <w:name w:val="Цитата Знак"/>
    <w:basedOn w:val="a0"/>
    <w:link w:val="ad"/>
    <w:uiPriority w:val="29"/>
    <w:rsid w:val="00175581"/>
    <w:rPr>
      <w:i/>
      <w:iCs/>
      <w:color w:val="404040" w:themeColor="text1" w:themeTint="BF"/>
      <w:sz w:val="22"/>
      <w:szCs w:val="22"/>
      <w:lang w:val="ru-RU"/>
    </w:rPr>
  </w:style>
  <w:style w:type="character" w:styleId="af">
    <w:name w:val="Intense Emphasis"/>
    <w:basedOn w:val="a0"/>
    <w:uiPriority w:val="21"/>
    <w:qFormat/>
    <w:rsid w:val="00175581"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rsid w:val="001755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Насичена цитата Знак"/>
    <w:basedOn w:val="a0"/>
    <w:link w:val="af0"/>
    <w:uiPriority w:val="30"/>
    <w:rsid w:val="00175581"/>
    <w:rPr>
      <w:i/>
      <w:iCs/>
      <w:color w:val="0F4761" w:themeColor="accent1" w:themeShade="BF"/>
      <w:sz w:val="22"/>
      <w:szCs w:val="22"/>
      <w:lang w:val="ru-RU"/>
    </w:rPr>
  </w:style>
  <w:style w:type="character" w:styleId="af2">
    <w:name w:val="Intense Reference"/>
    <w:basedOn w:val="a0"/>
    <w:uiPriority w:val="32"/>
    <w:qFormat/>
    <w:rsid w:val="001755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14584</Words>
  <Characters>8314</Characters>
  <Application>Microsoft Office Word</Application>
  <DocSecurity>0</DocSecurity>
  <Lines>69</Lines>
  <Paragraphs>45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Khomenko</dc:creator>
  <cp:keywords/>
  <dc:description/>
  <cp:lastModifiedBy>Anna Khomenko</cp:lastModifiedBy>
  <cp:revision>1</cp:revision>
  <dcterms:created xsi:type="dcterms:W3CDTF">2026-10-23T05:15:00Z</dcterms:created>
  <dcterms:modified xsi:type="dcterms:W3CDTF">2026-10-23T05:32:00Z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5fe6f364-3a83-40ef-ab0b-0883dc75fa33</vt:lpwstr>
  </property>
</Properties>
</file>