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Практична 7. Соціальна філософія кін. XIX – XX ст.</w:t>
      </w:r>
    </w:p>
    <w:p>
      <w:pPr>
        <w:spacing w:after="160"/>
      </w:pP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разі відсутності на занятті, виконане завдання надіслати не пізніше, ніж за два тижні до екзамену на email: </w:t>
      </w:r>
      <w:hyperlink w:history="1" r:id="rIdyxp9zanctqfpwqjdtckdt">
        <w:r>
          <w:rPr>
            <w:rStyle w:val="Hyperlink"/>
            <w:rFonts w:ascii="Times New Roman" w:cs="Times New Roman" w:eastAsia="Times New Roman" w:hAnsi="Times New Roman"/>
            <w:color w:val="0563C1"/>
            <w:sz w:val="28"/>
            <w:szCs w:val="28"/>
            <w:u w:val="single"/>
          </w:rPr>
          <w:t xml:space="preserve">kmvpm_smv@ztu.edu.ua</w:t>
        </w:r>
      </w:hyperlink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Теоретичні питання: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Соціальна філософія кінця XIX – XX ст.: загальна характеристика, становлення соціології як науки про суспільство.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Соціологізм Е. Дюркгайма: поняття соціальних фактів та їхні ознаки; правила соціологічного методу; соціальна солідарність (механічна й органічна) і право як її вияв.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Гуманістична (розуміюча) соціологія М. Вебера: проблема соціальної дії та її типи, ідеальні типи, легітимне панування; право і раціоналізація суспільства.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Німецька формальна соціологія: форми соціальної взаємодії Ґ. Зіммеля; «спільнота» і «суспільство» Ф. Тьонніса.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Теорія відкритого і закритого суспільств К. Поппера: критика авторитарних і тоталітарних вчень, ознаки відкритого суспільства.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Політична філософія К. Поппера: критика історицизму, ідея поступової соціальної інженерії, демократія як спосіб мирної зміни влади, парадокс толерантності.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Теорія еліт В. Парето (циркуляція еліт, закон Парето) та концепція мас Х. Ортеґи-і-Ґассета.</w:t>
      </w:r>
    </w:p>
    <w:p>
      <w:pPr>
        <w:pStyle w:val="ListParagraph"/>
        <w:numPr>
          <w:ilvl w:val="0"/>
          <w:numId w:val="2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Основні напрями соціології ХХ ст.: структурний функціоналізм, конфліктологічні теорії, символічний інтеракціонізм та ін.; перспективи розвитку науки про суспільство.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Питання для обговорення: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 можна розглядати право як соціальний факт у розумінні Е. Дюркгайма? Яке значення має його розрізнення механічної та органічної солідарності для типології права?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 теорія соціальної дії та типологія легітимного панування М. Вебера пояснюють причини дотримання права і підпорядкування владі?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чому полягає відмінність «спільноти» і «суспільства» у Ф. Тьонніса і як вона проявляється в характері соціальних і правових регуляторів?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Чи зберігає актуальність ідея відкритого суспільства К. Поппера в сучасних умовах (кризи демократії, популізм, дезінформація)?</w:t>
      </w:r>
    </w:p>
    <w:p>
      <w:pPr>
        <w:pStyle w:val="ListParagraph"/>
        <w:numPr>
          <w:ilvl w:val="0"/>
          <w:numId w:val="3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Яке значення мають теорія еліт В. Парето та концепція мас Х. Ортеґи-і-Ґассета для осмислення демократії та правової держави?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Засвоєння матеріалу – відповідність термінів: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800"/>
        <w:gridCol w:w="6038"/>
      </w:tblGrid>
      <w:tr>
        <w:trPr>
          <w:tblHeader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№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Термін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shd w:fill="2E509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8"/>
                <w:szCs w:val="28"/>
              </w:rPr>
              <w:t xml:space="preserve">Сутність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1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Соціальний факт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 соціології Е. Дюркгайма — способи дії, мислення і відчуття, що існують поза індивідом і наділені примусовою силою, через яку вони нав’язуються йому; основний об’єкт соціологічного дослідження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2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Ідеальний тип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 М. Вебера — теоретична конструкція, що логічно загострює суттєві риси соціального явища і слугує методологічним засобом його пізнання та зіставлення з емпіричною реальністю (не є моральним ідеалом)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3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Циркуляція еліт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 теорії В. Парето — постійна зміна правлячої еліти, за якої вичерпана еліта витісняється новою, що формується з інших верств суспільства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4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Відкрите суспільство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 К. Поппера — суспільство, у якому влада підлягає критиці, уряд може бути змінений без насильства, а особа несе відповідальність за свої рішення; протиставляється закритому суспільству, що спирається на догму і табу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5</w:t>
            </w:r>
          </w:p>
        </w:tc>
        <w:tc>
          <w:tcPr>
            <w:tcW w:type="dxa" w:w="2800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Символічний інтеракціонізм</w:t>
            </w:r>
          </w:p>
        </w:tc>
        <w:tc>
          <w:tcPr>
            <w:tcW w:type="dxa" w:w="6038"/>
            <w:tcBorders>
              <w:top w:val="single" w:color="2E5090" w:sz="4"/>
              <w:left w:val="single" w:color="2E5090" w:sz="4"/>
              <w:bottom w:val="single" w:color="2E5090" w:sz="4"/>
              <w:right w:val="single" w:color="2E509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Напрям соціології (Дж. Г. Мід, Г. Блумер), що пояснює соціальну реальність через взаємодію індивідів, обмін символами та значення, які вони надають ситуаціям</w:t>
            </w:r>
          </w:p>
        </w:tc>
      </w:tr>
    </w:tbl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Опрацювання кейсу «Легітимність закону в суспільстві, що швидко змінюється»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Короткий опис: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У державі в період стрімких соціальних змін ухвалено закон, який істотно змінює усталені правила поведінки. Одні громадяни дотримуються його через страх перед санкціями, інші — з довіри до інституцій, треті — з поваги до традиції. Частина суспільства організовує протести, вважаючи закон нелегітимним. У публічному просторі змагаються кілька політичних груп, кожна з яких претендує на владу, а масова думка значною мірою формується під впливом медіа. Експерти сперечаються, чи є політична система здатною виправляти власні помилки без насильства.</w:t>
      </w:r>
    </w:p>
    <w:p>
      <w:pPr>
        <w:keepNext/>
        <w:spacing w:after="1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Питання для аналізу: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Використайте поняття соціального факту (Е. Дюркгайм), типологію соціальної дії та типів легітимного панування (М. Вебер) для пояснення різних мотивів дотримання або відхилення закону.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 теорія еліт В. Парето, концепція мас Х. Ортеґи-і-Ґассета та критерії відкритого суспільства К. Поппера допомагають оцінити, чи здатна така політична система до мирної зміни влади та виправлення помилок?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Який внесок структурного функціоналізму, конфліктологічних теорій і символічного інтеракціонізму в пояснення стабільності, соціального конфлікту та значення правових норм у цій ситуації?</w:t>
      </w:r>
    </w:p>
    <w:p>
      <w:pPr>
        <w:pStyle w:val="Heading2"/>
        <w:spacing w:after="120" w:before="240"/>
        <w:ind w:firstLine="709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Рекомендована література: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Козюбра М. І. Практична філософія права. Київ : Дух і Літера, 2024. 496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Данильян О. Г., Дзьобань О. П. Філософія : підручник. 4-те вид., переробл. і допов. Харків : Право, 2023. 424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: підручник для студентів вищ. навч. закл. / Л. В. Губерський та ін. ; за ред. Л. В. Губерського. 2-ге вид., перероб. і допов. Харків : Фоліо, 2018. 620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Історія філософії : підручник / [Ярошовець В. І. та ін.] ; за ред. В. І. Ярошовця. Ужгород : Патент, 2014. 839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Халапсіс О. В. Філософія : підруч. Дніпро : Дніпроп. держ. ун-т внутр. справ, 2023. 196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Шрамко Т. І., Шрамко Ю. Т. Філософія : навч. посібник. Львів : Новий Світ – 2000, 2024. 346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Філософія права : підруч. для студ. юрид. вищ. навч. закл. / О. Г. Данильян, О. П. Дзьобань, С. І. Максимов та ін. ; за ред. О. Г. Данильяна. Харків : Право, 2009. 208 с.</w:t>
      </w:r>
    </w:p>
    <w:p>
      <w:pPr>
        <w:pStyle w:val="ListParagraph"/>
        <w:numPr>
          <w:ilvl w:val="0"/>
          <w:numId w:val="4"/>
        </w:numPr>
        <w:spacing w:after="10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Слюсар В. М. Насилля: соціально-філософська природа. Житомир : Євенок О. О., 2017. 450 с.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09" w:hanging="360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p9zanctqfpwqjdtckdt" Type="http://schemas.openxmlformats.org/officeDocument/2006/relationships/hyperlink" Target="mailto:kmvpm_smv@ztu.edu.ua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2026-10-14T10:18:09.995Z</dcterms:created>
  <dcterms:modified xsi:type="dcterms:W3CDTF">2026-10-14T10:18:09.995Z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