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rFonts w:ascii="Times New Roman" w:cs="Times New Roman" w:eastAsia="Times New Roman" w:hAnsi="Times New Roman"/>
          <w:b/>
          <w:bCs/>
          <w:sz w:val="28"/>
          <w:szCs w:val="28"/>
        </w:rPr>
        <w:t xml:space="preserve">Практична 12. Актуальні проблеми філософії права</w:t>
      </w:r>
    </w:p>
    <w:p>
      <w:pPr>
        <w:spacing w:after="160"/>
      </w:pPr>
    </w:p>
    <w:p>
      <w:pPr>
        <w:spacing w:after="120"/>
        <w:ind w:firstLine="709"/>
        <w:jc w:val="both"/>
      </w:pPr>
      <w:r>
        <w:rPr>
          <w:rFonts w:ascii="Times New Roman" w:cs="Times New Roman" w:eastAsia="Times New Roman" w:hAnsi="Times New Roman"/>
          <w:sz w:val="28"/>
          <w:szCs w:val="28"/>
        </w:rPr>
        <w:t xml:space="preserve">У разі відсутності на занятті, виконане завдання надіслати не пізніше, ніж за два тижні до екзамену на email: </w:t>
      </w:r>
      <w:hyperlink w:history="1" r:id="rIdq7apahbwxtjuw1rwvyepg">
        <w:r>
          <w:rPr>
            <w:rStyle w:val="Hyperlink"/>
            <w:rFonts w:ascii="Times New Roman" w:cs="Times New Roman" w:eastAsia="Times New Roman" w:hAnsi="Times New Roman"/>
            <w:color w:val="0563C1"/>
            <w:sz w:val="28"/>
            <w:szCs w:val="28"/>
            <w:u w:val="single"/>
          </w:rPr>
          <w:t xml:space="preserve">kmvpm_smv@ztu.edu.ua</w:t>
        </w:r>
      </w:hyperlink>
    </w:p>
    <w:p>
      <w:pPr>
        <w:pStyle w:val="Heading2"/>
        <w:spacing w:after="120" w:before="240"/>
        <w:ind w:firstLine="709"/>
      </w:pPr>
      <w:r>
        <w:rPr>
          <w:rFonts w:ascii="Times New Roman" w:cs="Times New Roman" w:eastAsia="Times New Roman" w:hAnsi="Times New Roman"/>
          <w:b/>
          <w:bCs/>
          <w:sz w:val="28"/>
          <w:szCs w:val="28"/>
        </w:rPr>
        <w:t xml:space="preserve">Теоретичні питання:</w:t>
      </w:r>
    </w:p>
    <w:p>
      <w:pPr>
        <w:pStyle w:val="ListParagraph"/>
        <w:numPr>
          <w:ilvl w:val="0"/>
          <w:numId w:val="2"/>
        </w:numPr>
        <w:spacing w:after="100"/>
        <w:jc w:val="both"/>
      </w:pPr>
      <w:r>
        <w:rPr>
          <w:rFonts w:ascii="Times New Roman" w:cs="Times New Roman" w:eastAsia="Times New Roman" w:hAnsi="Times New Roman"/>
          <w:sz w:val="28"/>
          <w:szCs w:val="28"/>
        </w:rPr>
        <w:t xml:space="preserve">Універсальне і культурно-особливе у ціннісному вимірі права; ціннісні основи права.</w:t>
      </w:r>
    </w:p>
    <w:p>
      <w:pPr>
        <w:pStyle w:val="ListParagraph"/>
        <w:numPr>
          <w:ilvl w:val="0"/>
          <w:numId w:val="2"/>
        </w:numPr>
        <w:spacing w:after="100"/>
        <w:jc w:val="both"/>
      </w:pPr>
      <w:r>
        <w:rPr>
          <w:rFonts w:ascii="Times New Roman" w:cs="Times New Roman" w:eastAsia="Times New Roman" w:hAnsi="Times New Roman"/>
          <w:sz w:val="28"/>
          <w:szCs w:val="28"/>
        </w:rPr>
        <w:t xml:space="preserve">Глобалізація та філософія права: універсальні права людини в контексті культурного плюралізму.</w:t>
      </w:r>
    </w:p>
    <w:p>
      <w:pPr>
        <w:pStyle w:val="ListParagraph"/>
        <w:numPr>
          <w:ilvl w:val="0"/>
          <w:numId w:val="2"/>
        </w:numPr>
        <w:spacing w:after="100"/>
        <w:jc w:val="both"/>
      </w:pPr>
      <w:r>
        <w:rPr>
          <w:rFonts w:ascii="Times New Roman" w:cs="Times New Roman" w:eastAsia="Times New Roman" w:hAnsi="Times New Roman"/>
          <w:sz w:val="28"/>
          <w:szCs w:val="28"/>
        </w:rPr>
        <w:t xml:space="preserve">Право і мораль: спільне і відмінне, основні підходи до їх співвідношення.</w:t>
      </w:r>
    </w:p>
    <w:p>
      <w:pPr>
        <w:pStyle w:val="ListParagraph"/>
        <w:numPr>
          <w:ilvl w:val="0"/>
          <w:numId w:val="2"/>
        </w:numPr>
        <w:spacing w:after="100"/>
        <w:jc w:val="both"/>
      </w:pPr>
      <w:r>
        <w:rPr>
          <w:rFonts w:ascii="Times New Roman" w:cs="Times New Roman" w:eastAsia="Times New Roman" w:hAnsi="Times New Roman"/>
          <w:sz w:val="28"/>
          <w:szCs w:val="28"/>
        </w:rPr>
        <w:t xml:space="preserve">Екологічні проблеми в правовій філософії: філософія сталого розвитку та екологічне право.</w:t>
      </w:r>
    </w:p>
    <w:p>
      <w:pPr>
        <w:pStyle w:val="ListParagraph"/>
        <w:numPr>
          <w:ilvl w:val="0"/>
          <w:numId w:val="2"/>
        </w:numPr>
        <w:spacing w:after="100"/>
        <w:jc w:val="both"/>
      </w:pPr>
      <w:r>
        <w:rPr>
          <w:rFonts w:ascii="Times New Roman" w:cs="Times New Roman" w:eastAsia="Times New Roman" w:hAnsi="Times New Roman"/>
          <w:sz w:val="28"/>
          <w:szCs w:val="28"/>
        </w:rPr>
        <w:t xml:space="preserve">Цифровізація суспільства: філософські аспекти цифрових прав, приватності та штучного інтелекту в праві.</w:t>
      </w:r>
    </w:p>
    <w:p>
      <w:pPr>
        <w:pStyle w:val="ListParagraph"/>
        <w:numPr>
          <w:ilvl w:val="0"/>
          <w:numId w:val="2"/>
        </w:numPr>
        <w:spacing w:after="100"/>
        <w:jc w:val="both"/>
      </w:pPr>
      <w:r>
        <w:rPr>
          <w:rFonts w:ascii="Times New Roman" w:cs="Times New Roman" w:eastAsia="Times New Roman" w:hAnsi="Times New Roman"/>
          <w:sz w:val="28"/>
          <w:szCs w:val="28"/>
        </w:rPr>
        <w:t xml:space="preserve">Етика штучного інтелекту: правові імперативи регулювання ШІ та автономних систем.</w:t>
      </w:r>
    </w:p>
    <w:p>
      <w:pPr>
        <w:pStyle w:val="ListParagraph"/>
        <w:numPr>
          <w:ilvl w:val="0"/>
          <w:numId w:val="2"/>
        </w:numPr>
        <w:spacing w:after="100"/>
        <w:jc w:val="both"/>
      </w:pPr>
      <w:r>
        <w:rPr>
          <w:rFonts w:ascii="Times New Roman" w:cs="Times New Roman" w:eastAsia="Times New Roman" w:hAnsi="Times New Roman"/>
          <w:sz w:val="28"/>
          <w:szCs w:val="28"/>
        </w:rPr>
        <w:t xml:space="preserve">Гендерні та соціальні нерівності: феміністська філософія права і теорії справедливості; постколоніалізм у філософії права: критика євроцентризму та права корінних народів.</w:t>
      </w:r>
    </w:p>
    <w:p>
      <w:pPr>
        <w:pStyle w:val="ListParagraph"/>
        <w:numPr>
          <w:ilvl w:val="0"/>
          <w:numId w:val="2"/>
        </w:numPr>
        <w:spacing w:after="100"/>
        <w:jc w:val="both"/>
      </w:pPr>
      <w:r>
        <w:rPr>
          <w:rFonts w:ascii="Times New Roman" w:cs="Times New Roman" w:eastAsia="Times New Roman" w:hAnsi="Times New Roman"/>
          <w:sz w:val="28"/>
          <w:szCs w:val="28"/>
        </w:rPr>
        <w:t xml:space="preserve">Біоетика та право: філософські проблеми біотехнологій, евтаназії та генетичних маніпуляцій. Постмодерністські виклики філософії права: деконструкція норм, релятивізм істини та плюралізм правових систем.</w:t>
      </w:r>
    </w:p>
    <w:p>
      <w:pPr>
        <w:pStyle w:val="Heading2"/>
        <w:spacing w:after="120" w:before="240"/>
        <w:ind w:firstLine="709"/>
      </w:pPr>
      <w:r>
        <w:rPr>
          <w:rFonts w:ascii="Times New Roman" w:cs="Times New Roman" w:eastAsia="Times New Roman" w:hAnsi="Times New Roman"/>
          <w:b/>
          <w:bCs/>
          <w:sz w:val="28"/>
          <w:szCs w:val="28"/>
        </w:rPr>
        <w:t xml:space="preserve">Питання для обговорення:</w:t>
      </w:r>
    </w:p>
    <w:p>
      <w:pPr>
        <w:pStyle w:val="ListParagraph"/>
        <w:numPr>
          <w:ilvl w:val="0"/>
          <w:numId w:val="3"/>
        </w:numPr>
        <w:spacing w:after="100"/>
        <w:jc w:val="both"/>
      </w:pPr>
      <w:r>
        <w:rPr>
          <w:rFonts w:ascii="Times New Roman" w:cs="Times New Roman" w:eastAsia="Times New Roman" w:hAnsi="Times New Roman"/>
          <w:sz w:val="28"/>
          <w:szCs w:val="28"/>
        </w:rPr>
        <w:t xml:space="preserve">Чи можливі універсальні права людини в умовах культурного плюралізму і де проходить межа між культурною особливістю та порушенням прав людини?</w:t>
      </w:r>
    </w:p>
    <w:p>
      <w:pPr>
        <w:pStyle w:val="ListParagraph"/>
        <w:numPr>
          <w:ilvl w:val="0"/>
          <w:numId w:val="3"/>
        </w:numPr>
        <w:spacing w:after="100"/>
        <w:jc w:val="both"/>
      </w:pPr>
      <w:r>
        <w:rPr>
          <w:rFonts w:ascii="Times New Roman" w:cs="Times New Roman" w:eastAsia="Times New Roman" w:hAnsi="Times New Roman"/>
          <w:sz w:val="28"/>
          <w:szCs w:val="28"/>
        </w:rPr>
        <w:t xml:space="preserve">Чи є право «мінімумом моралі»? Які наслідки має зведення права до моралі та, навпаки, їх повне розмежування?</w:t>
      </w:r>
    </w:p>
    <w:p>
      <w:pPr>
        <w:pStyle w:val="ListParagraph"/>
        <w:numPr>
          <w:ilvl w:val="0"/>
          <w:numId w:val="3"/>
        </w:numPr>
        <w:spacing w:after="100"/>
        <w:jc w:val="both"/>
      </w:pPr>
      <w:r>
        <w:rPr>
          <w:rFonts w:ascii="Times New Roman" w:cs="Times New Roman" w:eastAsia="Times New Roman" w:hAnsi="Times New Roman"/>
          <w:sz w:val="28"/>
          <w:szCs w:val="28"/>
        </w:rPr>
        <w:t xml:space="preserve">Які філософські підстави мають відповідальність перед майбутніми поколіннями та ідея сталого розвитку як правового принципу?</w:t>
      </w:r>
    </w:p>
    <w:p>
      <w:pPr>
        <w:pStyle w:val="ListParagraph"/>
        <w:numPr>
          <w:ilvl w:val="0"/>
          <w:numId w:val="3"/>
        </w:numPr>
        <w:spacing w:after="100"/>
        <w:jc w:val="both"/>
      </w:pPr>
      <w:r>
        <w:rPr>
          <w:rFonts w:ascii="Times New Roman" w:cs="Times New Roman" w:eastAsia="Times New Roman" w:hAnsi="Times New Roman"/>
          <w:sz w:val="28"/>
          <w:szCs w:val="28"/>
        </w:rPr>
        <w:t xml:space="preserve">Хто має нести відповідальність за рішення, ухвалені за участі систем штучного інтелекту, і які цінності права потребують особливого захисту в цифрову епоху?</w:t>
      </w:r>
    </w:p>
    <w:p>
      <w:pPr>
        <w:pStyle w:val="ListParagraph"/>
        <w:numPr>
          <w:ilvl w:val="0"/>
          <w:numId w:val="3"/>
        </w:numPr>
        <w:spacing w:after="100"/>
        <w:jc w:val="both"/>
      </w:pPr>
      <w:r>
        <w:rPr>
          <w:rFonts w:ascii="Times New Roman" w:cs="Times New Roman" w:eastAsia="Times New Roman" w:hAnsi="Times New Roman"/>
          <w:sz w:val="28"/>
          <w:szCs w:val="28"/>
        </w:rPr>
        <w:t xml:space="preserve">Чи ставить постмодерністська деконструкція під сумнів ідею верховенства права, чи, навпаки, допомагає виявити приховані механізми влади в праві?</w:t>
      </w:r>
    </w:p>
    <w:p>
      <w:pPr>
        <w:pStyle w:val="Heading2"/>
        <w:spacing w:after="120" w:before="240"/>
        <w:ind w:firstLine="709"/>
      </w:pPr>
      <w:r>
        <w:rPr>
          <w:rFonts w:ascii="Times New Roman" w:cs="Times New Roman" w:eastAsia="Times New Roman" w:hAnsi="Times New Roman"/>
          <w:b/>
          <w:bCs/>
          <w:sz w:val="28"/>
          <w:szCs w:val="28"/>
        </w:rPr>
        <w:t xml:space="preserve">Засвоєння матеріалу – відповідність термінів:</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00"/>
        <w:gridCol w:w="2800"/>
        <w:gridCol w:w="6038"/>
      </w:tblGrid>
      <w:tr>
        <w:trPr>
          <w:tblHeader/>
        </w:trPr>
        <w:tc>
          <w:tcPr>
            <w:tcW w:type="dxa" w:w="800"/>
            <w:tcBorders>
              <w:top w:val="single" w:color="2E5090" w:sz="4"/>
              <w:left w:val="single" w:color="2E5090" w:sz="4"/>
              <w:bottom w:val="single" w:color="2E5090" w:sz="4"/>
              <w:right w:val="single" w:color="2E5090" w:sz="4"/>
            </w:tcBorders>
            <w:shd w:fill="2E5090" w:color="auto" w:val="clear"/>
            <w:tcMar>
              <w:top w:type="dxa" w:w="60"/>
              <w:left w:type="dxa" w:w="100"/>
              <w:bottom w:type="dxa" w:w="60"/>
              <w:right w:type="dxa" w:w="100"/>
            </w:tcMar>
          </w:tcPr>
          <w:p>
            <w:pPr>
              <w:jc w:val="center"/>
            </w:pPr>
            <w:r>
              <w:rPr>
                <w:rFonts w:ascii="Times New Roman" w:cs="Times New Roman" w:eastAsia="Times New Roman" w:hAnsi="Times New Roman"/>
                <w:b/>
                <w:bCs/>
                <w:color w:val="FFFFFF"/>
                <w:sz w:val="28"/>
                <w:szCs w:val="28"/>
              </w:rPr>
              <w:t xml:space="preserve">№</w:t>
            </w:r>
          </w:p>
        </w:tc>
        <w:tc>
          <w:tcPr>
            <w:tcW w:type="dxa" w:w="2800"/>
            <w:tcBorders>
              <w:top w:val="single" w:color="2E5090" w:sz="4"/>
              <w:left w:val="single" w:color="2E5090" w:sz="4"/>
              <w:bottom w:val="single" w:color="2E5090" w:sz="4"/>
              <w:right w:val="single" w:color="2E5090" w:sz="4"/>
            </w:tcBorders>
            <w:shd w:fill="2E5090" w:color="auto" w:val="clear"/>
            <w:tcMar>
              <w:top w:type="dxa" w:w="60"/>
              <w:left w:type="dxa" w:w="100"/>
              <w:bottom w:type="dxa" w:w="60"/>
              <w:right w:type="dxa" w:w="100"/>
            </w:tcMar>
          </w:tcPr>
          <w:p>
            <w:pPr>
              <w:jc w:val="center"/>
            </w:pPr>
            <w:r>
              <w:rPr>
                <w:rFonts w:ascii="Times New Roman" w:cs="Times New Roman" w:eastAsia="Times New Roman" w:hAnsi="Times New Roman"/>
                <w:b/>
                <w:bCs/>
                <w:color w:val="FFFFFF"/>
                <w:sz w:val="28"/>
                <w:szCs w:val="28"/>
              </w:rPr>
              <w:t xml:space="preserve">Термін</w:t>
            </w:r>
          </w:p>
        </w:tc>
        <w:tc>
          <w:tcPr>
            <w:tcW w:type="dxa" w:w="6038"/>
            <w:tcBorders>
              <w:top w:val="single" w:color="2E5090" w:sz="4"/>
              <w:left w:val="single" w:color="2E5090" w:sz="4"/>
              <w:bottom w:val="single" w:color="2E5090" w:sz="4"/>
              <w:right w:val="single" w:color="2E5090" w:sz="4"/>
            </w:tcBorders>
            <w:shd w:fill="2E5090" w:color="auto" w:val="clear"/>
            <w:tcMar>
              <w:top w:type="dxa" w:w="60"/>
              <w:left w:type="dxa" w:w="100"/>
              <w:bottom w:type="dxa" w:w="60"/>
              <w:right w:type="dxa" w:w="100"/>
            </w:tcMar>
          </w:tcPr>
          <w:p>
            <w:pPr>
              <w:jc w:val="center"/>
            </w:pPr>
            <w:r>
              <w:rPr>
                <w:rFonts w:ascii="Times New Roman" w:cs="Times New Roman" w:eastAsia="Times New Roman" w:hAnsi="Times New Roman"/>
                <w:b/>
                <w:bCs/>
                <w:color w:val="FFFFFF"/>
                <w:sz w:val="28"/>
                <w:szCs w:val="28"/>
              </w:rPr>
              <w:t xml:space="preserve">Сутність</w:t>
            </w:r>
          </w:p>
        </w:tc>
      </w:tr>
      <w:tr>
        <w:trPr>
          <w:cantSplit/>
        </w:trPr>
        <w:tc>
          <w:tcPr>
            <w:tcW w:type="dxa" w:w="800"/>
            <w:tcBorders>
              <w:top w:val="single" w:color="2E5090" w:sz="4"/>
              <w:left w:val="single" w:color="2E5090" w:sz="4"/>
              <w:bottom w:val="single" w:color="2E5090" w:sz="4"/>
              <w:right w:val="single" w:color="2E509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8"/>
                <w:szCs w:val="28"/>
              </w:rPr>
              <w:t xml:space="preserve">1</w:t>
            </w:r>
          </w:p>
        </w:tc>
        <w:tc>
          <w:tcPr>
            <w:tcW w:type="dxa" w:w="2800"/>
            <w:tcBorders>
              <w:top w:val="single" w:color="2E5090" w:sz="4"/>
              <w:left w:val="single" w:color="2E5090" w:sz="4"/>
              <w:bottom w:val="single" w:color="2E5090" w:sz="4"/>
              <w:right w:val="single" w:color="2E5090" w:sz="4"/>
            </w:tcBorders>
            <w:tcMar>
              <w:top w:type="dxa" w:w="60"/>
              <w:left w:type="dxa" w:w="100"/>
              <w:bottom w:type="dxa" w:w="60"/>
              <w:right w:type="dxa" w:w="100"/>
            </w:tcMar>
          </w:tcPr>
          <w:p>
            <w:pPr>
              <w:jc w:val="left"/>
            </w:pPr>
            <w:r>
              <w:rPr>
                <w:rFonts w:ascii="Times New Roman" w:cs="Times New Roman" w:eastAsia="Times New Roman" w:hAnsi="Times New Roman"/>
                <w:b/>
                <w:bCs/>
                <w:sz w:val="28"/>
                <w:szCs w:val="28"/>
              </w:rPr>
              <w:t xml:space="preserve">Культурний релятивізм</w:t>
            </w:r>
          </w:p>
        </w:tc>
        <w:tc>
          <w:tcPr>
            <w:tcW w:type="dxa" w:w="6038"/>
            <w:tcBorders>
              <w:top w:val="single" w:color="2E5090" w:sz="4"/>
              <w:left w:val="single" w:color="2E5090" w:sz="4"/>
              <w:bottom w:val="single" w:color="2E5090" w:sz="4"/>
              <w:right w:val="single" w:color="2E509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8"/>
                <w:szCs w:val="28"/>
              </w:rPr>
              <w:t xml:space="preserve">Позиція, за якою цінності й норми залежать від культурного контексту та не можуть оцінюватися за єдиним універсальним мірилом; у філософії права — один з аргументів проти універсальності прав людини</w:t>
            </w:r>
          </w:p>
        </w:tc>
      </w:tr>
      <w:tr>
        <w:trPr>
          <w:cantSplit/>
        </w:trPr>
        <w:tc>
          <w:tcPr>
            <w:tcW w:type="dxa" w:w="800"/>
            <w:tcBorders>
              <w:top w:val="single" w:color="2E5090" w:sz="4"/>
              <w:left w:val="single" w:color="2E5090" w:sz="4"/>
              <w:bottom w:val="single" w:color="2E5090" w:sz="4"/>
              <w:right w:val="single" w:color="2E509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8"/>
                <w:szCs w:val="28"/>
              </w:rPr>
              <w:t xml:space="preserve">2</w:t>
            </w:r>
          </w:p>
        </w:tc>
        <w:tc>
          <w:tcPr>
            <w:tcW w:type="dxa" w:w="2800"/>
            <w:tcBorders>
              <w:top w:val="single" w:color="2E5090" w:sz="4"/>
              <w:left w:val="single" w:color="2E5090" w:sz="4"/>
              <w:bottom w:val="single" w:color="2E5090" w:sz="4"/>
              <w:right w:val="single" w:color="2E5090" w:sz="4"/>
            </w:tcBorders>
            <w:tcMar>
              <w:top w:type="dxa" w:w="60"/>
              <w:left w:type="dxa" w:w="100"/>
              <w:bottom w:type="dxa" w:w="60"/>
              <w:right w:type="dxa" w:w="100"/>
            </w:tcMar>
          </w:tcPr>
          <w:p>
            <w:pPr>
              <w:jc w:val="left"/>
            </w:pPr>
            <w:r>
              <w:rPr>
                <w:rFonts w:ascii="Times New Roman" w:cs="Times New Roman" w:eastAsia="Times New Roman" w:hAnsi="Times New Roman"/>
                <w:b/>
                <w:bCs/>
                <w:sz w:val="28"/>
                <w:szCs w:val="28"/>
              </w:rPr>
              <w:t xml:space="preserve">Сталий розвиток</w:t>
            </w:r>
          </w:p>
        </w:tc>
        <w:tc>
          <w:tcPr>
            <w:tcW w:type="dxa" w:w="6038"/>
            <w:tcBorders>
              <w:top w:val="single" w:color="2E5090" w:sz="4"/>
              <w:left w:val="single" w:color="2E5090" w:sz="4"/>
              <w:bottom w:val="single" w:color="2E5090" w:sz="4"/>
              <w:right w:val="single" w:color="2E509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8"/>
                <w:szCs w:val="28"/>
              </w:rPr>
              <w:t xml:space="preserve">Концепція розвитку, що задовольняє потреби нинішніх поколінь, не ставлячи під загрозу можливість майбутніх поколінь задовольняти власні потреби (доповідь «Наше спільне майбутнє», 1987)</w:t>
            </w:r>
          </w:p>
        </w:tc>
      </w:tr>
      <w:tr>
        <w:trPr>
          <w:cantSplit/>
        </w:trPr>
        <w:tc>
          <w:tcPr>
            <w:tcW w:type="dxa" w:w="800"/>
            <w:tcBorders>
              <w:top w:val="single" w:color="2E5090" w:sz="4"/>
              <w:left w:val="single" w:color="2E5090" w:sz="4"/>
              <w:bottom w:val="single" w:color="2E5090" w:sz="4"/>
              <w:right w:val="single" w:color="2E509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8"/>
                <w:szCs w:val="28"/>
              </w:rPr>
              <w:t xml:space="preserve">3</w:t>
            </w:r>
          </w:p>
        </w:tc>
        <w:tc>
          <w:tcPr>
            <w:tcW w:type="dxa" w:w="2800"/>
            <w:tcBorders>
              <w:top w:val="single" w:color="2E5090" w:sz="4"/>
              <w:left w:val="single" w:color="2E5090" w:sz="4"/>
              <w:bottom w:val="single" w:color="2E5090" w:sz="4"/>
              <w:right w:val="single" w:color="2E5090" w:sz="4"/>
            </w:tcBorders>
            <w:tcMar>
              <w:top w:type="dxa" w:w="60"/>
              <w:left w:type="dxa" w:w="100"/>
              <w:bottom w:type="dxa" w:w="60"/>
              <w:right w:type="dxa" w:w="100"/>
            </w:tcMar>
          </w:tcPr>
          <w:p>
            <w:pPr>
              <w:jc w:val="left"/>
            </w:pPr>
            <w:r>
              <w:rPr>
                <w:rFonts w:ascii="Times New Roman" w:cs="Times New Roman" w:eastAsia="Times New Roman" w:hAnsi="Times New Roman"/>
                <w:b/>
                <w:bCs/>
                <w:sz w:val="28"/>
                <w:szCs w:val="28"/>
              </w:rPr>
              <w:t xml:space="preserve">Цифрові права</w:t>
            </w:r>
          </w:p>
        </w:tc>
        <w:tc>
          <w:tcPr>
            <w:tcW w:type="dxa" w:w="6038"/>
            <w:tcBorders>
              <w:top w:val="single" w:color="2E5090" w:sz="4"/>
              <w:left w:val="single" w:color="2E5090" w:sz="4"/>
              <w:bottom w:val="single" w:color="2E5090" w:sz="4"/>
              <w:right w:val="single" w:color="2E509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8"/>
                <w:szCs w:val="28"/>
              </w:rPr>
              <w:t xml:space="preserve">Права людини, що реалізуються або потребують захисту в цифровому середовищі: доступ до інтернету, приватність, захист персональних даних, свобода вираження поглядів онлайн</w:t>
            </w:r>
          </w:p>
        </w:tc>
      </w:tr>
      <w:tr>
        <w:trPr>
          <w:cantSplit/>
        </w:trPr>
        <w:tc>
          <w:tcPr>
            <w:tcW w:type="dxa" w:w="800"/>
            <w:tcBorders>
              <w:top w:val="single" w:color="2E5090" w:sz="4"/>
              <w:left w:val="single" w:color="2E5090" w:sz="4"/>
              <w:bottom w:val="single" w:color="2E5090" w:sz="4"/>
              <w:right w:val="single" w:color="2E509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8"/>
                <w:szCs w:val="28"/>
              </w:rPr>
              <w:t xml:space="preserve">4</w:t>
            </w:r>
          </w:p>
        </w:tc>
        <w:tc>
          <w:tcPr>
            <w:tcW w:type="dxa" w:w="2800"/>
            <w:tcBorders>
              <w:top w:val="single" w:color="2E5090" w:sz="4"/>
              <w:left w:val="single" w:color="2E5090" w:sz="4"/>
              <w:bottom w:val="single" w:color="2E5090" w:sz="4"/>
              <w:right w:val="single" w:color="2E5090" w:sz="4"/>
            </w:tcBorders>
            <w:tcMar>
              <w:top w:type="dxa" w:w="60"/>
              <w:left w:type="dxa" w:w="100"/>
              <w:bottom w:type="dxa" w:w="60"/>
              <w:right w:type="dxa" w:w="100"/>
            </w:tcMar>
          </w:tcPr>
          <w:p>
            <w:pPr>
              <w:jc w:val="left"/>
            </w:pPr>
            <w:r>
              <w:rPr>
                <w:rFonts w:ascii="Times New Roman" w:cs="Times New Roman" w:eastAsia="Times New Roman" w:hAnsi="Times New Roman"/>
                <w:b/>
                <w:bCs/>
                <w:sz w:val="28"/>
                <w:szCs w:val="28"/>
              </w:rPr>
              <w:t xml:space="preserve">Біоетика</w:t>
            </w:r>
          </w:p>
        </w:tc>
        <w:tc>
          <w:tcPr>
            <w:tcW w:type="dxa" w:w="6038"/>
            <w:tcBorders>
              <w:top w:val="single" w:color="2E5090" w:sz="4"/>
              <w:left w:val="single" w:color="2E5090" w:sz="4"/>
              <w:bottom w:val="single" w:color="2E5090" w:sz="4"/>
              <w:right w:val="single" w:color="2E509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8"/>
                <w:szCs w:val="28"/>
              </w:rPr>
              <w:t xml:space="preserve">Міждисциплінарна галузь знання про моральні проблеми медицини, біології та біотехнологій; сам термін закріпився завдяки В. Р. Поттеру на початку 1970-х рр.</w:t>
            </w:r>
          </w:p>
        </w:tc>
      </w:tr>
      <w:tr>
        <w:trPr>
          <w:cantSplit/>
        </w:trPr>
        <w:tc>
          <w:tcPr>
            <w:tcW w:type="dxa" w:w="800"/>
            <w:tcBorders>
              <w:top w:val="single" w:color="2E5090" w:sz="4"/>
              <w:left w:val="single" w:color="2E5090" w:sz="4"/>
              <w:bottom w:val="single" w:color="2E5090" w:sz="4"/>
              <w:right w:val="single" w:color="2E5090" w:sz="4"/>
            </w:tcBorders>
            <w:tcMar>
              <w:top w:type="dxa" w:w="60"/>
              <w:left w:type="dxa" w:w="100"/>
              <w:bottom w:type="dxa" w:w="60"/>
              <w:right w:type="dxa" w:w="100"/>
            </w:tcMar>
          </w:tcPr>
          <w:p>
            <w:pPr>
              <w:jc w:val="center"/>
            </w:pPr>
            <w:r>
              <w:rPr>
                <w:rFonts w:ascii="Times New Roman" w:cs="Times New Roman" w:eastAsia="Times New Roman" w:hAnsi="Times New Roman"/>
                <w:b w:val="false"/>
                <w:bCs w:val="false"/>
                <w:sz w:val="28"/>
                <w:szCs w:val="28"/>
              </w:rPr>
              <w:t xml:space="preserve">5</w:t>
            </w:r>
          </w:p>
        </w:tc>
        <w:tc>
          <w:tcPr>
            <w:tcW w:type="dxa" w:w="2800"/>
            <w:tcBorders>
              <w:top w:val="single" w:color="2E5090" w:sz="4"/>
              <w:left w:val="single" w:color="2E5090" w:sz="4"/>
              <w:bottom w:val="single" w:color="2E5090" w:sz="4"/>
              <w:right w:val="single" w:color="2E5090" w:sz="4"/>
            </w:tcBorders>
            <w:tcMar>
              <w:top w:type="dxa" w:w="60"/>
              <w:left w:type="dxa" w:w="100"/>
              <w:bottom w:type="dxa" w:w="60"/>
              <w:right w:type="dxa" w:w="100"/>
            </w:tcMar>
          </w:tcPr>
          <w:p>
            <w:pPr>
              <w:jc w:val="left"/>
            </w:pPr>
            <w:r>
              <w:rPr>
                <w:rFonts w:ascii="Times New Roman" w:cs="Times New Roman" w:eastAsia="Times New Roman" w:hAnsi="Times New Roman"/>
                <w:b/>
                <w:bCs/>
                <w:sz w:val="28"/>
                <w:szCs w:val="28"/>
              </w:rPr>
              <w:t xml:space="preserve">Євроцентризм</w:t>
            </w:r>
          </w:p>
        </w:tc>
        <w:tc>
          <w:tcPr>
            <w:tcW w:type="dxa" w:w="6038"/>
            <w:tcBorders>
              <w:top w:val="single" w:color="2E5090" w:sz="4"/>
              <w:left w:val="single" w:color="2E5090" w:sz="4"/>
              <w:bottom w:val="single" w:color="2E5090" w:sz="4"/>
              <w:right w:val="single" w:color="2E5090" w:sz="4"/>
            </w:tcBorders>
            <w:tcMar>
              <w:top w:type="dxa" w:w="60"/>
              <w:left w:type="dxa" w:w="100"/>
              <w:bottom w:type="dxa" w:w="60"/>
              <w:right w:type="dxa" w:w="100"/>
            </w:tcMar>
          </w:tcPr>
          <w:p>
            <w:pPr>
              <w:jc w:val="left"/>
            </w:pPr>
            <w:r>
              <w:rPr>
                <w:rFonts w:ascii="Times New Roman" w:cs="Times New Roman" w:eastAsia="Times New Roman" w:hAnsi="Times New Roman"/>
                <w:b w:val="false"/>
                <w:bCs w:val="false"/>
                <w:sz w:val="28"/>
                <w:szCs w:val="28"/>
              </w:rPr>
              <w:t xml:space="preserve">Тип мислення, що розглядає європейський досвід, цінності та правові традиції як універсальну норму і мірило розвитку інших культур; один з головних об’єктів критики в постколоніальних теоріях</w:t>
            </w:r>
          </w:p>
        </w:tc>
      </w:tr>
    </w:tbl>
    <w:p>
      <w:pPr>
        <w:pStyle w:val="Heading2"/>
        <w:spacing w:after="120" w:before="240"/>
        <w:ind w:firstLine="709"/>
      </w:pPr>
      <w:r>
        <w:rPr>
          <w:rFonts w:ascii="Times New Roman" w:cs="Times New Roman" w:eastAsia="Times New Roman" w:hAnsi="Times New Roman"/>
          <w:b/>
          <w:bCs/>
          <w:sz w:val="28"/>
          <w:szCs w:val="28"/>
        </w:rPr>
        <w:t xml:space="preserve">Опрацювання кейсу «Штучний інтелект у правосудді: ефективність, справедливість і відповідальність»</w:t>
      </w:r>
    </w:p>
    <w:p>
      <w:pPr>
        <w:spacing w:after="120"/>
        <w:ind w:firstLine="709"/>
        <w:jc w:val="both"/>
      </w:pPr>
      <w:r>
        <w:rPr>
          <w:rFonts w:ascii="Times New Roman" w:cs="Times New Roman" w:eastAsia="Times New Roman" w:hAnsi="Times New Roman"/>
          <w:b/>
          <w:bCs/>
          <w:sz w:val="28"/>
          <w:szCs w:val="28"/>
        </w:rPr>
        <w:t xml:space="preserve">Короткий опис: </w:t>
      </w:r>
      <w:r>
        <w:rPr>
          <w:rFonts w:ascii="Times New Roman" w:cs="Times New Roman" w:eastAsia="Times New Roman" w:hAnsi="Times New Roman"/>
          <w:sz w:val="28"/>
          <w:szCs w:val="28"/>
        </w:rPr>
        <w:t xml:space="preserve">У низці країн суди та правоохоронні органи використовують алгоритмічні системи для оцінювання ризику повторного правопорушення або для підтримки ухвалення рішень. Такі системи навчаються на історичних даних, можуть відтворювати наявні соціальні упередження, а логіка їхньої роботи часто є непрозорою для учасників процесу. У Європейському Союзі системи ШІ, призначені для використання у сфері здійснення правосуддя, віднесено до високоризикових (Регламент (ЄС) 2024/1689). Ситуація поєднує кілька проблемних полів філософії права: цифровізацію, етику ШІ, гендерні та соціальні нерівності, співвідношення права і моралі, а також питання про те, чи може людина залишатися суб’єктом, а не об’єктом правового рішення.</w:t>
      </w:r>
    </w:p>
    <w:p>
      <w:pPr>
        <w:keepNext/>
        <w:spacing w:after="120"/>
        <w:ind w:firstLine="0"/>
        <w:jc w:val="both"/>
      </w:pPr>
      <w:r>
        <w:rPr>
          <w:rFonts w:ascii="Times New Roman" w:cs="Times New Roman" w:eastAsia="Times New Roman" w:hAnsi="Times New Roman"/>
          <w:b/>
          <w:bCs/>
          <w:sz w:val="28"/>
          <w:szCs w:val="28"/>
        </w:rPr>
        <w:t xml:space="preserve">Питання для аналізу:</w:t>
      </w:r>
    </w:p>
    <w:p>
      <w:pPr>
        <w:pStyle w:val="ListParagraph"/>
        <w:numPr>
          <w:ilvl w:val="0"/>
          <w:numId w:val="4"/>
        </w:numPr>
        <w:spacing w:after="100"/>
        <w:jc w:val="both"/>
      </w:pPr>
      <w:r>
        <w:rPr>
          <w:rFonts w:ascii="Times New Roman" w:cs="Times New Roman" w:eastAsia="Times New Roman" w:hAnsi="Times New Roman"/>
          <w:sz w:val="28"/>
          <w:szCs w:val="28"/>
        </w:rPr>
        <w:t xml:space="preserve">Які ціннісні основи права (справедливість, рівність, право на справедливий суд, людська гідність) опиняються під загрозою при використанні непрозорих алгоритмів у правосудді?</w:t>
      </w:r>
    </w:p>
    <w:p>
      <w:pPr>
        <w:pStyle w:val="ListParagraph"/>
        <w:numPr>
          <w:ilvl w:val="0"/>
          <w:numId w:val="4"/>
        </w:numPr>
        <w:spacing w:after="100"/>
        <w:jc w:val="both"/>
      </w:pPr>
      <w:r>
        <w:rPr>
          <w:rFonts w:ascii="Times New Roman" w:cs="Times New Roman" w:eastAsia="Times New Roman" w:hAnsi="Times New Roman"/>
          <w:sz w:val="28"/>
          <w:szCs w:val="28"/>
        </w:rPr>
        <w:t xml:space="preserve">Як розподілити відповідальність між розробником, користувачем і державою? Чи можна говорити про правову відповідальність автономної системи?</w:t>
      </w:r>
    </w:p>
    <w:p>
      <w:pPr>
        <w:pStyle w:val="ListParagraph"/>
        <w:numPr>
          <w:ilvl w:val="0"/>
          <w:numId w:val="4"/>
        </w:numPr>
        <w:spacing w:after="100"/>
        <w:jc w:val="both"/>
      </w:pPr>
      <w:r>
        <w:rPr>
          <w:rFonts w:ascii="Times New Roman" w:cs="Times New Roman" w:eastAsia="Times New Roman" w:hAnsi="Times New Roman"/>
          <w:sz w:val="28"/>
          <w:szCs w:val="28"/>
        </w:rPr>
        <w:t xml:space="preserve">Які правові імперативи регулювання ШІ можна обґрунтувати з опорою на філософські підходи (деонтологія І. Канта, теорії справедливості, критика упередженості в феміністській і постколоніальній філософії права)?</w:t>
      </w:r>
    </w:p>
    <w:p>
      <w:pPr>
        <w:pStyle w:val="Heading2"/>
        <w:spacing w:after="120" w:before="240"/>
        <w:ind w:firstLine="709"/>
      </w:pPr>
      <w:r>
        <w:rPr>
          <w:rFonts w:ascii="Times New Roman" w:cs="Times New Roman" w:eastAsia="Times New Roman" w:hAnsi="Times New Roman"/>
          <w:b/>
          <w:bCs/>
          <w:sz w:val="28"/>
          <w:szCs w:val="28"/>
        </w:rPr>
        <w:t xml:space="preserve">Рекомендована література:</w:t>
      </w:r>
    </w:p>
    <w:p>
      <w:pPr>
        <w:pStyle w:val="ListParagraph"/>
        <w:numPr>
          <w:ilvl w:val="0"/>
          <w:numId w:val="4"/>
        </w:numPr>
        <w:spacing w:after="100"/>
        <w:jc w:val="both"/>
      </w:pPr>
      <w:r>
        <w:rPr>
          <w:rFonts w:ascii="Times New Roman" w:cs="Times New Roman" w:eastAsia="Times New Roman" w:hAnsi="Times New Roman"/>
          <w:sz w:val="28"/>
          <w:szCs w:val="28"/>
        </w:rPr>
        <w:t xml:space="preserve">Козюбра М. І. Практична філософія права. Київ : Дух і Літера, 2024. 496 с.</w:t>
      </w:r>
    </w:p>
    <w:p>
      <w:pPr>
        <w:pStyle w:val="ListParagraph"/>
        <w:numPr>
          <w:ilvl w:val="0"/>
          <w:numId w:val="4"/>
        </w:numPr>
        <w:spacing w:after="100"/>
        <w:jc w:val="both"/>
      </w:pPr>
      <w:r>
        <w:rPr>
          <w:rFonts w:ascii="Times New Roman" w:cs="Times New Roman" w:eastAsia="Times New Roman" w:hAnsi="Times New Roman"/>
          <w:sz w:val="28"/>
          <w:szCs w:val="28"/>
        </w:rPr>
        <w:t xml:space="preserve">Актуальні проблеми філософії права : посібник / О. М. Балинська, А. С. Токарська, В. А. Ященко ; за заг. ред. О. М. Балинської. Львів : ЛьвДУВС, 2017. 612 с.</w:t>
      </w:r>
    </w:p>
    <w:p>
      <w:pPr>
        <w:pStyle w:val="ListParagraph"/>
        <w:numPr>
          <w:ilvl w:val="0"/>
          <w:numId w:val="4"/>
        </w:numPr>
        <w:spacing w:after="100"/>
        <w:jc w:val="both"/>
      </w:pPr>
      <w:r>
        <w:rPr>
          <w:rFonts w:ascii="Times New Roman" w:cs="Times New Roman" w:eastAsia="Times New Roman" w:hAnsi="Times New Roman"/>
          <w:sz w:val="28"/>
          <w:szCs w:val="28"/>
        </w:rPr>
        <w:t xml:space="preserve">Філософія права : підруч. для студ. юрид. вищ. навч. закл. / О. Г. Данильян, О. П. Дзьобань, С. І. Максимов та ін. ; за ред. О. Г. Данильяна. Харків : Право, 2009. 208 с.</w:t>
      </w:r>
    </w:p>
    <w:p>
      <w:pPr>
        <w:pStyle w:val="ListParagraph"/>
        <w:numPr>
          <w:ilvl w:val="0"/>
          <w:numId w:val="4"/>
        </w:numPr>
        <w:spacing w:after="100"/>
        <w:jc w:val="both"/>
      </w:pPr>
      <w:r>
        <w:rPr>
          <w:rFonts w:ascii="Times New Roman" w:cs="Times New Roman" w:eastAsia="Times New Roman" w:hAnsi="Times New Roman"/>
          <w:sz w:val="28"/>
          <w:szCs w:val="28"/>
        </w:rPr>
        <w:t xml:space="preserve">Скиба Е. К. Філософські основи пізнання правової реальності : навч. посібник. Дніпро : ДДУВС, 2022. 164 с.</w:t>
      </w:r>
    </w:p>
    <w:p>
      <w:pPr>
        <w:pStyle w:val="ListParagraph"/>
        <w:numPr>
          <w:ilvl w:val="0"/>
          <w:numId w:val="4"/>
        </w:numPr>
        <w:spacing w:after="100"/>
        <w:jc w:val="both"/>
      </w:pPr>
      <w:r>
        <w:rPr>
          <w:rFonts w:ascii="Times New Roman" w:cs="Times New Roman" w:eastAsia="Times New Roman" w:hAnsi="Times New Roman"/>
          <w:sz w:val="28"/>
          <w:szCs w:val="28"/>
        </w:rPr>
        <w:t xml:space="preserve">Рабінович П. М. Основи теорії та філософії права : навч. посібник. Львів : ЛОБФ «Медицина і право», 2021. 256 с.</w:t>
      </w:r>
    </w:p>
    <w:p>
      <w:pPr>
        <w:pStyle w:val="ListParagraph"/>
        <w:numPr>
          <w:ilvl w:val="0"/>
          <w:numId w:val="4"/>
        </w:numPr>
        <w:spacing w:after="100"/>
        <w:jc w:val="both"/>
      </w:pPr>
      <w:r>
        <w:rPr>
          <w:rFonts w:ascii="Times New Roman" w:cs="Times New Roman" w:eastAsia="Times New Roman" w:hAnsi="Times New Roman"/>
          <w:sz w:val="28"/>
          <w:szCs w:val="28"/>
        </w:rPr>
        <w:t xml:space="preserve">Slyusar V. M., Khrystokin G. V., Yastrebova A. O. Is dialogue possible in the post-truth era? (Media philosophy and social and communication studies). Zhytomyr Ivan Franko State University Journal. Philosophical Sciences. 2023. № 1 (93). P. 29–40.</w:t>
      </w:r>
    </w:p>
    <w:p>
      <w:pPr>
        <w:pStyle w:val="ListParagraph"/>
        <w:numPr>
          <w:ilvl w:val="0"/>
          <w:numId w:val="4"/>
        </w:numPr>
        <w:spacing w:after="100"/>
        <w:jc w:val="both"/>
      </w:pPr>
      <w:r>
        <w:rPr>
          <w:rFonts w:ascii="Times New Roman" w:cs="Times New Roman" w:eastAsia="Times New Roman" w:hAnsi="Times New Roman"/>
          <w:sz w:val="28"/>
          <w:szCs w:val="28"/>
        </w:rPr>
        <w:t xml:space="preserve">Slyusar V., Kondratiuk Yu., Yablonska N., Vitiuk I. Strategies and philosophy of coaching in the formation of digital resilience of a national security specialist. Society and Security. 2025. № 3 (9). Pp. 56–60.</w:t>
      </w:r>
    </w:p>
    <w:p>
      <w:pPr>
        <w:pStyle w:val="ListParagraph"/>
        <w:numPr>
          <w:ilvl w:val="0"/>
          <w:numId w:val="4"/>
        </w:numPr>
        <w:spacing w:after="100"/>
        <w:jc w:val="both"/>
      </w:pPr>
      <w:r>
        <w:rPr>
          <w:rFonts w:ascii="Times New Roman" w:cs="Times New Roman" w:eastAsia="Times New Roman" w:hAnsi="Times New Roman"/>
          <w:sz w:val="28"/>
          <w:szCs w:val="28"/>
        </w:rPr>
        <w:t xml:space="preserve">Yakovleva O., Slyusar V., Kushnir O., Sabovchyk A. New trends in scientific and technological revolution (STR) and transformation of science and education systems in the paradigm of sustainable development. E3S Web of Conferences. 2021. № 277.</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709" w:hanging="425"/>
      </w:pPr>
      <w:rPr>
        <w:rFonts w:ascii="Times New Roman" w:cs="Times New Roman" w:eastAsia="Times New Roman" w:hAnsi="Times New Roman"/>
        <w:sz w:val="28"/>
        <w:szCs w:val="28"/>
      </w:rPr>
    </w:lvl>
  </w:abstractNum>
  <w:abstractNum w:abstractNumId="3" w15:restartNumberingAfterBreak="0">
    <w:multiLevelType w:val="hybridMultilevel"/>
    <w:lvl w:ilvl="0" w15:tentative="1">
      <w:start w:val="1"/>
      <w:numFmt w:val="decimal"/>
      <w:lvlText w:val="%1."/>
      <w:lvlJc w:val="left"/>
      <w:pPr>
        <w:ind w:left="709" w:hanging="425"/>
      </w:pPr>
      <w:rPr>
        <w:rFonts w:ascii="Times New Roman" w:cs="Times New Roman" w:eastAsia="Times New Roman" w:hAnsi="Times New Roman"/>
        <w:sz w:val="28"/>
        <w:szCs w:val="28"/>
      </w:rPr>
    </w:lvl>
  </w:abstractNum>
  <w:abstractNum w:abstractNumId="4" w15:restartNumberingAfterBreak="0">
    <w:multiLevelType w:val="hybridMultilevel"/>
    <w:lvl w:ilvl="0" w15:tentative="1">
      <w:start w:val="1"/>
      <w:numFmt w:val="bullet"/>
      <w:lvlText w:val="•"/>
      <w:lvlJc w:val="left"/>
      <w:pPr>
        <w:ind w:left="709" w:hanging="360"/>
      </w:pPr>
      <w:rPr>
        <w:rFonts w:ascii="Times New Roman" w:cs="Times New Roman" w:eastAsia="Times New Roman" w:hAnsi="Times New Roman"/>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spacing w:after="120" w:before="240"/>
      <w:outlineLvl w:val="1"/>
    </w:pPr>
    <w:rPr>
      <w:rFonts w:ascii="Times New Roman" w:cs="Times New Roman" w:eastAsia="Times New Roman" w:hAnsi="Times New Roman"/>
      <w:b/>
      <w:bCs/>
      <w:color w:val="00000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7apahbwxtjuw1rwvyepg" Type="http://schemas.openxmlformats.org/officeDocument/2006/relationships/hyperlink" Target="mailto:kmvpm_smv@ztu.edu.ua"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2026-10-14T08:35:58.697Z</dcterms:created>
  <dcterms:modified xsi:type="dcterms:W3CDTF">2026-10-14T08:35:58.697Z</dcterms:modified>
</cp:coreProperties>
</file>

<file path=docProps/custom.xml><?xml version="1.0" encoding="utf-8"?>
<Properties xmlns="http://schemas.openxmlformats.org/officeDocument/2006/custom-properties" xmlns:vt="http://schemas.openxmlformats.org/officeDocument/2006/docPropsVTypes"/>
</file>