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05BD5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Практична робота № 2</w:t>
      </w:r>
    </w:p>
    <w:p w14:paraId="571FD78D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Збір навантажень і перевірка елемента за граничними станами</w:t>
      </w:r>
    </w:p>
    <w:p w14:paraId="7B9D2438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Мета роботи</w:t>
      </w:r>
    </w:p>
    <w:p w14:paraId="56837D0A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Закріпити метод часткових коефіцієнтів: навчитися складати таблицю збору навантажень, формувати розрахункові сполучення та виконувати перевірку елемента за граничними станами першої та другої груп.</w:t>
      </w:r>
    </w:p>
    <w:p w14:paraId="0D60DCDA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Вихідні дані</w:t>
      </w:r>
    </w:p>
    <w:p w14:paraId="5805401B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Схема перекриття або покриття, склад підлоги (покрівлі), призначення приміщення, район будівництва (для снігового і вітрового навантаження), матеріал і попередньо призначений переріз несучого елемента.</w:t>
      </w:r>
    </w:p>
    <w:p w14:paraId="5C792C64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Стислі теоретичні відомості</w:t>
      </w:r>
    </w:p>
    <w:p w14:paraId="2FA8D757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Навантаження поділяють на постійні, тривалі, короткочасні та особливі. Для кожного встановлюють характеристичне значення (нормативне) та розрахункове, отримане множенням на коефіцієнт надійності за навантаженням γf.</w:t>
      </w:r>
    </w:p>
    <w:p w14:paraId="7B59E45E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Розрахунковий опір матеріалу отримують діленням характеристичного значення на коефіцієнт надійності за матеріалом γm, який враховує мінливість міцності та неточність розрахункової моделі.</w:t>
      </w:r>
    </w:p>
    <w:p w14:paraId="429ADA17" w14:textId="191C0CAD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 xml:space="preserve">Граничні стани першої групи (ГС-1) </w:t>
      </w:r>
      <w:r w:rsidR="00E612F9">
        <w:rPr>
          <w:rFonts w:ascii="Times New Roman" w:hAnsi="Times New Roman" w:cs="Times New Roman"/>
          <w:sz w:val="28"/>
          <w:szCs w:val="28"/>
        </w:rPr>
        <w:t>–</w:t>
      </w:r>
      <w:r w:rsidRPr="00B82899">
        <w:rPr>
          <w:rFonts w:ascii="Times New Roman" w:hAnsi="Times New Roman" w:cs="Times New Roman"/>
          <w:sz w:val="28"/>
          <w:szCs w:val="28"/>
        </w:rPr>
        <w:t xml:space="preserve"> вичерпання несучої здатності, втрата стійкості форми або положення. Граничні стани другої групи (ГС-2) </w:t>
      </w:r>
      <w:r w:rsidR="00E612F9">
        <w:rPr>
          <w:rFonts w:ascii="Times New Roman" w:hAnsi="Times New Roman" w:cs="Times New Roman"/>
          <w:sz w:val="28"/>
          <w:szCs w:val="28"/>
        </w:rPr>
        <w:t>–</w:t>
      </w:r>
      <w:r w:rsidRPr="00B82899">
        <w:rPr>
          <w:rFonts w:ascii="Times New Roman" w:hAnsi="Times New Roman" w:cs="Times New Roman"/>
          <w:sz w:val="28"/>
          <w:szCs w:val="28"/>
        </w:rPr>
        <w:t xml:space="preserve"> надмірні прогини, тріщини, коливання, що порушують нормальну експлуатацію.</w:t>
      </w:r>
    </w:p>
    <w:p w14:paraId="49AD8C95" w14:textId="448D20D3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 xml:space="preserve">У сполученнях змінних навантажень одне приймається основним із повним значенням, решта </w:t>
      </w:r>
      <w:r w:rsidR="00E612F9">
        <w:rPr>
          <w:rFonts w:ascii="Times New Roman" w:hAnsi="Times New Roman" w:cs="Times New Roman"/>
          <w:sz w:val="28"/>
          <w:szCs w:val="28"/>
        </w:rPr>
        <w:t>–</w:t>
      </w:r>
      <w:r w:rsidRPr="00B82899">
        <w:rPr>
          <w:rFonts w:ascii="Times New Roman" w:hAnsi="Times New Roman" w:cs="Times New Roman"/>
          <w:sz w:val="28"/>
          <w:szCs w:val="28"/>
        </w:rPr>
        <w:t xml:space="preserve"> зі знижувальними коефіцієнтами сполучення ψ.</w:t>
      </w:r>
    </w:p>
    <w:p w14:paraId="21F6FD02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Порядок виконання</w:t>
      </w:r>
    </w:p>
    <w:p w14:paraId="1B54F724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1. Скласти таблицю збору навантажень на 1 м² перекриття: для кожного шару вказати товщину, густину, характеристичне значення, γf, розрахункове значення.</w:t>
      </w:r>
    </w:p>
    <w:p w14:paraId="2599E983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2. Визначити змінне (експлуатаційне) навантаження за призначенням приміщення та обчислити його розрахункове значення.</w:t>
      </w:r>
    </w:p>
    <w:p w14:paraId="1C9FFA5E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3. Скласти розрахункову схему елемента, визначити вантажну площу та лінійне навантаження.</w:t>
      </w:r>
    </w:p>
    <w:p w14:paraId="4054AF55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lastRenderedPageBreak/>
        <w:t>4. Сформувати розрахункові сполучення навантажень для ГС-1 і для ГС-2 (з характеристичними значеннями).</w:t>
      </w:r>
    </w:p>
    <w:p w14:paraId="0BD718CA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5. Обчислити максимальні згинальний момент M та поперечну силу V.</w:t>
      </w:r>
    </w:p>
    <w:p w14:paraId="55DEA6BE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6. Виконати перевірку за ГС-1: порівняти зусилля з несучою здатністю перерізу з урахуванням γn, прийнятого у практичній роботі 1.</w:t>
      </w:r>
    </w:p>
    <w:p w14:paraId="59AFAB0D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7. Виконати перевірку за ГС-2: обчислити прогин і порівняти з граничним значенням.</w:t>
      </w:r>
    </w:p>
    <w:p w14:paraId="4341FE5E" w14:textId="736D6988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 xml:space="preserve">8. Якщо переріз не задовольняє перевірки </w:t>
      </w:r>
      <w:r w:rsidR="00E612F9">
        <w:rPr>
          <w:rFonts w:ascii="Times New Roman" w:hAnsi="Times New Roman" w:cs="Times New Roman"/>
          <w:sz w:val="28"/>
          <w:szCs w:val="28"/>
        </w:rPr>
        <w:t>–</w:t>
      </w:r>
      <w:r w:rsidRPr="00B82899">
        <w:rPr>
          <w:rFonts w:ascii="Times New Roman" w:hAnsi="Times New Roman" w:cs="Times New Roman"/>
          <w:sz w:val="28"/>
          <w:szCs w:val="28"/>
        </w:rPr>
        <w:t xml:space="preserve"> скоригувати його і повторити розрахунок. Сформулювати висновок із зазначенням коефіцієнтів використання за обома групами.</w:t>
      </w:r>
    </w:p>
    <w:p w14:paraId="55C84486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Зміст звіту</w:t>
      </w:r>
    </w:p>
    <w:p w14:paraId="7EF9A37D" w14:textId="7D0BDB0E" w:rsidR="00B82899" w:rsidRPr="00B82899" w:rsidRDefault="00E612F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B82899" w:rsidRPr="00B82899">
        <w:rPr>
          <w:rFonts w:ascii="Times New Roman" w:hAnsi="Times New Roman" w:cs="Times New Roman"/>
          <w:sz w:val="28"/>
          <w:szCs w:val="28"/>
        </w:rPr>
        <w:t xml:space="preserve"> Таблиця збору навантажень.</w:t>
      </w:r>
    </w:p>
    <w:p w14:paraId="4A01F84F" w14:textId="2A646846" w:rsidR="00B82899" w:rsidRPr="00B82899" w:rsidRDefault="00E612F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B82899" w:rsidRPr="00B82899">
        <w:rPr>
          <w:rFonts w:ascii="Times New Roman" w:hAnsi="Times New Roman" w:cs="Times New Roman"/>
          <w:sz w:val="28"/>
          <w:szCs w:val="28"/>
        </w:rPr>
        <w:t xml:space="preserve"> Розрахункова схема з розмірами та епюрами зусиль.</w:t>
      </w:r>
    </w:p>
    <w:p w14:paraId="489FB8F4" w14:textId="12B1D9F3" w:rsidR="00B82899" w:rsidRPr="00B82899" w:rsidRDefault="00E612F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B82899" w:rsidRPr="00B82899">
        <w:rPr>
          <w:rFonts w:ascii="Times New Roman" w:hAnsi="Times New Roman" w:cs="Times New Roman"/>
          <w:sz w:val="28"/>
          <w:szCs w:val="28"/>
        </w:rPr>
        <w:t xml:space="preserve"> Розрахунок за ГС-1 із коефіцієнтом використання.</w:t>
      </w:r>
    </w:p>
    <w:p w14:paraId="328742B5" w14:textId="2FAC932D" w:rsidR="00B82899" w:rsidRPr="00B82899" w:rsidRDefault="00E612F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B82899" w:rsidRPr="00B82899">
        <w:rPr>
          <w:rFonts w:ascii="Times New Roman" w:hAnsi="Times New Roman" w:cs="Times New Roman"/>
          <w:sz w:val="28"/>
          <w:szCs w:val="28"/>
        </w:rPr>
        <w:t xml:space="preserve"> Розрахунок за ГС-2 із порівнянням прогину з граничним.</w:t>
      </w:r>
    </w:p>
    <w:p w14:paraId="0A16D9F9" w14:textId="5366FE45" w:rsidR="00B82899" w:rsidRPr="00B82899" w:rsidRDefault="00E612F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B82899" w:rsidRPr="00B82899">
        <w:rPr>
          <w:rFonts w:ascii="Times New Roman" w:hAnsi="Times New Roman" w:cs="Times New Roman"/>
          <w:sz w:val="28"/>
          <w:szCs w:val="28"/>
        </w:rPr>
        <w:t xml:space="preserve"> Висновок про придатність перерізу.</w:t>
      </w:r>
    </w:p>
    <w:p w14:paraId="29B4CC1F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Контрольні запитання</w:t>
      </w:r>
    </w:p>
    <w:p w14:paraId="1807909D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1. Чому коефіцієнти γf для постійних і змінних навантажень різні?</w:t>
      </w:r>
    </w:p>
    <w:p w14:paraId="75439838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2. Для чого потрібні коефіцієнти сполучення ψ і чому їх немає при одному змінному навантаженні?</w:t>
      </w:r>
    </w:p>
    <w:p w14:paraId="3D339D98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3. Чому перевірка за ГС-2 виконується на характеристичні, а не на розрахункові навантаження?</w:t>
      </w:r>
    </w:p>
    <w:p w14:paraId="0031B6CD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>4. Який фізичний зміст коефіцієнта надійності за відповідальністю γn?</w:t>
      </w:r>
    </w:p>
    <w:p w14:paraId="0E3E7D24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Варіанти завдань</w:t>
      </w:r>
    </w:p>
    <w:tbl>
      <w:tblPr>
        <w:tblStyle w:val="af0"/>
        <w:tblW w:w="9493" w:type="dxa"/>
        <w:tblLayout w:type="fixed"/>
        <w:tblLook w:val="04A0" w:firstRow="1" w:lastRow="0" w:firstColumn="1" w:lastColumn="0" w:noHBand="0" w:noVBand="1"/>
      </w:tblPr>
      <w:tblGrid>
        <w:gridCol w:w="470"/>
        <w:gridCol w:w="2246"/>
        <w:gridCol w:w="1030"/>
        <w:gridCol w:w="1352"/>
        <w:gridCol w:w="1701"/>
        <w:gridCol w:w="1418"/>
        <w:gridCol w:w="1276"/>
      </w:tblGrid>
      <w:tr w:rsidR="00B82899" w:rsidRPr="00B82899" w14:paraId="36A53248" w14:textId="77777777" w:rsidTr="00B82899">
        <w:tc>
          <w:tcPr>
            <w:tcW w:w="470" w:type="dxa"/>
            <w:hideMark/>
          </w:tcPr>
          <w:p w14:paraId="0E537712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6" w:type="dxa"/>
            <w:hideMark/>
          </w:tcPr>
          <w:p w14:paraId="330B96B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Елемент</w:t>
            </w:r>
          </w:p>
        </w:tc>
        <w:tc>
          <w:tcPr>
            <w:tcW w:w="1030" w:type="dxa"/>
            <w:hideMark/>
          </w:tcPr>
          <w:p w14:paraId="5EA261E0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Проліт L, м</w:t>
            </w:r>
          </w:p>
        </w:tc>
        <w:tc>
          <w:tcPr>
            <w:tcW w:w="1352" w:type="dxa"/>
            <w:hideMark/>
          </w:tcPr>
          <w:p w14:paraId="1691A78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Вантажна ширина, м</w:t>
            </w:r>
          </w:p>
        </w:tc>
        <w:tc>
          <w:tcPr>
            <w:tcW w:w="1701" w:type="dxa"/>
            <w:hideMark/>
          </w:tcPr>
          <w:p w14:paraId="6CD538D0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Тимчасове навантаження, кПа</w:t>
            </w:r>
          </w:p>
        </w:tc>
        <w:tc>
          <w:tcPr>
            <w:tcW w:w="1418" w:type="dxa"/>
            <w:hideMark/>
          </w:tcPr>
          <w:p w14:paraId="4AF1820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Попередній переріз</w:t>
            </w:r>
          </w:p>
        </w:tc>
        <w:tc>
          <w:tcPr>
            <w:tcW w:w="1276" w:type="dxa"/>
            <w:hideMark/>
          </w:tcPr>
          <w:p w14:paraId="2E16AADA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Матеріал</w:t>
            </w:r>
          </w:p>
        </w:tc>
      </w:tr>
      <w:tr w:rsidR="00B82899" w:rsidRPr="00B82899" w14:paraId="3321037E" w14:textId="77777777" w:rsidTr="00B82899">
        <w:tc>
          <w:tcPr>
            <w:tcW w:w="470" w:type="dxa"/>
            <w:hideMark/>
          </w:tcPr>
          <w:p w14:paraId="7A86B9C3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6" w:type="dxa"/>
            <w:hideMark/>
          </w:tcPr>
          <w:p w14:paraId="1D91643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З/б багатопустотна плита перекриття</w:t>
            </w:r>
          </w:p>
        </w:tc>
        <w:tc>
          <w:tcPr>
            <w:tcW w:w="1030" w:type="dxa"/>
            <w:hideMark/>
          </w:tcPr>
          <w:p w14:paraId="6DBEDE9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352" w:type="dxa"/>
            <w:hideMark/>
          </w:tcPr>
          <w:p w14:paraId="4E6EE2D5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1701" w:type="dxa"/>
            <w:hideMark/>
          </w:tcPr>
          <w:p w14:paraId="0F00EF68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2,0 (житло)</w:t>
            </w:r>
          </w:p>
        </w:tc>
        <w:tc>
          <w:tcPr>
            <w:tcW w:w="1418" w:type="dxa"/>
            <w:hideMark/>
          </w:tcPr>
          <w:p w14:paraId="31ED1D15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h = 220 мм</w:t>
            </w:r>
          </w:p>
        </w:tc>
        <w:tc>
          <w:tcPr>
            <w:tcW w:w="1276" w:type="dxa"/>
            <w:hideMark/>
          </w:tcPr>
          <w:p w14:paraId="70818039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C20/25, A400C</w:t>
            </w:r>
          </w:p>
        </w:tc>
      </w:tr>
      <w:tr w:rsidR="00B82899" w:rsidRPr="00B82899" w14:paraId="13BC3259" w14:textId="77777777" w:rsidTr="00B82899">
        <w:tc>
          <w:tcPr>
            <w:tcW w:w="470" w:type="dxa"/>
            <w:hideMark/>
          </w:tcPr>
          <w:p w14:paraId="148FCB1F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6" w:type="dxa"/>
            <w:hideMark/>
          </w:tcPr>
          <w:p w14:paraId="6B702FA3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З/б монолітна плита (смуга 1 м)</w:t>
            </w:r>
          </w:p>
        </w:tc>
        <w:tc>
          <w:tcPr>
            <w:tcW w:w="1030" w:type="dxa"/>
            <w:hideMark/>
          </w:tcPr>
          <w:p w14:paraId="49E07614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1352" w:type="dxa"/>
            <w:hideMark/>
          </w:tcPr>
          <w:p w14:paraId="431EAC77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701" w:type="dxa"/>
            <w:hideMark/>
          </w:tcPr>
          <w:p w14:paraId="0ACB2AD9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3,0 (офіс)</w:t>
            </w:r>
          </w:p>
        </w:tc>
        <w:tc>
          <w:tcPr>
            <w:tcW w:w="1418" w:type="dxa"/>
            <w:hideMark/>
          </w:tcPr>
          <w:p w14:paraId="2F37839A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h = 180 мм</w:t>
            </w:r>
          </w:p>
        </w:tc>
        <w:tc>
          <w:tcPr>
            <w:tcW w:w="1276" w:type="dxa"/>
            <w:hideMark/>
          </w:tcPr>
          <w:p w14:paraId="7FC06A55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C25/30, A400C</w:t>
            </w:r>
          </w:p>
        </w:tc>
      </w:tr>
      <w:tr w:rsidR="00B82899" w:rsidRPr="00B82899" w14:paraId="01C5385C" w14:textId="77777777" w:rsidTr="00B82899">
        <w:tc>
          <w:tcPr>
            <w:tcW w:w="470" w:type="dxa"/>
            <w:hideMark/>
          </w:tcPr>
          <w:p w14:paraId="35E4305D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246" w:type="dxa"/>
            <w:hideMark/>
          </w:tcPr>
          <w:p w14:paraId="0E2023D3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Сталева балка настилу</w:t>
            </w:r>
          </w:p>
        </w:tc>
        <w:tc>
          <w:tcPr>
            <w:tcW w:w="1030" w:type="dxa"/>
            <w:hideMark/>
          </w:tcPr>
          <w:p w14:paraId="020B066F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352" w:type="dxa"/>
            <w:hideMark/>
          </w:tcPr>
          <w:p w14:paraId="7C028D50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701" w:type="dxa"/>
            <w:hideMark/>
          </w:tcPr>
          <w:p w14:paraId="08F430BA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4,0 (торговий зал)</w:t>
            </w:r>
          </w:p>
        </w:tc>
        <w:tc>
          <w:tcPr>
            <w:tcW w:w="1418" w:type="dxa"/>
            <w:hideMark/>
          </w:tcPr>
          <w:p w14:paraId="1AFE00F3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I 25Б1</w:t>
            </w:r>
          </w:p>
        </w:tc>
        <w:tc>
          <w:tcPr>
            <w:tcW w:w="1276" w:type="dxa"/>
            <w:hideMark/>
          </w:tcPr>
          <w:p w14:paraId="1D7738A8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S235</w:t>
            </w:r>
          </w:p>
        </w:tc>
      </w:tr>
      <w:tr w:rsidR="00B82899" w:rsidRPr="00B82899" w14:paraId="787F8C79" w14:textId="77777777" w:rsidTr="00B82899">
        <w:tc>
          <w:tcPr>
            <w:tcW w:w="470" w:type="dxa"/>
            <w:hideMark/>
          </w:tcPr>
          <w:p w14:paraId="060FE529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6" w:type="dxa"/>
            <w:hideMark/>
          </w:tcPr>
          <w:p w14:paraId="2AD7112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Сталева головна балка</w:t>
            </w:r>
          </w:p>
        </w:tc>
        <w:tc>
          <w:tcPr>
            <w:tcW w:w="1030" w:type="dxa"/>
            <w:hideMark/>
          </w:tcPr>
          <w:p w14:paraId="17BA5CB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352" w:type="dxa"/>
            <w:hideMark/>
          </w:tcPr>
          <w:p w14:paraId="63842C6A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701" w:type="dxa"/>
            <w:hideMark/>
          </w:tcPr>
          <w:p w14:paraId="60A8C2B9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3,0 (офіс)</w:t>
            </w:r>
          </w:p>
        </w:tc>
        <w:tc>
          <w:tcPr>
            <w:tcW w:w="1418" w:type="dxa"/>
            <w:hideMark/>
          </w:tcPr>
          <w:p w14:paraId="45431E0E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I 45Б1</w:t>
            </w:r>
          </w:p>
        </w:tc>
        <w:tc>
          <w:tcPr>
            <w:tcW w:w="1276" w:type="dxa"/>
            <w:hideMark/>
          </w:tcPr>
          <w:p w14:paraId="3AE4D9AD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S275</w:t>
            </w:r>
          </w:p>
        </w:tc>
      </w:tr>
      <w:tr w:rsidR="00B82899" w:rsidRPr="00B82899" w14:paraId="7B42B54E" w14:textId="77777777" w:rsidTr="00B82899">
        <w:tc>
          <w:tcPr>
            <w:tcW w:w="470" w:type="dxa"/>
            <w:hideMark/>
          </w:tcPr>
          <w:p w14:paraId="503CFADD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6" w:type="dxa"/>
            <w:hideMark/>
          </w:tcPr>
          <w:p w14:paraId="4E70C255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З/б ригель прямокутний</w:t>
            </w:r>
          </w:p>
        </w:tc>
        <w:tc>
          <w:tcPr>
            <w:tcW w:w="1030" w:type="dxa"/>
            <w:hideMark/>
          </w:tcPr>
          <w:p w14:paraId="56DC0CBF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1352" w:type="dxa"/>
            <w:hideMark/>
          </w:tcPr>
          <w:p w14:paraId="52E1DB5E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701" w:type="dxa"/>
            <w:hideMark/>
          </w:tcPr>
          <w:p w14:paraId="3DA99923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5,0 (архів)</w:t>
            </w:r>
          </w:p>
        </w:tc>
        <w:tc>
          <w:tcPr>
            <w:tcW w:w="1418" w:type="dxa"/>
            <w:hideMark/>
          </w:tcPr>
          <w:p w14:paraId="2E64B473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300×600 мм</w:t>
            </w:r>
          </w:p>
        </w:tc>
        <w:tc>
          <w:tcPr>
            <w:tcW w:w="1276" w:type="dxa"/>
            <w:hideMark/>
          </w:tcPr>
          <w:p w14:paraId="686B665C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C25/30, A500C</w:t>
            </w:r>
          </w:p>
        </w:tc>
      </w:tr>
      <w:tr w:rsidR="00B82899" w:rsidRPr="00B82899" w14:paraId="197040A5" w14:textId="77777777" w:rsidTr="00B82899">
        <w:tc>
          <w:tcPr>
            <w:tcW w:w="470" w:type="dxa"/>
            <w:hideMark/>
          </w:tcPr>
          <w:p w14:paraId="49326207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46" w:type="dxa"/>
            <w:hideMark/>
          </w:tcPr>
          <w:p w14:paraId="2CE78794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Дерев'яна балка перекриття</w:t>
            </w:r>
          </w:p>
        </w:tc>
        <w:tc>
          <w:tcPr>
            <w:tcW w:w="1030" w:type="dxa"/>
            <w:hideMark/>
          </w:tcPr>
          <w:p w14:paraId="4948F4DC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352" w:type="dxa"/>
            <w:hideMark/>
          </w:tcPr>
          <w:p w14:paraId="0EE66953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701" w:type="dxa"/>
            <w:hideMark/>
          </w:tcPr>
          <w:p w14:paraId="386360F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1,5 (мансарда)</w:t>
            </w:r>
          </w:p>
        </w:tc>
        <w:tc>
          <w:tcPr>
            <w:tcW w:w="1418" w:type="dxa"/>
            <w:hideMark/>
          </w:tcPr>
          <w:p w14:paraId="578C5021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100×200 мм</w:t>
            </w:r>
          </w:p>
        </w:tc>
        <w:tc>
          <w:tcPr>
            <w:tcW w:w="1276" w:type="dxa"/>
            <w:hideMark/>
          </w:tcPr>
          <w:p w14:paraId="3CEADEC0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C24</w:t>
            </w:r>
          </w:p>
        </w:tc>
      </w:tr>
      <w:tr w:rsidR="00B82899" w:rsidRPr="00B82899" w14:paraId="513E704F" w14:textId="77777777" w:rsidTr="00B82899">
        <w:tc>
          <w:tcPr>
            <w:tcW w:w="470" w:type="dxa"/>
            <w:hideMark/>
          </w:tcPr>
          <w:p w14:paraId="026CCC11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46" w:type="dxa"/>
            <w:hideMark/>
          </w:tcPr>
          <w:p w14:paraId="22DD5EA7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З/б монолітна плита (смуга 1 м)</w:t>
            </w:r>
          </w:p>
        </w:tc>
        <w:tc>
          <w:tcPr>
            <w:tcW w:w="1030" w:type="dxa"/>
            <w:hideMark/>
          </w:tcPr>
          <w:p w14:paraId="2184E22C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352" w:type="dxa"/>
            <w:hideMark/>
          </w:tcPr>
          <w:p w14:paraId="01E570A1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701" w:type="dxa"/>
            <w:hideMark/>
          </w:tcPr>
          <w:p w14:paraId="5A1E7E45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4,0 (аудиторія)</w:t>
            </w:r>
          </w:p>
        </w:tc>
        <w:tc>
          <w:tcPr>
            <w:tcW w:w="1418" w:type="dxa"/>
            <w:hideMark/>
          </w:tcPr>
          <w:p w14:paraId="5EDEF63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h = 200 мм</w:t>
            </w:r>
          </w:p>
        </w:tc>
        <w:tc>
          <w:tcPr>
            <w:tcW w:w="1276" w:type="dxa"/>
            <w:hideMark/>
          </w:tcPr>
          <w:p w14:paraId="2A992C1F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C25/30, A400C</w:t>
            </w:r>
          </w:p>
        </w:tc>
      </w:tr>
      <w:tr w:rsidR="00B82899" w:rsidRPr="00B82899" w14:paraId="7BFCF3E3" w14:textId="77777777" w:rsidTr="00B82899">
        <w:tc>
          <w:tcPr>
            <w:tcW w:w="470" w:type="dxa"/>
            <w:hideMark/>
          </w:tcPr>
          <w:p w14:paraId="636778BD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46" w:type="dxa"/>
            <w:hideMark/>
          </w:tcPr>
          <w:p w14:paraId="138FD609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Сталева балка покриття</w:t>
            </w:r>
          </w:p>
        </w:tc>
        <w:tc>
          <w:tcPr>
            <w:tcW w:w="1030" w:type="dxa"/>
            <w:hideMark/>
          </w:tcPr>
          <w:p w14:paraId="1012D5EA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1352" w:type="dxa"/>
            <w:hideMark/>
          </w:tcPr>
          <w:p w14:paraId="3DA51FCA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701" w:type="dxa"/>
            <w:hideMark/>
          </w:tcPr>
          <w:p w14:paraId="02C1618D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сніг s = 1,5</w:t>
            </w:r>
          </w:p>
        </w:tc>
        <w:tc>
          <w:tcPr>
            <w:tcW w:w="1418" w:type="dxa"/>
            <w:hideMark/>
          </w:tcPr>
          <w:p w14:paraId="4FC8178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I 55Б1</w:t>
            </w:r>
          </w:p>
        </w:tc>
        <w:tc>
          <w:tcPr>
            <w:tcW w:w="1276" w:type="dxa"/>
            <w:hideMark/>
          </w:tcPr>
          <w:p w14:paraId="4A3C079D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S275</w:t>
            </w:r>
          </w:p>
        </w:tc>
      </w:tr>
      <w:tr w:rsidR="00B82899" w:rsidRPr="00B82899" w14:paraId="19E8E8D3" w14:textId="77777777" w:rsidTr="00B82899">
        <w:tc>
          <w:tcPr>
            <w:tcW w:w="470" w:type="dxa"/>
            <w:hideMark/>
          </w:tcPr>
          <w:p w14:paraId="32255436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46" w:type="dxa"/>
            <w:hideMark/>
          </w:tcPr>
          <w:p w14:paraId="5D1C6220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З/б ребриста плита покриття</w:t>
            </w:r>
          </w:p>
        </w:tc>
        <w:tc>
          <w:tcPr>
            <w:tcW w:w="1030" w:type="dxa"/>
            <w:hideMark/>
          </w:tcPr>
          <w:p w14:paraId="24ED3C8B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352" w:type="dxa"/>
            <w:hideMark/>
          </w:tcPr>
          <w:p w14:paraId="3C386EF2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701" w:type="dxa"/>
            <w:hideMark/>
          </w:tcPr>
          <w:p w14:paraId="5C051A92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сніг s = 1,3</w:t>
            </w:r>
          </w:p>
        </w:tc>
        <w:tc>
          <w:tcPr>
            <w:tcW w:w="1418" w:type="dxa"/>
            <w:hideMark/>
          </w:tcPr>
          <w:p w14:paraId="4AD93904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h = 300 мм</w:t>
            </w:r>
          </w:p>
        </w:tc>
        <w:tc>
          <w:tcPr>
            <w:tcW w:w="1276" w:type="dxa"/>
            <w:hideMark/>
          </w:tcPr>
          <w:p w14:paraId="0A6D3077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C25/30, A400C</w:t>
            </w:r>
          </w:p>
        </w:tc>
      </w:tr>
      <w:tr w:rsidR="00B82899" w:rsidRPr="00B82899" w14:paraId="5CF64CC5" w14:textId="77777777" w:rsidTr="00B82899">
        <w:tc>
          <w:tcPr>
            <w:tcW w:w="470" w:type="dxa"/>
            <w:hideMark/>
          </w:tcPr>
          <w:p w14:paraId="1738A4D8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46" w:type="dxa"/>
            <w:hideMark/>
          </w:tcPr>
          <w:p w14:paraId="7318C32A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Сталевий прогін покрівлі</w:t>
            </w:r>
          </w:p>
        </w:tc>
        <w:tc>
          <w:tcPr>
            <w:tcW w:w="1030" w:type="dxa"/>
            <w:hideMark/>
          </w:tcPr>
          <w:p w14:paraId="18041427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352" w:type="dxa"/>
            <w:hideMark/>
          </w:tcPr>
          <w:p w14:paraId="6F85D33D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701" w:type="dxa"/>
            <w:hideMark/>
          </w:tcPr>
          <w:p w14:paraId="7C05B867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сніг s = 1,4</w:t>
            </w:r>
          </w:p>
        </w:tc>
        <w:tc>
          <w:tcPr>
            <w:tcW w:w="1418" w:type="dxa"/>
            <w:hideMark/>
          </w:tcPr>
          <w:p w14:paraId="02804155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швелер 20П</w:t>
            </w:r>
          </w:p>
        </w:tc>
        <w:tc>
          <w:tcPr>
            <w:tcW w:w="1276" w:type="dxa"/>
            <w:hideMark/>
          </w:tcPr>
          <w:p w14:paraId="0D56FB60" w14:textId="77777777" w:rsidR="00B82899" w:rsidRPr="00B82899" w:rsidRDefault="00B82899" w:rsidP="00E612F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82899">
              <w:rPr>
                <w:rFonts w:ascii="Times New Roman" w:hAnsi="Times New Roman" w:cs="Times New Roman"/>
              </w:rPr>
              <w:t>S235</w:t>
            </w:r>
          </w:p>
        </w:tc>
      </w:tr>
    </w:tbl>
    <w:p w14:paraId="3B94A4E4" w14:textId="507CB2C5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 xml:space="preserve">Склад підлоги (покрівлі) студент приймає самостійно за призначенням приміщення та наводить у таблиці збору навантажень із зазначенням товщини і густини кожного шару. Коефіцієнт γn </w:t>
      </w:r>
      <w:r w:rsidR="00E612F9">
        <w:rPr>
          <w:rFonts w:ascii="Times New Roman" w:hAnsi="Times New Roman" w:cs="Times New Roman"/>
          <w:sz w:val="28"/>
          <w:szCs w:val="28"/>
        </w:rPr>
        <w:t>–</w:t>
      </w:r>
      <w:r w:rsidRPr="00B82899">
        <w:rPr>
          <w:rFonts w:ascii="Times New Roman" w:hAnsi="Times New Roman" w:cs="Times New Roman"/>
          <w:sz w:val="28"/>
          <w:szCs w:val="28"/>
        </w:rPr>
        <w:t xml:space="preserve"> за класом наслідків із практичної роботи 1.</w:t>
      </w:r>
    </w:p>
    <w:p w14:paraId="573CA28D" w14:textId="7777777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D310D59" w14:textId="21B65A4C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899">
        <w:rPr>
          <w:rFonts w:ascii="Times New Roman" w:hAnsi="Times New Roman" w:cs="Times New Roman"/>
          <w:b/>
          <w:bCs/>
          <w:sz w:val="28"/>
          <w:szCs w:val="28"/>
        </w:rPr>
        <w:t>Основні нормативні джерела до ПР2</w:t>
      </w:r>
    </w:p>
    <w:p w14:paraId="697193F0" w14:textId="7096F52E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 xml:space="preserve">1. ДБН В.1.2-2:2006 «Навантаження і впливи. Норми проектування», зі Змінами № 1 та № 2 </w:t>
      </w:r>
      <w:r w:rsidR="00E612F9">
        <w:rPr>
          <w:rFonts w:ascii="Times New Roman" w:hAnsi="Times New Roman" w:cs="Times New Roman"/>
          <w:sz w:val="28"/>
          <w:szCs w:val="28"/>
        </w:rPr>
        <w:t>–</w:t>
      </w:r>
      <w:r w:rsidRPr="00B82899">
        <w:rPr>
          <w:rFonts w:ascii="Times New Roman" w:hAnsi="Times New Roman" w:cs="Times New Roman"/>
          <w:sz w:val="28"/>
          <w:szCs w:val="28"/>
        </w:rPr>
        <w:t xml:space="preserve"> головний документ роботи. Звідси беруться характеристичні значення навантажень, коефіцієнти надійності за навантаженням γf, коефіцієнти сполучень, снігове й вітрове навантаження за районами.</w:t>
      </w:r>
    </w:p>
    <w:p w14:paraId="454548BC" w14:textId="5668F14E" w:rsidR="00B82899" w:rsidRPr="00E612F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82899">
        <w:rPr>
          <w:rFonts w:ascii="Times New Roman" w:hAnsi="Times New Roman" w:cs="Times New Roman"/>
          <w:sz w:val="28"/>
          <w:szCs w:val="28"/>
        </w:rPr>
        <w:t>Важливо працювати саме з редакцією, що містить обидві зміни. Зміну № 2 затверджено наказом Міністерства розвитку громад та територій України від 16 січня 2020 року № 5;</w:t>
      </w:r>
    </w:p>
    <w:p w14:paraId="0E043961" w14:textId="7B30C6E6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 xml:space="preserve">2. ДБН В.1.2-14:2018 «Загальні принципи забезпечення надійності та конструктивної безпеки будівель і споруд», зі Зміною № 1 </w:t>
      </w:r>
      <w:r w:rsidR="00E612F9">
        <w:rPr>
          <w:rFonts w:ascii="Times New Roman" w:hAnsi="Times New Roman" w:cs="Times New Roman"/>
          <w:sz w:val="28"/>
          <w:szCs w:val="28"/>
        </w:rPr>
        <w:t>–</w:t>
      </w:r>
      <w:r w:rsidRPr="00B82899">
        <w:rPr>
          <w:rFonts w:ascii="Times New Roman" w:hAnsi="Times New Roman" w:cs="Times New Roman"/>
          <w:sz w:val="28"/>
          <w:szCs w:val="28"/>
        </w:rPr>
        <w:t xml:space="preserve"> коефіцієнт надійності за відповідальністю γn, який береться з результату ПР1, і загальні принципи методу граничних станів.</w:t>
      </w:r>
    </w:p>
    <w:p w14:paraId="5319F2FD" w14:textId="4F891C48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lastRenderedPageBreak/>
        <w:t xml:space="preserve">3. ДБН В.1.2-6:2021 «Основні вимоги до будівель і споруд. Механічний опір та стійкість» </w:t>
      </w:r>
      <w:r w:rsidR="00E612F9">
        <w:rPr>
          <w:rFonts w:ascii="Times New Roman" w:hAnsi="Times New Roman" w:cs="Times New Roman"/>
          <w:sz w:val="28"/>
          <w:szCs w:val="28"/>
        </w:rPr>
        <w:t>–</w:t>
      </w:r>
      <w:r w:rsidRPr="00B82899">
        <w:rPr>
          <w:rFonts w:ascii="Times New Roman" w:hAnsi="Times New Roman" w:cs="Times New Roman"/>
          <w:sz w:val="28"/>
          <w:szCs w:val="28"/>
        </w:rPr>
        <w:t xml:space="preserve"> замінив редакцію 2008 року. </w:t>
      </w:r>
    </w:p>
    <w:p w14:paraId="258BA8F5" w14:textId="29096BD7" w:rsidR="00B82899" w:rsidRPr="00B82899" w:rsidRDefault="00B82899" w:rsidP="00E612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82899">
        <w:rPr>
          <w:rFonts w:ascii="Times New Roman" w:hAnsi="Times New Roman" w:cs="Times New Roman"/>
          <w:sz w:val="28"/>
          <w:szCs w:val="28"/>
        </w:rPr>
        <w:t xml:space="preserve">4. ДСТУ-Н Б EN 1990:2008 «Єврокод. Основи проектування конструкцій», зі Зміною № 1 </w:t>
      </w:r>
    </w:p>
    <w:p w14:paraId="24AE7A6E" w14:textId="77777777" w:rsidR="00EE729B" w:rsidRDefault="00EE729B" w:rsidP="00E612F9">
      <w:pPr>
        <w:spacing w:after="0" w:line="360" w:lineRule="auto"/>
      </w:pPr>
    </w:p>
    <w:sectPr w:rsidR="00EE72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C2"/>
    <w:rsid w:val="009419E4"/>
    <w:rsid w:val="009A71C2"/>
    <w:rsid w:val="00B82899"/>
    <w:rsid w:val="00BF5FE4"/>
    <w:rsid w:val="00E44894"/>
    <w:rsid w:val="00E612F9"/>
    <w:rsid w:val="00EE729B"/>
    <w:rsid w:val="00FF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D876C"/>
  <w15:chartTrackingRefBased/>
  <w15:docId w15:val="{789F2002-A84C-4926-ABE0-4D709A9B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7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1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1C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1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1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1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1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7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7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7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A71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71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71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7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71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71C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8289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82899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B82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3049</Words>
  <Characters>1738</Characters>
  <Application>Microsoft Office Word</Application>
  <DocSecurity>0</DocSecurity>
  <Lines>14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 M</dc:creator>
  <cp:keywords/>
  <dc:description/>
  <cp:lastModifiedBy>Vadim M</cp:lastModifiedBy>
  <cp:revision>4</cp:revision>
  <dcterms:created xsi:type="dcterms:W3CDTF">2026-09-16T06:52:00Z</dcterms:created>
  <dcterms:modified xsi:type="dcterms:W3CDTF">2026-10-02T08:25:00Z</dcterms:modified>
</cp:coreProperties>
</file>