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CA09D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b/>
          <w:bCs/>
          <w:sz w:val="28"/>
          <w:szCs w:val="28"/>
        </w:rPr>
        <w:t>Практична робота № 1</w:t>
      </w:r>
    </w:p>
    <w:p w14:paraId="599AA1C4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b/>
          <w:bCs/>
          <w:sz w:val="28"/>
          <w:szCs w:val="28"/>
        </w:rPr>
        <w:t>Класифікація об'єкта за класом наслідків та категорією складності</w:t>
      </w:r>
    </w:p>
    <w:p w14:paraId="1C3CCA46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b/>
          <w:bCs/>
          <w:sz w:val="28"/>
          <w:szCs w:val="28"/>
        </w:rPr>
        <w:t>Мета роботи</w:t>
      </w:r>
    </w:p>
    <w:p w14:paraId="6328B2C0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Набути практичних навичок віднесення будівлі до класу наслідків (відповідальності) СС1–СС3 та визначення категорії складності об'єкта будівництва з обґрунтуванням за пунктами чинних нормативних документів.</w:t>
      </w:r>
    </w:p>
    <w:p w14:paraId="2B5E48FE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b/>
          <w:bCs/>
          <w:sz w:val="28"/>
          <w:szCs w:val="28"/>
        </w:rPr>
        <w:t>Вихідні дані</w:t>
      </w:r>
    </w:p>
    <w:p w14:paraId="5B22F890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Комплект вихідних даних на об'єкт: призначення, поверховість, габарити, площа, розрахункова кількість людей у будівлі та поблизу неї, наявність небезпечних речовин, значення об'єкта для інфраструктури. Об'єкт обирається студентом як наскрізний для всього курсу і погоджується з викладачем.</w:t>
      </w:r>
    </w:p>
    <w:p w14:paraId="67A6804E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b/>
          <w:bCs/>
          <w:sz w:val="28"/>
          <w:szCs w:val="28"/>
        </w:rPr>
        <w:t>Стислі теоретичні відомості</w:t>
      </w:r>
    </w:p>
    <w:p w14:paraId="799521ED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Клас наслідків (відповідальності) характеризує можливі наслідки відмови об'єкта і встановлюється за найвищим значенням серед усіх ознак: можлива небезпека для здоров'я і життя людей, які постійно або періодично перебувають на об'єкті та перебувають ззовні; обсяг можливого економічного збитку; втрата об'єктів культурної спадщини; припинення функціонування об'єктів інженерно-транспортної інфраструктури.</w:t>
      </w:r>
    </w:p>
    <w:p w14:paraId="69436905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Класу наслідків відповідає категорія складності об'єкта, від якої залежать вимоги до складу проєктної документації, необхідність експертизи, науково-технічного супроводу та авторського нагляду.</w:t>
      </w:r>
    </w:p>
    <w:p w14:paraId="5A20E29F" w14:textId="2EFC539A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 xml:space="preserve">Клас наслідків визначає також цільовий рівень надійності </w:t>
      </w:r>
      <w:r w:rsidR="004F67B0">
        <w:rPr>
          <w:rFonts w:ascii="Times New Roman" w:hAnsi="Times New Roman" w:cs="Times New Roman"/>
          <w:sz w:val="28"/>
          <w:szCs w:val="28"/>
        </w:rPr>
        <w:t>–</w:t>
      </w:r>
      <w:r w:rsidRPr="00705AF8">
        <w:rPr>
          <w:rFonts w:ascii="Times New Roman" w:hAnsi="Times New Roman" w:cs="Times New Roman"/>
          <w:sz w:val="28"/>
          <w:szCs w:val="28"/>
        </w:rPr>
        <w:t xml:space="preserve"> значення індексу надійності β та коефіцієнта надійності за відповідальністю </w:t>
      </w:r>
      <w:proofErr w:type="spellStart"/>
      <w:r w:rsidRPr="00705AF8">
        <w:rPr>
          <w:rFonts w:ascii="Times New Roman" w:hAnsi="Times New Roman" w:cs="Times New Roman"/>
          <w:sz w:val="28"/>
          <w:szCs w:val="28"/>
        </w:rPr>
        <w:t>γn</w:t>
      </w:r>
      <w:proofErr w:type="spellEnd"/>
      <w:r w:rsidRPr="00705AF8">
        <w:rPr>
          <w:rFonts w:ascii="Times New Roman" w:hAnsi="Times New Roman" w:cs="Times New Roman"/>
          <w:sz w:val="28"/>
          <w:szCs w:val="28"/>
        </w:rPr>
        <w:t>, який використовується у подальших розрахунках.</w:t>
      </w:r>
    </w:p>
    <w:p w14:paraId="3AA2C6A1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b/>
          <w:bCs/>
          <w:sz w:val="28"/>
          <w:szCs w:val="28"/>
        </w:rPr>
        <w:t>Порядок виконання</w:t>
      </w:r>
    </w:p>
    <w:p w14:paraId="11AAD24D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1. Скласти стислий опис об'єкта та таблицю його вихідних характеристик (призначення, розміри, поверховість, конструктивна схема, орієнтовна вартість).</w:t>
      </w:r>
    </w:p>
    <w:p w14:paraId="61529635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2. Обчислити або обґрунтовано прийняти розрахункову кількість людей, які постійно перебувають в об'єкті та періодично перебувають усередині й ззовні.</w:t>
      </w:r>
    </w:p>
    <w:p w14:paraId="38595EF9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3. За кожною ознакою відповідальності визначити відповідне значення класу наслідків із посиланням на конкретний пункт та таблицю ДБН.</w:t>
      </w:r>
    </w:p>
    <w:p w14:paraId="579D49A0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lastRenderedPageBreak/>
        <w:t>4. Визначити підсумковий клас наслідків за найвищим значенням серед усіх ознак і категорію складності об'єкта.</w:t>
      </w:r>
    </w:p>
    <w:p w14:paraId="481E70CB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5. Виписати процедурні наслідки: необхідність експертизи проєкту, науково-технічного супроводу, вимоги до кваліфікації виконавців.</w:t>
      </w:r>
    </w:p>
    <w:p w14:paraId="52D9E447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 xml:space="preserve">6. Прийняти цільовий індекс надійності β та коефіцієнт </w:t>
      </w:r>
      <w:proofErr w:type="spellStart"/>
      <w:r w:rsidRPr="00705AF8">
        <w:rPr>
          <w:rFonts w:ascii="Times New Roman" w:hAnsi="Times New Roman" w:cs="Times New Roman"/>
          <w:sz w:val="28"/>
          <w:szCs w:val="28"/>
        </w:rPr>
        <w:t>γn</w:t>
      </w:r>
      <w:proofErr w:type="spellEnd"/>
      <w:r w:rsidRPr="00705AF8">
        <w:rPr>
          <w:rFonts w:ascii="Times New Roman" w:hAnsi="Times New Roman" w:cs="Times New Roman"/>
          <w:sz w:val="28"/>
          <w:szCs w:val="28"/>
        </w:rPr>
        <w:t xml:space="preserve"> для подальших розрахунків у практичних роботах 2 і 4.</w:t>
      </w:r>
    </w:p>
    <w:p w14:paraId="0C174B0B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7. Сформулювати висновок.</w:t>
      </w:r>
    </w:p>
    <w:p w14:paraId="74A690E7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b/>
          <w:bCs/>
          <w:sz w:val="28"/>
          <w:szCs w:val="28"/>
        </w:rPr>
        <w:t>Зміст звіту</w:t>
      </w:r>
    </w:p>
    <w:p w14:paraId="3511D8B1" w14:textId="37E34742" w:rsidR="00705AF8" w:rsidRPr="00705AF8" w:rsidRDefault="004F67B0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05AF8" w:rsidRPr="00705AF8">
        <w:rPr>
          <w:rFonts w:ascii="Times New Roman" w:hAnsi="Times New Roman" w:cs="Times New Roman"/>
          <w:sz w:val="28"/>
          <w:szCs w:val="28"/>
        </w:rPr>
        <w:t xml:space="preserve"> Опис об'єкта і таблиця вихідних характеристик.</w:t>
      </w:r>
    </w:p>
    <w:p w14:paraId="08B2D200" w14:textId="769FDF83" w:rsidR="00705AF8" w:rsidRPr="00705AF8" w:rsidRDefault="004F67B0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05AF8" w:rsidRPr="00705AF8">
        <w:rPr>
          <w:rFonts w:ascii="Times New Roman" w:hAnsi="Times New Roman" w:cs="Times New Roman"/>
          <w:sz w:val="28"/>
          <w:szCs w:val="28"/>
        </w:rPr>
        <w:t xml:space="preserve"> Таблиця визначення класу наслідків за всіма ознаками з посиланнями на нормативні пункти.</w:t>
      </w:r>
    </w:p>
    <w:p w14:paraId="4F2EF95B" w14:textId="5762F088" w:rsidR="00705AF8" w:rsidRPr="00705AF8" w:rsidRDefault="004F67B0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05AF8" w:rsidRPr="00705AF8">
        <w:rPr>
          <w:rFonts w:ascii="Times New Roman" w:hAnsi="Times New Roman" w:cs="Times New Roman"/>
          <w:sz w:val="28"/>
          <w:szCs w:val="28"/>
        </w:rPr>
        <w:t xml:space="preserve"> Обґрунтування підсумкового класу наслідків і категорії складності.</w:t>
      </w:r>
    </w:p>
    <w:p w14:paraId="5820EA1B" w14:textId="1C8424AA" w:rsidR="00705AF8" w:rsidRPr="00705AF8" w:rsidRDefault="004F67B0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05AF8" w:rsidRPr="00705AF8">
        <w:rPr>
          <w:rFonts w:ascii="Times New Roman" w:hAnsi="Times New Roman" w:cs="Times New Roman"/>
          <w:sz w:val="28"/>
          <w:szCs w:val="28"/>
        </w:rPr>
        <w:t xml:space="preserve"> Прийняті значення β і </w:t>
      </w:r>
      <w:proofErr w:type="spellStart"/>
      <w:r w:rsidR="00705AF8" w:rsidRPr="00705AF8">
        <w:rPr>
          <w:rFonts w:ascii="Times New Roman" w:hAnsi="Times New Roman" w:cs="Times New Roman"/>
          <w:sz w:val="28"/>
          <w:szCs w:val="28"/>
        </w:rPr>
        <w:t>γn</w:t>
      </w:r>
      <w:proofErr w:type="spellEnd"/>
      <w:r w:rsidR="00705AF8" w:rsidRPr="00705AF8">
        <w:rPr>
          <w:rFonts w:ascii="Times New Roman" w:hAnsi="Times New Roman" w:cs="Times New Roman"/>
          <w:sz w:val="28"/>
          <w:szCs w:val="28"/>
        </w:rPr>
        <w:t>.</w:t>
      </w:r>
    </w:p>
    <w:p w14:paraId="01C1E3AE" w14:textId="743806F6" w:rsidR="00705AF8" w:rsidRPr="00705AF8" w:rsidRDefault="004F67B0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05AF8" w:rsidRPr="00705AF8">
        <w:rPr>
          <w:rFonts w:ascii="Times New Roman" w:hAnsi="Times New Roman" w:cs="Times New Roman"/>
          <w:sz w:val="28"/>
          <w:szCs w:val="28"/>
        </w:rPr>
        <w:t xml:space="preserve"> Висновок.</w:t>
      </w:r>
    </w:p>
    <w:p w14:paraId="064843D6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b/>
          <w:bCs/>
          <w:sz w:val="28"/>
          <w:szCs w:val="28"/>
        </w:rPr>
        <w:t>Контрольні запитання</w:t>
      </w:r>
    </w:p>
    <w:p w14:paraId="1D5F1002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1. Чим клас наслідків відрізняється від категорії складності об'єкта?</w:t>
      </w:r>
    </w:p>
    <w:p w14:paraId="62F5EE16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2. Чому підсумковий клас наслідків приймається за максимальним, а не за середнім значенням ознак?</w:t>
      </w:r>
    </w:p>
    <w:p w14:paraId="0FBBBCFE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3. Як враховується кількість людей, що перебувають ззовні об'єкта?</w:t>
      </w:r>
    </w:p>
    <w:p w14:paraId="304E02CA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sz w:val="28"/>
          <w:szCs w:val="28"/>
        </w:rPr>
        <w:t>4. Які додаткові вимоги виникають для об'єктів класу СС3?</w:t>
      </w:r>
    </w:p>
    <w:p w14:paraId="3BCDC0CC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b/>
          <w:bCs/>
          <w:sz w:val="28"/>
          <w:szCs w:val="28"/>
        </w:rPr>
        <w:t>Варіанти завдань</w:t>
      </w:r>
    </w:p>
    <w:tbl>
      <w:tblPr>
        <w:tblStyle w:val="ae"/>
        <w:tblW w:w="9360" w:type="dxa"/>
        <w:tblLayout w:type="fixed"/>
        <w:tblLook w:val="04A0" w:firstRow="1" w:lastRow="0" w:firstColumn="1" w:lastColumn="0" w:noHBand="0" w:noVBand="1"/>
      </w:tblPr>
      <w:tblGrid>
        <w:gridCol w:w="522"/>
        <w:gridCol w:w="2287"/>
        <w:gridCol w:w="1248"/>
        <w:gridCol w:w="1248"/>
        <w:gridCol w:w="1248"/>
        <w:gridCol w:w="2807"/>
      </w:tblGrid>
      <w:tr w:rsidR="00705AF8" w:rsidRPr="00705AF8" w14:paraId="6F656126" w14:textId="77777777" w:rsidTr="00705AF8">
        <w:tc>
          <w:tcPr>
            <w:tcW w:w="522" w:type="dxa"/>
            <w:hideMark/>
          </w:tcPr>
          <w:p w14:paraId="5F6A1B8A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286" w:type="dxa"/>
            <w:hideMark/>
          </w:tcPr>
          <w:p w14:paraId="04AF5747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Об'єкт</w:t>
            </w:r>
          </w:p>
        </w:tc>
        <w:tc>
          <w:tcPr>
            <w:tcW w:w="1247" w:type="dxa"/>
            <w:hideMark/>
          </w:tcPr>
          <w:p w14:paraId="55B3DF9C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Поверховість</w:t>
            </w:r>
          </w:p>
        </w:tc>
        <w:tc>
          <w:tcPr>
            <w:tcW w:w="1247" w:type="dxa"/>
            <w:hideMark/>
          </w:tcPr>
          <w:p w14:paraId="709652F0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Площа поверху, м²</w:t>
            </w:r>
          </w:p>
        </w:tc>
        <w:tc>
          <w:tcPr>
            <w:tcW w:w="1247" w:type="dxa"/>
            <w:hideMark/>
          </w:tcPr>
          <w:p w14:paraId="51F8B746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Кількість людей</w:t>
            </w:r>
          </w:p>
        </w:tc>
        <w:tc>
          <w:tcPr>
            <w:tcW w:w="2806" w:type="dxa"/>
            <w:hideMark/>
          </w:tcPr>
          <w:p w14:paraId="4D9BDC75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Додаткові умови</w:t>
            </w:r>
          </w:p>
        </w:tc>
      </w:tr>
      <w:tr w:rsidR="00705AF8" w:rsidRPr="00705AF8" w14:paraId="6537510B" w14:textId="77777777" w:rsidTr="00705AF8">
        <w:tc>
          <w:tcPr>
            <w:tcW w:w="522" w:type="dxa"/>
            <w:hideMark/>
          </w:tcPr>
          <w:p w14:paraId="1F4CD72F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86" w:type="dxa"/>
            <w:hideMark/>
          </w:tcPr>
          <w:p w14:paraId="61E7DA99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Загальноосвітня школа</w:t>
            </w:r>
          </w:p>
        </w:tc>
        <w:tc>
          <w:tcPr>
            <w:tcW w:w="1247" w:type="dxa"/>
            <w:hideMark/>
          </w:tcPr>
          <w:p w14:paraId="16BA0616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7" w:type="dxa"/>
            <w:hideMark/>
          </w:tcPr>
          <w:p w14:paraId="7988400C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247" w:type="dxa"/>
            <w:hideMark/>
          </w:tcPr>
          <w:p w14:paraId="7B0E0631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806" w:type="dxa"/>
            <w:hideMark/>
          </w:tcPr>
          <w:p w14:paraId="64106D20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Спортивна зала, їдальня на 200 місць</w:t>
            </w:r>
          </w:p>
        </w:tc>
      </w:tr>
      <w:tr w:rsidR="00705AF8" w:rsidRPr="00705AF8" w14:paraId="356E8B2C" w14:textId="77777777" w:rsidTr="00705AF8">
        <w:tc>
          <w:tcPr>
            <w:tcW w:w="522" w:type="dxa"/>
            <w:hideMark/>
          </w:tcPr>
          <w:p w14:paraId="162D0CD5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6" w:type="dxa"/>
            <w:hideMark/>
          </w:tcPr>
          <w:p w14:paraId="59520831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Торговельно-розважальний центр</w:t>
            </w:r>
          </w:p>
        </w:tc>
        <w:tc>
          <w:tcPr>
            <w:tcW w:w="1247" w:type="dxa"/>
            <w:hideMark/>
          </w:tcPr>
          <w:p w14:paraId="3B111E36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7" w:type="dxa"/>
            <w:hideMark/>
          </w:tcPr>
          <w:p w14:paraId="1AC0D25D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</w:tc>
        <w:tc>
          <w:tcPr>
            <w:tcW w:w="1247" w:type="dxa"/>
            <w:hideMark/>
          </w:tcPr>
          <w:p w14:paraId="7252FDF8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2806" w:type="dxa"/>
            <w:hideMark/>
          </w:tcPr>
          <w:p w14:paraId="74E5F82B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Кінозали, підземний паркінг на 150 місць</w:t>
            </w:r>
          </w:p>
        </w:tc>
      </w:tr>
      <w:tr w:rsidR="00705AF8" w:rsidRPr="00705AF8" w14:paraId="4F38817C" w14:textId="77777777" w:rsidTr="00705AF8">
        <w:tc>
          <w:tcPr>
            <w:tcW w:w="522" w:type="dxa"/>
            <w:hideMark/>
          </w:tcPr>
          <w:p w14:paraId="6CDDF312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6" w:type="dxa"/>
            <w:hideMark/>
          </w:tcPr>
          <w:p w14:paraId="19C2DC72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Житловий будинок</w:t>
            </w:r>
          </w:p>
        </w:tc>
        <w:tc>
          <w:tcPr>
            <w:tcW w:w="1247" w:type="dxa"/>
            <w:hideMark/>
          </w:tcPr>
          <w:p w14:paraId="638FD243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47" w:type="dxa"/>
            <w:hideMark/>
          </w:tcPr>
          <w:p w14:paraId="1F822DCE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1247" w:type="dxa"/>
            <w:hideMark/>
          </w:tcPr>
          <w:p w14:paraId="60240D07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2806" w:type="dxa"/>
            <w:hideMark/>
          </w:tcPr>
          <w:p w14:paraId="6214B389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 xml:space="preserve">Вбудовані приміщення </w:t>
            </w:r>
            <w:r w:rsidRPr="00705A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громадського призначення</w:t>
            </w:r>
          </w:p>
        </w:tc>
      </w:tr>
      <w:tr w:rsidR="00705AF8" w:rsidRPr="00705AF8" w14:paraId="642D28AC" w14:textId="77777777" w:rsidTr="00705AF8">
        <w:tc>
          <w:tcPr>
            <w:tcW w:w="522" w:type="dxa"/>
            <w:hideMark/>
          </w:tcPr>
          <w:p w14:paraId="45CC4F68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286" w:type="dxa"/>
            <w:hideMark/>
          </w:tcPr>
          <w:p w14:paraId="4A0F2F0F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Адміністративно-офісна будівля</w:t>
            </w:r>
          </w:p>
        </w:tc>
        <w:tc>
          <w:tcPr>
            <w:tcW w:w="1247" w:type="dxa"/>
            <w:hideMark/>
          </w:tcPr>
          <w:p w14:paraId="438D29F7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47" w:type="dxa"/>
            <w:hideMark/>
          </w:tcPr>
          <w:p w14:paraId="198FC891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1247" w:type="dxa"/>
            <w:hideMark/>
          </w:tcPr>
          <w:p w14:paraId="3C0E225E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2806" w:type="dxa"/>
            <w:hideMark/>
          </w:tcPr>
          <w:p w14:paraId="054932C3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Конференц-зала на 200 місць</w:t>
            </w:r>
          </w:p>
        </w:tc>
      </w:tr>
      <w:tr w:rsidR="00705AF8" w:rsidRPr="00705AF8" w14:paraId="73095F14" w14:textId="77777777" w:rsidTr="00705AF8">
        <w:tc>
          <w:tcPr>
            <w:tcW w:w="522" w:type="dxa"/>
            <w:hideMark/>
          </w:tcPr>
          <w:p w14:paraId="337E336A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86" w:type="dxa"/>
            <w:hideMark/>
          </w:tcPr>
          <w:p w14:paraId="0B8736B0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Виробничий корпус механічної обробки</w:t>
            </w:r>
          </w:p>
        </w:tc>
        <w:tc>
          <w:tcPr>
            <w:tcW w:w="1247" w:type="dxa"/>
            <w:hideMark/>
          </w:tcPr>
          <w:p w14:paraId="5D49B4DC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1 (h = 8 м)</w:t>
            </w:r>
          </w:p>
        </w:tc>
        <w:tc>
          <w:tcPr>
            <w:tcW w:w="1247" w:type="dxa"/>
            <w:hideMark/>
          </w:tcPr>
          <w:p w14:paraId="6FAC3B3A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247" w:type="dxa"/>
            <w:hideMark/>
          </w:tcPr>
          <w:p w14:paraId="3D692212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806" w:type="dxa"/>
            <w:hideMark/>
          </w:tcPr>
          <w:p w14:paraId="054CEC14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Мостовий кран, ділянка фарбування</w:t>
            </w:r>
          </w:p>
        </w:tc>
      </w:tr>
      <w:tr w:rsidR="00705AF8" w:rsidRPr="00705AF8" w14:paraId="6EC364DC" w14:textId="77777777" w:rsidTr="00705AF8">
        <w:tc>
          <w:tcPr>
            <w:tcW w:w="522" w:type="dxa"/>
            <w:hideMark/>
          </w:tcPr>
          <w:p w14:paraId="49917BB9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86" w:type="dxa"/>
            <w:hideMark/>
          </w:tcPr>
          <w:p w14:paraId="6D4452FA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Лікарня, стаціонарний корпус</w:t>
            </w:r>
          </w:p>
        </w:tc>
        <w:tc>
          <w:tcPr>
            <w:tcW w:w="1247" w:type="dxa"/>
            <w:hideMark/>
          </w:tcPr>
          <w:p w14:paraId="71303ACD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7" w:type="dxa"/>
            <w:hideMark/>
          </w:tcPr>
          <w:p w14:paraId="624CBF95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247" w:type="dxa"/>
            <w:hideMark/>
          </w:tcPr>
          <w:p w14:paraId="355EB3BC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2806" w:type="dxa"/>
            <w:hideMark/>
          </w:tcPr>
          <w:p w14:paraId="0D220FC3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Операційний блок, маломобільні пацієнти</w:t>
            </w:r>
          </w:p>
        </w:tc>
      </w:tr>
      <w:tr w:rsidR="00705AF8" w:rsidRPr="00705AF8" w14:paraId="7CAF643F" w14:textId="77777777" w:rsidTr="00705AF8">
        <w:tc>
          <w:tcPr>
            <w:tcW w:w="522" w:type="dxa"/>
            <w:hideMark/>
          </w:tcPr>
          <w:p w14:paraId="59012E87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86" w:type="dxa"/>
            <w:hideMark/>
          </w:tcPr>
          <w:p w14:paraId="1D62CC62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Готель</w:t>
            </w:r>
          </w:p>
        </w:tc>
        <w:tc>
          <w:tcPr>
            <w:tcW w:w="1247" w:type="dxa"/>
            <w:hideMark/>
          </w:tcPr>
          <w:p w14:paraId="72478F2F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47" w:type="dxa"/>
            <w:hideMark/>
          </w:tcPr>
          <w:p w14:paraId="3E4CF822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247" w:type="dxa"/>
            <w:hideMark/>
          </w:tcPr>
          <w:p w14:paraId="29D80625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2806" w:type="dxa"/>
            <w:hideMark/>
          </w:tcPr>
          <w:p w14:paraId="5F709274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Ресторан, сплячий контингент</w:t>
            </w:r>
          </w:p>
        </w:tc>
      </w:tr>
      <w:tr w:rsidR="00705AF8" w:rsidRPr="00705AF8" w14:paraId="6793A21C" w14:textId="77777777" w:rsidTr="00705AF8">
        <w:tc>
          <w:tcPr>
            <w:tcW w:w="522" w:type="dxa"/>
            <w:hideMark/>
          </w:tcPr>
          <w:p w14:paraId="6FA5CB9B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86" w:type="dxa"/>
            <w:hideMark/>
          </w:tcPr>
          <w:p w14:paraId="4680E9ED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Спортивна споруда з трибунами</w:t>
            </w:r>
          </w:p>
        </w:tc>
        <w:tc>
          <w:tcPr>
            <w:tcW w:w="1247" w:type="dxa"/>
            <w:hideMark/>
          </w:tcPr>
          <w:p w14:paraId="5A9B033C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2 (h = 14 м)</w:t>
            </w:r>
          </w:p>
        </w:tc>
        <w:tc>
          <w:tcPr>
            <w:tcW w:w="1247" w:type="dxa"/>
            <w:hideMark/>
          </w:tcPr>
          <w:p w14:paraId="07D80259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2200</w:t>
            </w:r>
          </w:p>
        </w:tc>
        <w:tc>
          <w:tcPr>
            <w:tcW w:w="1247" w:type="dxa"/>
            <w:hideMark/>
          </w:tcPr>
          <w:p w14:paraId="04DEB2E1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2806" w:type="dxa"/>
            <w:hideMark/>
          </w:tcPr>
          <w:p w14:paraId="6E810B19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Масове одночасне перебування глядачів</w:t>
            </w:r>
          </w:p>
        </w:tc>
      </w:tr>
      <w:tr w:rsidR="00705AF8" w:rsidRPr="00705AF8" w14:paraId="02561577" w14:textId="77777777" w:rsidTr="00705AF8">
        <w:tc>
          <w:tcPr>
            <w:tcW w:w="522" w:type="dxa"/>
            <w:hideMark/>
          </w:tcPr>
          <w:p w14:paraId="25BEF8E5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86" w:type="dxa"/>
            <w:hideMark/>
          </w:tcPr>
          <w:p w14:paraId="2A5F322C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Склад готової продукції</w:t>
            </w:r>
          </w:p>
        </w:tc>
        <w:tc>
          <w:tcPr>
            <w:tcW w:w="1247" w:type="dxa"/>
            <w:hideMark/>
          </w:tcPr>
          <w:p w14:paraId="211498AE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1 (h = 12 м)</w:t>
            </w:r>
          </w:p>
        </w:tc>
        <w:tc>
          <w:tcPr>
            <w:tcW w:w="1247" w:type="dxa"/>
            <w:hideMark/>
          </w:tcPr>
          <w:p w14:paraId="2E3204C2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247" w:type="dxa"/>
            <w:hideMark/>
          </w:tcPr>
          <w:p w14:paraId="4FED4D22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06" w:type="dxa"/>
            <w:hideMark/>
          </w:tcPr>
          <w:p w14:paraId="5DB4F634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Стелажне зберігання висотою 9 м</w:t>
            </w:r>
          </w:p>
        </w:tc>
      </w:tr>
      <w:tr w:rsidR="00705AF8" w:rsidRPr="00705AF8" w14:paraId="268740F4" w14:textId="77777777" w:rsidTr="00705AF8">
        <w:tc>
          <w:tcPr>
            <w:tcW w:w="522" w:type="dxa"/>
            <w:hideMark/>
          </w:tcPr>
          <w:p w14:paraId="3B823146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6" w:type="dxa"/>
            <w:hideMark/>
          </w:tcPr>
          <w:p w14:paraId="0CA9295F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Заклад дошкільної освіти</w:t>
            </w:r>
          </w:p>
        </w:tc>
        <w:tc>
          <w:tcPr>
            <w:tcW w:w="1247" w:type="dxa"/>
            <w:hideMark/>
          </w:tcPr>
          <w:p w14:paraId="50A4CAF2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7" w:type="dxa"/>
            <w:hideMark/>
          </w:tcPr>
          <w:p w14:paraId="5D0A90E9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247" w:type="dxa"/>
            <w:hideMark/>
          </w:tcPr>
          <w:p w14:paraId="7966232B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180 + 40</w:t>
            </w:r>
          </w:p>
        </w:tc>
        <w:tc>
          <w:tcPr>
            <w:tcW w:w="2806" w:type="dxa"/>
            <w:hideMark/>
          </w:tcPr>
          <w:p w14:paraId="5E60115F" w14:textId="77777777" w:rsidR="00705AF8" w:rsidRPr="00705AF8" w:rsidRDefault="00705AF8" w:rsidP="004F67B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F8">
              <w:rPr>
                <w:rFonts w:ascii="Times New Roman" w:hAnsi="Times New Roman" w:cs="Times New Roman"/>
                <w:sz w:val="28"/>
                <w:szCs w:val="28"/>
              </w:rPr>
              <w:t>Діти, не здатні до самостійної евакуації</w:t>
            </w:r>
          </w:p>
        </w:tc>
      </w:tr>
    </w:tbl>
    <w:p w14:paraId="2DD3A982" w14:textId="77777777" w:rsidR="00705AF8" w:rsidRPr="00705AF8" w:rsidRDefault="00705AF8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5AF8">
        <w:rPr>
          <w:rFonts w:ascii="Times New Roman" w:hAnsi="Times New Roman" w:cs="Times New Roman"/>
          <w:i/>
          <w:iCs/>
          <w:sz w:val="28"/>
          <w:szCs w:val="28"/>
        </w:rPr>
        <w:t>Об'єкт варіанта є наскрізним для практичних робіт 1, 5, 6, 9, 10, 13, 14, 15 і 16. Відсутні характеристики (конструктивна схема, матеріали, склад приміщень) студент приймає самостійно з обґрунтуванням і фіксує у першому звіті.</w:t>
      </w:r>
    </w:p>
    <w:p w14:paraId="742B08E1" w14:textId="77777777" w:rsidR="006B596A" w:rsidRPr="006B596A" w:rsidRDefault="006B596A" w:rsidP="004F67B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B596A">
        <w:rPr>
          <w:rFonts w:ascii="Times New Roman" w:hAnsi="Times New Roman" w:cs="Times New Roman"/>
          <w:b/>
          <w:bCs/>
          <w:sz w:val="28"/>
          <w:szCs w:val="28"/>
        </w:rPr>
        <w:t>Основні нормативні джерела до ПР1</w:t>
      </w:r>
    </w:p>
    <w:p w14:paraId="32008A10" w14:textId="394E9BA8" w:rsidR="006B596A" w:rsidRPr="006B596A" w:rsidRDefault="006B596A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596A">
        <w:rPr>
          <w:rFonts w:ascii="Times New Roman" w:hAnsi="Times New Roman" w:cs="Times New Roman"/>
          <w:sz w:val="28"/>
          <w:szCs w:val="28"/>
        </w:rPr>
        <w:t xml:space="preserve">1. ДСТУ 8855:2019 «Будівлі та споруди. Визначення класу наслідків (відповідальності)» </w:t>
      </w:r>
    </w:p>
    <w:p w14:paraId="59BD580F" w14:textId="75AC9747" w:rsidR="006B596A" w:rsidRPr="006B596A" w:rsidRDefault="006B596A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596A">
        <w:rPr>
          <w:rFonts w:ascii="Times New Roman" w:hAnsi="Times New Roman" w:cs="Times New Roman"/>
          <w:sz w:val="28"/>
          <w:szCs w:val="28"/>
        </w:rPr>
        <w:t xml:space="preserve">2. Закон України «Про регулювання містобудівної діяльності», стаття 32 </w:t>
      </w:r>
    </w:p>
    <w:p w14:paraId="4FE825E5" w14:textId="38AB8CE3" w:rsidR="006B596A" w:rsidRPr="006B596A" w:rsidRDefault="006B596A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596A">
        <w:rPr>
          <w:rFonts w:ascii="Times New Roman" w:hAnsi="Times New Roman" w:cs="Times New Roman"/>
          <w:sz w:val="28"/>
          <w:szCs w:val="28"/>
        </w:rPr>
        <w:t xml:space="preserve">3. ДБН В.1.2-14:2018 «Загальні принципи забезпечення надійності та конструктивної безпеки будівель і споруд», зі Зміною № 1 </w:t>
      </w:r>
    </w:p>
    <w:p w14:paraId="180291FE" w14:textId="2848AE8B" w:rsidR="006B596A" w:rsidRPr="006B596A" w:rsidRDefault="006B596A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596A">
        <w:rPr>
          <w:rFonts w:ascii="Times New Roman" w:hAnsi="Times New Roman" w:cs="Times New Roman"/>
          <w:sz w:val="28"/>
          <w:szCs w:val="28"/>
        </w:rPr>
        <w:t xml:space="preserve">4. ДСТУ-Н Б EN 1990 «Основи проєктування конструкцій» </w:t>
      </w:r>
    </w:p>
    <w:p w14:paraId="35A781E9" w14:textId="075CDF52" w:rsidR="006B596A" w:rsidRPr="006B596A" w:rsidRDefault="006B596A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596A">
        <w:rPr>
          <w:rFonts w:ascii="Times New Roman" w:hAnsi="Times New Roman" w:cs="Times New Roman"/>
          <w:sz w:val="28"/>
          <w:szCs w:val="28"/>
        </w:rPr>
        <w:lastRenderedPageBreak/>
        <w:t xml:space="preserve">5. Постанови КМУ № 466 і № 461 від 13.04.2011 </w:t>
      </w:r>
    </w:p>
    <w:p w14:paraId="762F89CE" w14:textId="77777777" w:rsidR="006B596A" w:rsidRPr="006B596A" w:rsidRDefault="006B596A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596A">
        <w:rPr>
          <w:rFonts w:ascii="Times New Roman" w:hAnsi="Times New Roman" w:cs="Times New Roman"/>
          <w:sz w:val="28"/>
          <w:szCs w:val="28"/>
        </w:rPr>
        <w:t xml:space="preserve">6. Лист </w:t>
      </w:r>
      <w:proofErr w:type="spellStart"/>
      <w:r w:rsidRPr="006B596A">
        <w:rPr>
          <w:rFonts w:ascii="Times New Roman" w:hAnsi="Times New Roman" w:cs="Times New Roman"/>
          <w:sz w:val="28"/>
          <w:szCs w:val="28"/>
        </w:rPr>
        <w:t>Мінрегіону</w:t>
      </w:r>
      <w:proofErr w:type="spellEnd"/>
      <w:r w:rsidRPr="006B596A">
        <w:rPr>
          <w:rFonts w:ascii="Times New Roman" w:hAnsi="Times New Roman" w:cs="Times New Roman"/>
          <w:sz w:val="28"/>
          <w:szCs w:val="28"/>
        </w:rPr>
        <w:t xml:space="preserve"> від 26.12.2017 № 7/16-14181 </w:t>
      </w:r>
    </w:p>
    <w:p w14:paraId="6575F722" w14:textId="77777777" w:rsidR="00EE729B" w:rsidRPr="006B596A" w:rsidRDefault="00EE729B" w:rsidP="004F67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EE729B" w:rsidRPr="006B59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92"/>
    <w:rsid w:val="00310735"/>
    <w:rsid w:val="004F67B0"/>
    <w:rsid w:val="006B596A"/>
    <w:rsid w:val="00705AF8"/>
    <w:rsid w:val="009419E4"/>
    <w:rsid w:val="00952692"/>
    <w:rsid w:val="00BA47DD"/>
    <w:rsid w:val="00E44894"/>
    <w:rsid w:val="00EE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1FD6F"/>
  <w15:chartTrackingRefBased/>
  <w15:docId w15:val="{E292636D-76BC-47B8-AEBC-43C4CBB4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2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2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2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2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2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2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2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2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2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2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2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2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2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2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2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2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2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52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2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52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2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526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26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269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2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5269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5269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05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6B596A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6B5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22C2B-8D46-43D5-BD35-9E027CBF0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2808</Words>
  <Characters>1602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 M</dc:creator>
  <cp:keywords/>
  <dc:description/>
  <cp:lastModifiedBy>Vadim M</cp:lastModifiedBy>
  <cp:revision>4</cp:revision>
  <dcterms:created xsi:type="dcterms:W3CDTF">2026-09-10T08:28:00Z</dcterms:created>
  <dcterms:modified xsi:type="dcterms:W3CDTF">2026-10-02T08:19:00Z</dcterms:modified>
</cp:coreProperties>
</file>