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2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2"/>
          <w:szCs w:val="32"/>
        </w:rPr>
        <w:t xml:space="preserve">ЛЕКЦІЯ 6</w:t>
      </w:r>
    </w:p>
    <w:p>
      <w:pPr>
        <w:spacing w:after="120" w:before="12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2"/>
          <w:szCs w:val="32"/>
        </w:rPr>
        <w:t xml:space="preserve">Програми ЄС у сфері освіти, науки, інновацій, культури, цифровізації та сталого розвитку</w:t>
      </w:r>
    </w:p>
    <w:p>
      <w:pPr>
        <w:spacing w:after="80" w:before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Навчальна дисципліна «Європейські інституції та грантово-проєктна політика ЄС»</w:t>
      </w:r>
    </w:p>
    <w:p>
      <w:pPr>
        <w:spacing w:after="80" w:before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Змістовий модуль 2. Грантово-проєктна політика ЄС як інструмент європейської інтеграції та міжнародного співробітництва</w:t>
      </w:r>
    </w:p>
    <w:p>
      <w:pPr>
        <w:spacing w:after="80" w:before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Освітній ступінь «магістр» · спеціальність С1 «Економіка та міжнародні економічні відносини» · спеціалізація С1.02</w:t>
      </w:r>
    </w:p>
    <w:p>
      <w:pPr>
        <w:spacing w:after="80" w:before="0" w:line="276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Обсяг: 3 академічні години · Компетентності та результати навчання: ЗК5, СК10, РН2, РН6, РН15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96"/>
        <w:gridCol w:w="7642"/>
      </w:tblGrid>
      <w:tr>
        <w:trPr>
          <w:tblHeader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Елемент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Зміст</w:t>
            </w:r>
          </w:p>
        </w:tc>
      </w:tr>
      <w:tr>
        <w:trPr>
          <w:tblHeader w:val="false"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Мета лекції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Сформувати знання про цілі, структуру, бюджети, способи управління, типи дій та умови участі в ключових програмах ЄС — Erasmus+, Horizon Europe, Creative Europe, LIFE, Digital Europe, Interreg — і розуміння їхньої ролі в розвитку людського капіталу, інституційної спроможності та міжнародних економічних відносин України</w:t>
            </w:r>
          </w:p>
        </w:tc>
      </w:tr>
      <w:tr>
        <w:trPr>
          <w:tblHeader w:val="false"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План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1. Erasmus+ як програма розвитку освіти, академічної мобільності та міжнародного партнерства.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2. Horizon Europe як інструмент підтримки науки, інновацій і дослідницьких консорціумів.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3. Creative Europe у розвитку культурного, креативного та медійного секторів.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4. LIFE як програма підтримки екологічної політики, кліматичних дій і сталого розвитку.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5. Digital Europe та підтримка цифрової трансформації економіки й управління.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6. Interreg і програми транскордонного, транснаціонального та міжрегіонального співробітництва.</w:t>
            </w:r>
          </w:p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7. Роль програм ЄС у розвитку людського капіталу, інституційної спроможності та міжнародних економічних відносин.</w:t>
            </w:r>
          </w:p>
        </w:tc>
      </w:tr>
      <w:tr>
        <w:trPr>
          <w:tblHeader w:val="false"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Ключові поняття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ключова дія; мобільність; розбудова спроможності; асоційована країна; третя країна, не асоційована до програми; стовп; кластер; місія ЄС; консорціум; конкурс; тематичний запит; стандартний проєкт LIFE; європейський цифровий інноваційний хаб; Interreg NEXT</w:t>
            </w:r>
          </w:p>
        </w:tc>
      </w:tr>
      <w:tr>
        <w:trPr>
          <w:tblHeader w:val="false"/>
        </w:trPr>
        <w:tc>
          <w:tcPr>
            <w:tcW w:type="dxa" w:w="19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Базові джерела</w:t>
            </w:r>
          </w:p>
        </w:tc>
        <w:tc>
          <w:tcPr>
            <w:tcW w:type="dxa" w:w="764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Регламенти (ЄС) 2021/817, 2021/695, 2021/818, 2021/783, 2021/694, 2021/1059; програмні настанови і робочі програми; [1–8; 12–26]</w:t>
            </w:r>
          </w:p>
        </w:tc>
      </w:tr>
    </w:tbl>
    <w:p>
      <w:pPr>
        <w:spacing w:after="60" w:before="0" w:line="240"/>
      </w:pPr>
    </w:p>
    <w:p>
      <w:pPr>
        <w:pBdr>
          <w:left w:val="single" w:color="2E5597" w:sz="24" w:space="6"/>
        </w:pBdr>
        <w:shd w:fill="EEF3FA" w:color="auto" w:val="clear"/>
        <w:spacing w:after="80" w:before="80" w:line="300"/>
        <w:ind w:left="284" w:right="142"/>
        <w:jc w:val="both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Методологічне застереження.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Лекція не дублює технічних процедур підготовки заявок (див. опис дисципліни): акцент зроблено на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логіці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 програм, їхніх пріоритетах і можливостях для українських суб’єктів. Показники наведено станом на вересень 2026 р.; умови конкурсів щороку оновлюються.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Вступ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Програми ЄС є основними інструментами реалізації політик Союзу через грантове фінансування. Кожна програма має власну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правову основу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(регламент),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бюджет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 межах БФР,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спосіб управління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(пряме чи спільне),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робочу програму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коло учасників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і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критерії оцінювання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. Для порівняльного аналізу доцільно використовувати єдину аналітичну схему: мета → структура → бюджет → управління → типи дій → учасники → можливості для України → ефекти. Цю схему застосовано до кожної з шести програм, визначених робочою програмою дисципліни [4; 7].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6.1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Ключові програми ЄС 2021–2027 рр.: загальна характеристика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65"/>
        <w:gridCol w:w="1987"/>
        <w:gridCol w:w="1902"/>
        <w:gridCol w:w="2294"/>
        <w:gridCol w:w="2190"/>
      </w:tblGrid>
      <w:tr>
        <w:trPr>
          <w:tblHeader/>
        </w:trPr>
        <w:tc>
          <w:tcPr>
            <w:tcW w:type="dxa" w:w="1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Програма</w:t>
            </w:r>
          </w:p>
        </w:tc>
        <w:tc>
          <w:tcPr>
            <w:tcW w:type="dxa" w:w="198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Правова основа</w:t>
            </w:r>
          </w:p>
        </w:tc>
        <w:tc>
          <w:tcPr>
            <w:tcW w:type="dxa" w:w="19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Бюджет 2021–2027</w:t>
            </w:r>
          </w:p>
        </w:tc>
        <w:tc>
          <w:tcPr>
            <w:tcW w:type="dxa" w:w="22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Управління</w:t>
            </w:r>
          </w:p>
        </w:tc>
        <w:tc>
          <w:tcPr>
            <w:tcW w:type="dxa" w:w="21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Статус України</w:t>
            </w: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Erasmus+</w:t>
            </w:r>
          </w:p>
        </w:tc>
        <w:tc>
          <w:tcPr>
            <w:tcW w:type="dxa" w:w="198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 (ЄС) 2021/817</w:t>
            </w:r>
          </w:p>
        </w:tc>
        <w:tc>
          <w:tcPr>
            <w:tcW w:type="dxa" w:w="19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26,2 млрд євро</w:t>
            </w:r>
          </w:p>
        </w:tc>
        <w:tc>
          <w:tcPr>
            <w:tcW w:type="dxa" w:w="22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EACEA (централізовані дії); національні агентства (децентралізовані)</w:t>
            </w:r>
          </w:p>
        </w:tc>
        <w:tc>
          <w:tcPr>
            <w:tcW w:type="dxa" w:w="21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Третя країна, не асоційована до програми (Регіон 2)</w:t>
            </w: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Horizon Europe</w:t>
            </w:r>
          </w:p>
        </w:tc>
        <w:tc>
          <w:tcPr>
            <w:tcW w:type="dxa" w:w="198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 (ЄС) 2021/695; Рішення Ради (ЄС) 2021/764</w:t>
            </w:r>
          </w:p>
        </w:tc>
        <w:tc>
          <w:tcPr>
            <w:tcW w:type="dxa" w:w="19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95,5 млрд євро</w:t>
            </w:r>
          </w:p>
        </w:tc>
        <w:tc>
          <w:tcPr>
            <w:tcW w:type="dxa" w:w="22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Комісія; REA, ERCEA, EISMEA, HaDEA, CINEA</w:t>
            </w:r>
          </w:p>
        </w:tc>
        <w:tc>
          <w:tcPr>
            <w:tcW w:type="dxa" w:w="21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Асоційована країна (з 9.06.2022, ретроактивно з 1.01.2021)</w:t>
            </w: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Creative Europe</w:t>
            </w:r>
          </w:p>
        </w:tc>
        <w:tc>
          <w:tcPr>
            <w:tcW w:type="dxa" w:w="198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 (ЄС) 2021/818</w:t>
            </w:r>
          </w:p>
        </w:tc>
        <w:tc>
          <w:tcPr>
            <w:tcW w:type="dxa" w:w="19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2,44 млрд євро</w:t>
            </w:r>
          </w:p>
        </w:tc>
        <w:tc>
          <w:tcPr>
            <w:tcW w:type="dxa" w:w="22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EACEA</w:t>
            </w:r>
          </w:p>
        </w:tc>
        <w:tc>
          <w:tcPr>
            <w:tcW w:type="dxa" w:w="21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Учасниця програми (з 2016 р.)</w:t>
            </w: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LIFE</w:t>
            </w:r>
          </w:p>
        </w:tc>
        <w:tc>
          <w:tcPr>
            <w:tcW w:type="dxa" w:w="198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 (ЄС) 2021/783</w:t>
            </w:r>
          </w:p>
        </w:tc>
        <w:tc>
          <w:tcPr>
            <w:tcW w:type="dxa" w:w="19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5,43 млрд євро</w:t>
            </w:r>
          </w:p>
        </w:tc>
        <w:tc>
          <w:tcPr>
            <w:tcW w:type="dxa" w:w="22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CINEA</w:t>
            </w:r>
          </w:p>
        </w:tc>
        <w:tc>
          <w:tcPr>
            <w:tcW w:type="dxa" w:w="21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Асоційована країна (з червня 2022 р.)</w:t>
            </w: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Digital Europe</w:t>
            </w:r>
          </w:p>
        </w:tc>
        <w:tc>
          <w:tcPr>
            <w:tcW w:type="dxa" w:w="198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 (ЄС) 2021/694</w:t>
            </w:r>
          </w:p>
        </w:tc>
        <w:tc>
          <w:tcPr>
            <w:tcW w:type="dxa" w:w="19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понад 8,1 млрд євро</w:t>
            </w:r>
          </w:p>
        </w:tc>
        <w:tc>
          <w:tcPr>
            <w:tcW w:type="dxa" w:w="22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DG CNECT, HaDEA, Європейський центр компетенцій з кібербезпеки</w:t>
            </w:r>
          </w:p>
        </w:tc>
        <w:tc>
          <w:tcPr>
            <w:tcW w:type="dxa" w:w="21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Асоційована країна (угода від 5.09.2022)</w:t>
            </w:r>
          </w:p>
        </w:tc>
      </w:tr>
      <w:tr>
        <w:trPr>
          <w:tblHeader w:val="false"/>
        </w:trPr>
        <w:tc>
          <w:tcPr>
            <w:tcW w:type="dxa" w:w="126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</w:t>
            </w:r>
          </w:p>
        </w:tc>
        <w:tc>
          <w:tcPr>
            <w:tcW w:type="dxa" w:w="198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Регламент (ЄС) 2021/1059</w:t>
            </w:r>
          </w:p>
        </w:tc>
        <w:tc>
          <w:tcPr>
            <w:tcW w:type="dxa" w:w="19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у складі політики згуртованості</w:t>
            </w:r>
          </w:p>
        </w:tc>
        <w:tc>
          <w:tcPr>
            <w:tcW w:type="dxa" w:w="22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Спільне управління (органи управління програм)</w:t>
            </w:r>
          </w:p>
        </w:tc>
        <w:tc>
          <w:tcPr>
            <w:tcW w:type="dxa" w:w="21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Партнерська країна програм Interreg NEXT і Дунайського регіону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автором на основі регламентів програм і [19–26].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1. Erasmus+ як програма розвитку освіти, академічної мобільності та міжнародного партнерства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 і правова основа.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Erasmus+ (Регламент (ЄС) 2021/817, правова основа — ст. 165(4), 166(4) ДФЄС) підтримує освітній, професійний і особистісний розвиток людей у сферах освіти, навчання, молоді та спорту в Європі та за її межами, сприяючи сталому зростанню, якісній зайнятості, соціальній згуртованості, інноваціям і зміцненню європейської ідентичності. Бюджет 2021–2027 рр. — 26,2 млрд євро; бюджет 2026 р. — близько 5,2 млрд євро (очікувана кількість учасників — близько 1,275 млн осіб і понад 100 тис. організацій) [20].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6.2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Структура Erasmus+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6"/>
        <w:gridCol w:w="2313"/>
        <w:gridCol w:w="3222"/>
        <w:gridCol w:w="2177"/>
      </w:tblGrid>
      <w:tr>
        <w:trPr>
          <w:tblHeader/>
        </w:trPr>
        <w:tc>
          <w:tcPr>
            <w:tcW w:type="dxa" w:w="19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Ключова дія</w:t>
            </w:r>
          </w:p>
        </w:tc>
        <w:tc>
          <w:tcPr>
            <w:tcW w:type="dxa" w:w="2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Зміст</w:t>
            </w:r>
          </w:p>
        </w:tc>
        <w:tc>
          <w:tcPr>
            <w:tcW w:type="dxa" w:w="32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Приклади дій</w:t>
            </w:r>
          </w:p>
        </w:tc>
        <w:tc>
          <w:tcPr>
            <w:tcW w:type="dxa" w:w="21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Доступність для українських організацій</w:t>
            </w:r>
          </w:p>
        </w:tc>
      </w:tr>
      <w:tr>
        <w:trPr>
          <w:tblHeader w:val="false"/>
        </w:trPr>
        <w:tc>
          <w:tcPr>
            <w:tcW w:type="dxa" w:w="19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КД1 — Мобільність з метою навчання</w:t>
            </w:r>
          </w:p>
        </w:tc>
        <w:tc>
          <w:tcPr>
            <w:tcW w:type="dxa" w:w="2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Мобільність студентів, персоналу, учнів, молоді</w:t>
            </w:r>
          </w:p>
        </w:tc>
        <w:tc>
          <w:tcPr>
            <w:tcW w:type="dxa" w:w="32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Проєкти мобільності у вищій освіті, зокрема міжнародна кредитна мобільність; Erasmus Mundus (стипендії)</w:t>
            </w:r>
          </w:p>
        </w:tc>
        <w:tc>
          <w:tcPr>
            <w:tcW w:type="dxa" w:w="21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Через партнерів із держав-членів та асоційованих країн (міжнародна мобільність)</w:t>
            </w:r>
          </w:p>
        </w:tc>
      </w:tr>
      <w:tr>
        <w:trPr>
          <w:tblHeader w:val="false"/>
        </w:trPr>
        <w:tc>
          <w:tcPr>
            <w:tcW w:type="dxa" w:w="19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КД2 — Співпраця між організаціями та установами</w:t>
            </w:r>
          </w:p>
        </w:tc>
        <w:tc>
          <w:tcPr>
            <w:tcW w:type="dxa" w:w="2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Партнерства для співпраці, досконалості та інновацій; розбудова спроможності</w:t>
            </w:r>
          </w:p>
        </w:tc>
        <w:tc>
          <w:tcPr>
            <w:tcW w:type="dxa" w:w="32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Партнерства для співпраці; Європейські університети; Erasmus Mundus Joint Masters; розбудова спроможності у вищій освіті (CBHE), професійній освіті, молодіжній сфері, спорті</w:t>
            </w:r>
          </w:p>
        </w:tc>
        <w:tc>
          <w:tcPr>
            <w:tcW w:type="dxa" w:w="21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CBHE, CB VET, CB Youth — безпосередньо; інші — як партнер за визначених умов</w:t>
            </w:r>
          </w:p>
        </w:tc>
      </w:tr>
      <w:tr>
        <w:trPr>
          <w:tblHeader w:val="false"/>
        </w:trPr>
        <w:tc>
          <w:tcPr>
            <w:tcW w:type="dxa" w:w="19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КД3 — Підтримка розвитку політики та співпраці</w:t>
            </w:r>
          </w:p>
        </w:tc>
        <w:tc>
          <w:tcPr>
            <w:tcW w:type="dxa" w:w="2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Експериментальна політика, мережі, молодіжний діалог</w:t>
            </w:r>
          </w:p>
        </w:tc>
        <w:tc>
          <w:tcPr>
            <w:tcW w:type="dxa" w:w="32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Європейська молодіжна подія; дії для розвитку політики</w:t>
            </w:r>
          </w:p>
        </w:tc>
        <w:tc>
          <w:tcPr>
            <w:tcW w:type="dxa" w:w="21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Обмежено</w:t>
            </w:r>
          </w:p>
        </w:tc>
      </w:tr>
      <w:tr>
        <w:trPr>
          <w:tblHeader w:val="false"/>
        </w:trPr>
        <w:tc>
          <w:tcPr>
            <w:tcW w:type="dxa" w:w="192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Jean Monnet</w:t>
            </w:r>
          </w:p>
        </w:tc>
        <w:tc>
          <w:tcPr>
            <w:tcW w:type="dxa" w:w="2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Викладання і дослідження з питань ЄС</w:t>
            </w:r>
          </w:p>
        </w:tc>
        <w:tc>
          <w:tcPr>
            <w:tcW w:type="dxa" w:w="322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Модулі, кафедри, центри досконалості, дії для шкіл</w:t>
            </w:r>
          </w:p>
        </w:tc>
        <w:tc>
          <w:tcPr>
            <w:tcW w:type="dxa" w:w="217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Безпосередньо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Erasmus+ Programme Guide 2026 [20].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Горизонтальні пріоритети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програми: інклюзія та різноманіття; цифрова трансформація; довкілля та боротьба зі зміною клімату; участь у демократичному житті, спільні цінності та громадянська активність.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Учасники.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Програма розрізняє держави — члени ЄС і треті країни, асоційовані до програми (Північна Македонія, Сербія, Ісландія, Ліхтенштейн, Норвегія, Туреччина), та треті країни, не асоційовані до програми. Україна належить до останньої групи (Регіон 2 «Східне сусідство»), тому може брати участь переважно в міжнародному вимірі програми. Для закладів вищої освіти України найважливішими діями є: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розбудова спроможності у вищій освіті (CBHE)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напрям 1 «Сприяння доступу» (200–400 тис. євро), напрям 2 «Партнерства для трансформації» (400–800 тис. євро), напрям 3 «Структурна реформа» (600 тис. — 1 млн євро); критерії: доречність (30 балів), якість дизайну та реалізації (30), якість партнерства (20), сталість, вплив і поширення (20); мінімум — 60 балів і половина максимуму за кожним критерієм [10];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Jean Monnet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модулі, кафедри, центри досконалості з європейських студій;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міжнародна кредитна мобільність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 партнерстві з європейськими ЗВО;</w:t>
      </w:r>
    </w:p>
    <w:p>
      <w:pPr>
        <w:pStyle w:val="ListParagraph"/>
        <w:numPr>
          <w:ilvl w:val="0"/>
          <w:numId w:val="2"/>
        </w:numPr>
        <w:spacing w:after="0" w:line="360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Erasmus Mundus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спільні магістерські програми та стипендії.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Результати для України (приклади):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 2024 р. відібрано 14 проєктів CBHE за участі 65 українських організацій; у 2025 р. українські університети виграли 19 проєктів Jean Monnet (15 модулів, 3 кафедри, 1 центр досконалості); у 2025 р. — 8 проєктів розбудови спроможності в молодіжній сфері (12 українських партнерів) і 6 проєктів у професійній освіті (17 українських організацій); у 2026 р. 19 громадян України стали учасниками програм Erasmus Mundus. Програма також зберігає спеціальні заходи підтримки учасників, які постраждали від війни [21].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Стратегічним напрямом Erasmus+ є ініціатива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«Європейські університети»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— транснаціональні альянси закладів вищої освіти, що створюють спільні освітні, дослідницькі та інноваційні стратегії, спільні програми і міжуніверситетські кампуси. У 2026 р. на подальше фінансування альянсів передбачено 145,6 млн євро перехідного фінансування. Українські університети можуть долучатися до альянсів як асоційовані партнери, що відкриває шлях до інтеграції в європейські міжуніверситетські мережі ще до повної асоціації України до програми. У ширшому контексті Erasmus+ є основним фінансовим інструментом Союзу навичок (2025) і реалізації цілей Європейського освітнього простору.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Перспектива.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Пропозиція БФР 2028–2034 рр. передбачає Erasmus+ (разом з European Solidarity Corps) обсягом 40,8 млрд євро.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2. Horizon Europe як інструмент підтримки науки, інновацій і дослідницьких консорціумів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 і структура.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Horizon Europe (Регламент (ЄС) 2021/695; Спеціальна програма — Рішення Ради (ЄС) 2021/764) — найбільша у світі транснаціональна програма досліджень та інновацій (95,5 млрд євро, включно з 5,4 млрд євро NextGenerationEU). Її мета — посилення наукових і технологічних основ ЄС, сприяння конкурентоспроможності та реалізації стратегічних пріоритетів, зокрема зеленого і цифрового переходів [19; 22].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6.3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Структура Horizon Europe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98"/>
        <w:gridCol w:w="4392"/>
        <w:gridCol w:w="2648"/>
      </w:tblGrid>
      <w:tr>
        <w:trPr>
          <w:tblHeader/>
        </w:trPr>
        <w:tc>
          <w:tcPr>
            <w:tcW w:type="dxa" w:w="25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Компонент</w:t>
            </w:r>
          </w:p>
        </w:tc>
        <w:tc>
          <w:tcPr>
            <w:tcW w:type="dxa" w:w="43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Складові</w:t>
            </w:r>
          </w:p>
        </w:tc>
        <w:tc>
          <w:tcPr>
            <w:tcW w:type="dxa" w:w="26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Типові учасники</w:t>
            </w:r>
          </w:p>
        </w:tc>
      </w:tr>
      <w:tr>
        <w:trPr>
          <w:tblHeader w:val="false"/>
        </w:trPr>
        <w:tc>
          <w:tcPr>
            <w:tcW w:type="dxa" w:w="25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Стовп I «Відмінна наука»</w:t>
            </w:r>
          </w:p>
        </w:tc>
        <w:tc>
          <w:tcPr>
            <w:tcW w:type="dxa" w:w="43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Європейська дослідницька рада (ERC); дії Марії Склодовської-Кюрі (MSCA); дослідницькі інфраструктури</w:t>
            </w:r>
          </w:p>
        </w:tc>
        <w:tc>
          <w:tcPr>
            <w:tcW w:type="dxa" w:w="26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Індивідуальні дослідники, університети, наукові установи</w:t>
            </w:r>
          </w:p>
        </w:tc>
      </w:tr>
      <w:tr>
        <w:trPr>
          <w:tblHeader w:val="false"/>
        </w:trPr>
        <w:tc>
          <w:tcPr>
            <w:tcW w:type="dxa" w:w="25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Стовп II «Глобальні виклики та європейська промислова конкурентоспроможність»</w:t>
            </w:r>
          </w:p>
        </w:tc>
        <w:tc>
          <w:tcPr>
            <w:tcW w:type="dxa" w:w="43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Шість кластерів: 1) Здоров’я; 2) Культура, креативність та інклюзивне суспільство; 3) Цивільна безпека; 4) Цифрові технології, промисловість і космос; 5) Клімат, енергетика і мобільність; 6) Продовольство, біоекономіка, природні ресурси, сільське господарство і довкілля; Спільний дослідницький центр</w:t>
            </w:r>
          </w:p>
        </w:tc>
        <w:tc>
          <w:tcPr>
            <w:tcW w:type="dxa" w:w="26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Консорціуми університетів, дослідницьких організацій, підприємств, органів влади</w:t>
            </w:r>
          </w:p>
        </w:tc>
      </w:tr>
      <w:tr>
        <w:trPr>
          <w:tblHeader w:val="false"/>
        </w:trPr>
        <w:tc>
          <w:tcPr>
            <w:tcW w:type="dxa" w:w="25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Стовп III «Інноваційна Європа»</w:t>
            </w:r>
          </w:p>
        </w:tc>
        <w:tc>
          <w:tcPr>
            <w:tcW w:type="dxa" w:w="43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Європейська рада з інновацій (EIC); європейські інноваційні екосистеми; Європейський інститут інновацій і технологій (EIT)</w:t>
            </w:r>
          </w:p>
        </w:tc>
        <w:tc>
          <w:tcPr>
            <w:tcW w:type="dxa" w:w="26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Стартапи, МСП, інноваційні екосистеми</w:t>
            </w:r>
          </w:p>
        </w:tc>
      </w:tr>
      <w:tr>
        <w:trPr>
          <w:tblHeader w:val="false"/>
        </w:trPr>
        <w:tc>
          <w:tcPr>
            <w:tcW w:type="dxa" w:w="25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Розширення участі та зміцнення ERA (WIDERA)</w:t>
            </w:r>
          </w:p>
        </w:tc>
        <w:tc>
          <w:tcPr>
            <w:tcW w:type="dxa" w:w="43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Teaming, Twinning, ERA Chairs, Excellence Hubs, механізм Hop On</w:t>
            </w:r>
          </w:p>
        </w:tc>
        <w:tc>
          <w:tcPr>
            <w:tcW w:type="dxa" w:w="26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Організації з держав із нижчими показниками в дослідженнях та інноваціях</w:t>
            </w:r>
          </w:p>
        </w:tc>
      </w:tr>
      <w:tr>
        <w:trPr>
          <w:tblHeader w:val="false"/>
        </w:trPr>
        <w:tc>
          <w:tcPr>
            <w:tcW w:type="dxa" w:w="259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Місії ЄС</w:t>
            </w:r>
          </w:p>
        </w:tc>
        <w:tc>
          <w:tcPr>
            <w:tcW w:type="dxa" w:w="439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Адаптація до зміни клімату; рак; відновлення океанів і вод; 100 кліматично нейтральних і розумних міст; ґрунти</w:t>
            </w:r>
          </w:p>
        </w:tc>
        <w:tc>
          <w:tcPr>
            <w:tcW w:type="dxa" w:w="26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Міста, регіони, консорціуми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[19; 22].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Типи дій: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дослідницькі та інноваційні дії (RIA, до 100 % прийнятних витрат), інноваційні дії (IA, 70 % для прибуткових організацій), координаційні та підтримувальні дії (CSA), програмне співфінансування, гранти ERC і MSCA. Проєкти оцінюються за трьома критеріями: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досконалість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вплив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якість і ефективність реалізації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(оцінки 0–5, поріг — 3 за кожним критерієм і 10 загалом для більшості дій).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Робоча програма 2026–2027 рр.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(ухвалена 12 грудня 2025 р.) обсягом 14 млрд євро є на третину коротшою за попередню, передбачає більше одноразових виплат (близько половини бюджету конкурсів), дворівневе оцінювання для 41 теми, горизонтальні конкурси з декарбонізації та довіреного штучного інтелекту, розширення ініціативи «Обирай Європу» [23].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Україна.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Угода про асоціацію України до Horizon Europe та Програми досліджень і навчання Євратому набула чинності 9 червня 2022 р. (із ретроактивним застосуванням з 1 січня 2021 р.); українські організації беруть участь на рівних умовах із державами-членами, зі звільненням України від фінансового внеску. За даними Офісу Horizon Europe в Україні (станом на грудень 2025 р.), українські учасники отримали 64,27 млн євро (за весь Horizon 2020 — 48,87 млн євро); кількість унікальних організацій-учасниць зросла до 236; рівень успішності заявок — 13,37 % (у Horizon 2020 — 9,33 %); Україна посідає 7-ме місце серед 22 асоційованих країн за участю і 8-ме — за обсягом фінансування [24]. Спеціальні заходи підтримки: MSCA4Ukraine (25 млн євро), EIC4Ukraine (20 млн євро), доступ до дослідницьких інфраструктур, механізм Hop On.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Попри позитивну динаміку, участь України має структурні обмеження: переважання ролі партнера над роллю координатора, концентрація участі в невеликій кількості провідних установ і регіонів, обмежена спроможність до управління великими консорціумами, нестача власних коштів для підготовчого етапу. Для їх подолання ключову роль відіграють Національні контактні пункти, Офіс Horizon Europe в Україні при Національному фонді досліджень України та інституційні офіси підтримки проєктів у ЗВО. Декомпозиційний аналіз фінансування міжнародних грантових угод засвідчує, що частка партнера в бюджеті консорціуму визначається насамперед обсягом робочих пакетів, за які він відповідає, тому стратегією зростання є перехід від ролі «виконавця завдань» до лідерства в робочих пакетах [2].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Перспектива.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Пропозиція БФР 2028–2034 рр. — 175 млрд євро для рамкової програми та тісна інтеграція з Європейським фондом конкурентоспроможності.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3. Creative Europe у розвитку культурного, креативного та медійного секторів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 і структура.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Creative Europe (Регламент (ЄС) 2021/818; бюджет — 2,44 млрд євро) спрямована на збереження і розвиток європейського культурного та мовного різноманіття, спадщини і посилення конкурентоспроможності культурного, креативного й аудіовізуального секторів.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6.4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Складники Creative Europe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18"/>
        <w:gridCol w:w="3185"/>
        <w:gridCol w:w="4235"/>
      </w:tblGrid>
      <w:tr>
        <w:trPr>
          <w:tblHeader/>
        </w:trPr>
        <w:tc>
          <w:tcPr>
            <w:tcW w:type="dxa" w:w="22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Складник</w:t>
            </w:r>
          </w:p>
        </w:tc>
        <w:tc>
          <w:tcPr>
            <w:tcW w:type="dxa" w:w="31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Зміст</w:t>
            </w:r>
          </w:p>
        </w:tc>
        <w:tc>
          <w:tcPr>
            <w:tcW w:type="dxa" w:w="423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Приклади дій</w:t>
            </w:r>
          </w:p>
        </w:tc>
      </w:tr>
      <w:tr>
        <w:trPr>
          <w:tblHeader w:val="false"/>
        </w:trPr>
        <w:tc>
          <w:tcPr>
            <w:tcW w:type="dxa" w:w="22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«Культура»</w:t>
            </w:r>
          </w:p>
        </w:tc>
        <w:tc>
          <w:tcPr>
            <w:tcW w:type="dxa" w:w="31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Підтримка культурних і креативних секторів, крім аудіовізуального</w:t>
            </w:r>
          </w:p>
        </w:tc>
        <w:tc>
          <w:tcPr>
            <w:tcW w:type="dxa" w:w="423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Проєкти європейської співпраці; мережі; платформи; літературний переклад; мобільність митців (Culture Moves Europe)</w:t>
            </w:r>
          </w:p>
        </w:tc>
      </w:tr>
      <w:tr>
        <w:trPr>
          <w:tblHeader w:val="false"/>
        </w:trPr>
        <w:tc>
          <w:tcPr>
            <w:tcW w:type="dxa" w:w="22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MEDIA</w:t>
            </w:r>
          </w:p>
        </w:tc>
        <w:tc>
          <w:tcPr>
            <w:tcW w:type="dxa" w:w="31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Підтримка аудіовізуальної індустрії</w:t>
            </w:r>
          </w:p>
        </w:tc>
        <w:tc>
          <w:tcPr>
            <w:tcW w:type="dxa" w:w="423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Розвиток і дистрибуція фільмів; фестивалі; навчання професіоналів; медіаграмотність</w:t>
            </w:r>
          </w:p>
        </w:tc>
      </w:tr>
      <w:tr>
        <w:trPr>
          <w:tblHeader w:val="false"/>
        </w:trPr>
        <w:tc>
          <w:tcPr>
            <w:tcW w:type="dxa" w:w="221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Міжсекторальний складник</w:t>
            </w:r>
          </w:p>
        </w:tc>
        <w:tc>
          <w:tcPr>
            <w:tcW w:type="dxa" w:w="318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Інновації, новинні медіа, мережа Бюро «Креативна Європа»</w:t>
            </w:r>
          </w:p>
        </w:tc>
        <w:tc>
          <w:tcPr>
            <w:tcW w:type="dxa" w:w="423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Creative Innovation Lab; журналістські партнерства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[25].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Україна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бере участь у програмі з 2016 р. (угода підписана в листопаді 2015 р.; участь продовжено в програмі 2021–2027 рр.) і має національне Бюро «Креативна Європа». Після 2022 р. ЄС запровадив спеціальні конкурси для підтримки українських культурних і креативних секторів (зокрема конкурс для України обсягом 5 млн євро у 2025 р.). Для України Creative Europe має значення не лише як джерело фінансування, а й як інструмент збереження культурної спадщини, протидії дезінформації та інтеграції до європейського культурного простору.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Перспектива.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Пропозиція БФР 2028–2034 рр. передбачає нову програму AgoraEU (8,6 млрд євро), що об’єднає культуру, медіа та цінності.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4. LIFE як програма підтримки екологічної політики, кліматичних дій і сталого розвитку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 і структура.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LIFE (Регламент (ЄС) 2021/783; 5,43 млрд євро) — єдина програма ЄС, повністю присвячена довкіллю і клімату. Вона має чотири підпрограми: «Природа і біорізноманіття»; «Циркулярна економіка та якість життя»; «Пом’якшення наслідків зміни клімату та адаптація»; «Перехід до чистої енергетики».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6.5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Конкурси LIFE 2026 р. (оголошені 21 квітня 2026 р.; разом 601,5 млн євро)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25"/>
        <w:gridCol w:w="1573"/>
        <w:gridCol w:w="5840"/>
      </w:tblGrid>
      <w:tr>
        <w:trPr>
          <w:tblHeader/>
        </w:trPr>
        <w:tc>
          <w:tcPr>
            <w:tcW w:type="dxa" w:w="22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Тип проєктів</w:t>
            </w:r>
          </w:p>
        </w:tc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Обсяг</w:t>
            </w:r>
          </w:p>
        </w:tc>
        <w:tc>
          <w:tcPr>
            <w:tcW w:type="dxa" w:w="58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Структура</w:t>
            </w:r>
          </w:p>
        </w:tc>
      </w:tr>
      <w:tr>
        <w:trPr>
          <w:tblHeader w:val="false"/>
        </w:trPr>
        <w:tc>
          <w:tcPr>
            <w:tcW w:type="dxa" w:w="22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Стандартні проєкти дій (SAP)</w:t>
            </w:r>
          </w:p>
        </w:tc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352,5 млн євро</w:t>
            </w:r>
          </w:p>
        </w:tc>
        <w:tc>
          <w:tcPr>
            <w:tcW w:type="dxa" w:w="58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Природа і біорізноманіття — 166 млн; циркулярна економіка і нульове забруднення — 79 млн; адаптація — 28 млн; пом’якшення — 28 млн; врядування у сферах природи, довкілля і клімату — 18 млн євро</w:t>
            </w:r>
          </w:p>
        </w:tc>
      </w:tr>
      <w:tr>
        <w:trPr>
          <w:tblHeader w:val="false"/>
        </w:trPr>
        <w:tc>
          <w:tcPr>
            <w:tcW w:type="dxa" w:w="22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Стратегічні проєкти</w:t>
            </w:r>
          </w:p>
        </w:tc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163 млн євро</w:t>
            </w:r>
          </w:p>
        </w:tc>
        <w:tc>
          <w:tcPr>
            <w:tcW w:type="dxa" w:w="58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Стратегічні проєкти природи (75 млн); стратегічні інтегровані проєкти довкілля (58 млн) і клімату (30 млн євро)</w:t>
            </w:r>
          </w:p>
        </w:tc>
      </w:tr>
      <w:tr>
        <w:trPr>
          <w:tblHeader w:val="false"/>
        </w:trPr>
        <w:tc>
          <w:tcPr>
            <w:tcW w:type="dxa" w:w="22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Інші дії</w:t>
            </w:r>
          </w:p>
        </w:tc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85,5 млн євро</w:t>
            </w:r>
          </w:p>
        </w:tc>
        <w:tc>
          <w:tcPr>
            <w:tcW w:type="dxa" w:w="58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Перехід до чистої енергетики (координаційні та підтримувальні дії)</w:t>
            </w:r>
          </w:p>
        </w:tc>
      </w:tr>
      <w:tr>
        <w:trPr>
          <w:tblHeader w:val="false"/>
        </w:trPr>
        <w:tc>
          <w:tcPr>
            <w:tcW w:type="dxa" w:w="22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Технічна допомога</w:t>
            </w:r>
          </w:p>
        </w:tc>
        <w:tc>
          <w:tcPr>
            <w:tcW w:type="dxa" w:w="157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 млн євро</w:t>
            </w:r>
          </w:p>
        </w:tc>
        <w:tc>
          <w:tcPr>
            <w:tcW w:type="dxa" w:w="584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Підготовка стратегічних проєктів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CINEA [26]. Кінцевий строк подання стандартних проєктів — 22 вересня 2026 р.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Особливістю LIFE є орієнтація на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демонстраційні та найкращі практики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, що можуть бути відтворені в інших регіонах, а також на підтримку імплементації екологічного законодавства ЄС.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Україна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асоційована до LIFE з червня 2022 р., що дає українським громадам, екологічним організаціям, науковим установам і підприємствам можливість подавати заявки й координувати проєкти. Для України програма є інструментом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наближення до розділу 27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acquis і «зеленого» відновлення територій, постраждалих від війни.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5. Digital Europe та підтримка цифрової трансформації економіки й управління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 і структура.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Digital Europe (Регламент (ЄС) 2021/694; понад 8,1 млрд євро) — перша програма ЄС, спрямована не на дослідження, а на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розгортання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цифрових технологій у суспільстві, економіці та публічному управлінні. Вона доповнює Horizon Europe (дослідження) і CEF Digital (мережі).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6.6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Специфічні цілі Digital Europe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48"/>
        <w:gridCol w:w="5790"/>
      </w:tblGrid>
      <w:tr>
        <w:trPr>
          <w:tblHeader/>
        </w:trPr>
        <w:tc>
          <w:tcPr>
            <w:tcW w:type="dxa" w:w="38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Ціль</w:t>
            </w:r>
          </w:p>
        </w:tc>
        <w:tc>
          <w:tcPr>
            <w:tcW w:type="dxa" w:w="57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Зміст</w:t>
            </w:r>
          </w:p>
        </w:tc>
      </w:tr>
      <w:tr>
        <w:trPr>
          <w:tblHeader w:val="false"/>
        </w:trPr>
        <w:tc>
          <w:tcPr>
            <w:tcW w:type="dxa" w:w="38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Високопродуктивні обчислення</w:t>
            </w:r>
          </w:p>
        </w:tc>
        <w:tc>
          <w:tcPr>
            <w:tcW w:type="dxa" w:w="57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Суперкомп’ютерна інфраструктура (спільне підприємство EuroHPC)</w:t>
            </w:r>
          </w:p>
        </w:tc>
      </w:tr>
      <w:tr>
        <w:trPr>
          <w:tblHeader w:val="false"/>
        </w:trPr>
        <w:tc>
          <w:tcPr>
            <w:tcW w:type="dxa" w:w="38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Штучний інтелект</w:t>
            </w:r>
          </w:p>
        </w:tc>
        <w:tc>
          <w:tcPr>
            <w:tcW w:type="dxa" w:w="57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Платформи, простори даних, тестові й експериментальні установки</w:t>
            </w:r>
          </w:p>
        </w:tc>
      </w:tr>
      <w:tr>
        <w:trPr>
          <w:tblHeader w:val="false"/>
        </w:trPr>
        <w:tc>
          <w:tcPr>
            <w:tcW w:type="dxa" w:w="38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Кібербезпека</w:t>
            </w:r>
          </w:p>
        </w:tc>
        <w:tc>
          <w:tcPr>
            <w:tcW w:type="dxa" w:w="57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Спроможності кібербезпеки, мережа центрів кібербезпеки</w:t>
            </w:r>
          </w:p>
        </w:tc>
      </w:tr>
      <w:tr>
        <w:trPr>
          <w:tblHeader w:val="false"/>
        </w:trPr>
        <w:tc>
          <w:tcPr>
            <w:tcW w:type="dxa" w:w="38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Передові цифрові навички</w:t>
            </w:r>
          </w:p>
        </w:tc>
        <w:tc>
          <w:tcPr>
            <w:tcW w:type="dxa" w:w="57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Магістерські програми, короткі курси, академії цифрових навичок</w:t>
            </w:r>
          </w:p>
        </w:tc>
      </w:tr>
      <w:tr>
        <w:trPr>
          <w:tblHeader w:val="false"/>
        </w:trPr>
        <w:tc>
          <w:tcPr>
            <w:tcW w:type="dxa" w:w="38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Розгортання та інтероперабельність</w:t>
            </w:r>
          </w:p>
        </w:tc>
        <w:tc>
          <w:tcPr>
            <w:tcW w:type="dxa" w:w="57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Європейські цифрові інноваційні хаби (EDIH), цифрові публічні послуги, довіра</w:t>
            </w:r>
          </w:p>
        </w:tc>
      </w:tr>
      <w:tr>
        <w:trPr>
          <w:tblHeader w:val="false"/>
        </w:trPr>
        <w:tc>
          <w:tcPr>
            <w:tcW w:type="dxa" w:w="384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Напівпровідники</w:t>
            </w:r>
          </w:p>
        </w:tc>
        <w:tc>
          <w:tcPr>
            <w:tcW w:type="dxa" w:w="579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Пілотні лінії, центри компетенцій (після змін 2023 р.)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[8; 22].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Робоча програма на 2025–2027 рр. (ухвалена 28 березня 2025 р.) фокусується на штучному інтелекті, кібербезпеці, передових цифрових навичках і EDIH. 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Україна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асоційована до Digital Europe (угода від 5 вересня 2022 р.), однак участь третіх країн в окремих діях, пов’язаних із кібербезпекою, штучним інтелектом і високопродуктивними обчисленнями, може обмежуватися з міркувань безпеки відповідно до положень регламенту програми. Для України Digital Europe є інструментом інтеграції до цифрового ринку ЄС, розвитку цифрових навичок і європеїзації цифрових публічних послуг.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6. Interreg і програми транскордонного, транснаціонального та міжрегіонального співробітництва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Мета і структура.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Interreg (Регламент (ЄС) 2021/1059) — ціль «Європейське територіальне співробітництво» політики згуртованості. Програма реалізується за принципом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спільного управління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: програми керуються спільними органами управління і секретаріатами, а рішення ухвалюють моніторингові комітети за участі всіх держав програми.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6.7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Напрями Interreg 2021–2027 рр.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86"/>
        <w:gridCol w:w="3556"/>
        <w:gridCol w:w="3596"/>
      </w:tblGrid>
      <w:tr>
        <w:trPr>
          <w:tblHeader/>
        </w:trPr>
        <w:tc>
          <w:tcPr>
            <w:tcW w:type="dxa" w:w="248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Напрям</w:t>
            </w:r>
          </w:p>
        </w:tc>
        <w:tc>
          <w:tcPr>
            <w:tcW w:type="dxa" w:w="35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Зміст</w:t>
            </w:r>
          </w:p>
        </w:tc>
        <w:tc>
          <w:tcPr>
            <w:tcW w:type="dxa" w:w="35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Приклади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A — транскордонне співробітництво</w:t>
            </w:r>
          </w:p>
        </w:tc>
        <w:tc>
          <w:tcPr>
            <w:tcW w:type="dxa" w:w="35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Співпраця суміжних прикордонних регіонів, зокрема на зовнішніх кордонах ЄС (Interreg NEXT)</w:t>
            </w:r>
          </w:p>
        </w:tc>
        <w:tc>
          <w:tcPr>
            <w:tcW w:type="dxa" w:w="35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 NEXT Польща — Україна; Угорщина — Словаччина — Румунія — Україна; Румунія — Україна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B — транснаціональне співробітництво</w:t>
            </w:r>
          </w:p>
        </w:tc>
        <w:tc>
          <w:tcPr>
            <w:tcW w:type="dxa" w:w="35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Співпраця у великих макрорегіонах</w:t>
            </w:r>
          </w:p>
        </w:tc>
        <w:tc>
          <w:tcPr>
            <w:tcW w:type="dxa" w:w="35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 Дунайського регіону (за участі України і Молдови)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 — міжрегіональне співробітництво</w:t>
            </w:r>
          </w:p>
        </w:tc>
        <w:tc>
          <w:tcPr>
            <w:tcW w:type="dxa" w:w="35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Обмін досвідом між регіонами всього ЄС</w:t>
            </w:r>
          </w:p>
        </w:tc>
        <w:tc>
          <w:tcPr>
            <w:tcW w:type="dxa" w:w="35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 Europe, URBACT, ESPON, INTERACT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 — співробітництво найвіддаленіших регіонів</w:t>
            </w:r>
          </w:p>
        </w:tc>
        <w:tc>
          <w:tcPr>
            <w:tcW w:type="dxa" w:w="355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Співпраця з сусідніми третіми країнами</w:t>
            </w:r>
          </w:p>
        </w:tc>
        <w:tc>
          <w:tcPr>
            <w:tcW w:type="dxa" w:w="359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Карибський басейн, Індійський океан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Регламенту (ЄС) 2021/1059.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Крім загальних цілей політики згуртованості, Interreg має дві специфічні цілі: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краще врядування співпраці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та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безпечніша і захищеніша Європа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(зокрема управління кордонами).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6.8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Програми Interreg за участі України (2021–2027 рр.)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4"/>
        <w:gridCol w:w="2144"/>
        <w:gridCol w:w="2737"/>
        <w:gridCol w:w="2593"/>
      </w:tblGrid>
      <w:tr>
        <w:trPr>
          <w:tblHeader/>
        </w:trPr>
        <w:tc>
          <w:tcPr>
            <w:tcW w:type="dxa" w:w="21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Програма</w:t>
            </w:r>
          </w:p>
        </w:tc>
        <w:tc>
          <w:tcPr>
            <w:tcW w:type="dxa" w:w="21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Внесок ЄС</w:t>
            </w:r>
          </w:p>
        </w:tc>
        <w:tc>
          <w:tcPr>
            <w:tcW w:type="dxa" w:w="27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Території України</w:t>
            </w:r>
          </w:p>
        </w:tc>
        <w:tc>
          <w:tcPr>
            <w:tcW w:type="dxa" w:w="25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Пріоритети</w:t>
            </w:r>
          </w:p>
        </w:tc>
      </w:tr>
      <w:tr>
        <w:trPr>
          <w:tblHeader w:val="false"/>
        </w:trPr>
        <w:tc>
          <w:tcPr>
            <w:tcW w:type="dxa" w:w="21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 NEXT Польща — Україна</w:t>
            </w:r>
          </w:p>
        </w:tc>
        <w:tc>
          <w:tcPr>
            <w:tcW w:type="dxa" w:w="21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235,9 млн євро (загальний бюджет — понад 262 млн євро)</w:t>
            </w:r>
          </w:p>
        </w:tc>
        <w:tc>
          <w:tcPr>
            <w:tcW w:type="dxa" w:w="27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Львівська, Волинська, Закарпатська, Рівненська, Тернопільська, Івано-Франківська області</w:t>
            </w:r>
          </w:p>
        </w:tc>
        <w:tc>
          <w:tcPr>
            <w:tcW w:type="dxa" w:w="25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Довкілля, охорона здоров’я, туризм, співпраця, кордони, доступність</w:t>
            </w:r>
          </w:p>
        </w:tc>
      </w:tr>
      <w:tr>
        <w:trPr>
          <w:tblHeader w:val="false"/>
        </w:trPr>
        <w:tc>
          <w:tcPr>
            <w:tcW w:type="dxa" w:w="21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 NEXT Угорщина — Словаччина — Румунія — Україна</w:t>
            </w:r>
          </w:p>
        </w:tc>
        <w:tc>
          <w:tcPr>
            <w:tcW w:type="dxa" w:w="21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83,2 млн євро (загальний бюджет — 94,0 млн євро)</w:t>
            </w:r>
          </w:p>
        </w:tc>
        <w:tc>
          <w:tcPr>
            <w:tcW w:type="dxa" w:w="27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Закарпатська, Івано-Франківська, Чернівецька області</w:t>
            </w:r>
          </w:p>
        </w:tc>
        <w:tc>
          <w:tcPr>
            <w:tcW w:type="dxa" w:w="25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Стійкий і зелений; здоровий і привабливий; співпрацюючий прикордонний регіон</w:t>
            </w:r>
          </w:p>
        </w:tc>
      </w:tr>
      <w:tr>
        <w:trPr>
          <w:tblHeader w:val="false"/>
        </w:trPr>
        <w:tc>
          <w:tcPr>
            <w:tcW w:type="dxa" w:w="21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 NEXT Румунія — Україна</w:t>
            </w:r>
          </w:p>
        </w:tc>
        <w:tc>
          <w:tcPr>
            <w:tcW w:type="dxa" w:w="21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54 млн євро (первинна алокація)</w:t>
            </w:r>
          </w:p>
        </w:tc>
        <w:tc>
          <w:tcPr>
            <w:tcW w:type="dxa" w:w="27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Прикордонні області</w:t>
            </w:r>
          </w:p>
        </w:tc>
        <w:tc>
          <w:tcPr>
            <w:tcW w:type="dxa" w:w="25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Інклюзивна освіта, екстрені служби, адаптація до зміни клімату, біорізноманіття</w:t>
            </w:r>
          </w:p>
        </w:tc>
      </w:tr>
      <w:tr>
        <w:trPr>
          <w:tblHeader w:val="false"/>
        </w:trPr>
        <w:tc>
          <w:tcPr>
            <w:tcW w:type="dxa" w:w="216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 Дунайського регіону</w:t>
            </w:r>
          </w:p>
        </w:tc>
        <w:tc>
          <w:tcPr>
            <w:tcW w:type="dxa" w:w="21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215 млн євро (для всієї програми)</w:t>
            </w:r>
          </w:p>
        </w:tc>
        <w:tc>
          <w:tcPr>
            <w:tcW w:type="dxa" w:w="273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Регіони дунайського басейну</w:t>
            </w:r>
          </w:p>
        </w:tc>
        <w:tc>
          <w:tcPr>
            <w:tcW w:type="dxa" w:w="259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Інновації, відновлювана енергетика, водні ресурси, ринки праці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на основі сайтів програм і [3; 27].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Кошти ЄС, передбачені для припинених програм співпраці з Росією та Білоруссю, частково переспрямовано на програми за участі України та Молдови. Interreg є для українських громад найбільш «наближеним» до структурних фондів інструментом: він формує досвід роботи за правилами спільного управління, що знадобиться після вступу.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7. Роль програм ЄС у розвитку людського капіталу, інституційної спроможності та міжнародних економічних відносин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Програми ЄС створюють ефекти на трьох рівнях —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індивідуальному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(компетентності, мобільність, мережі),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організаційному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(інституційна спроможність, міжнародна репутація, інфраструктура) і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системному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(реформи політик, наближення до acquis, інтеграція до ринків ЄС).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6.9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Порівняльна характеристика програм ЄС за ефектами для України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36"/>
        <w:gridCol w:w="2529"/>
        <w:gridCol w:w="2907"/>
        <w:gridCol w:w="2866"/>
      </w:tblGrid>
      <w:tr>
        <w:trPr>
          <w:tblHeader/>
        </w:trPr>
        <w:tc>
          <w:tcPr>
            <w:tcW w:type="dxa" w:w="13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Програма</w:t>
            </w:r>
          </w:p>
        </w:tc>
        <w:tc>
          <w:tcPr>
            <w:tcW w:type="dxa" w:w="25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Людський капітал</w:t>
            </w:r>
          </w:p>
        </w:tc>
        <w:tc>
          <w:tcPr>
            <w:tcW w:type="dxa" w:w="29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Інституційна спроможність</w:t>
            </w:r>
          </w:p>
        </w:tc>
        <w:tc>
          <w:tcPr>
            <w:tcW w:type="dxa" w:w="28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Міжнародні економічні відносини</w:t>
            </w:r>
          </w:p>
        </w:tc>
      </w:tr>
      <w:tr>
        <w:trPr>
          <w:tblHeader w:val="false"/>
        </w:trPr>
        <w:tc>
          <w:tcPr>
            <w:tcW w:type="dxa" w:w="13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Erasmus+</w:t>
            </w:r>
          </w:p>
        </w:tc>
        <w:tc>
          <w:tcPr>
            <w:tcW w:type="dxa" w:w="25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Мобільність, нові навчальні програми, європейські студії</w:t>
            </w:r>
          </w:p>
        </w:tc>
        <w:tc>
          <w:tcPr>
            <w:tcW w:type="dxa" w:w="29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Модернізація управління ЗВО, інтернаціоналізація</w:t>
            </w:r>
          </w:p>
        </w:tc>
        <w:tc>
          <w:tcPr>
            <w:tcW w:type="dxa" w:w="28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Інтеграція до Європейського освітнього простору; експорт освітніх послуг</w:t>
            </w:r>
          </w:p>
        </w:tc>
      </w:tr>
      <w:tr>
        <w:trPr>
          <w:tblHeader w:val="false"/>
        </w:trPr>
        <w:tc>
          <w:tcPr>
            <w:tcW w:type="dxa" w:w="13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Horizon Europe</w:t>
            </w:r>
          </w:p>
        </w:tc>
        <w:tc>
          <w:tcPr>
            <w:tcW w:type="dxa" w:w="25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Дослідницькі кар’єри, повернення і втримання талантів</w:t>
            </w:r>
          </w:p>
        </w:tc>
        <w:tc>
          <w:tcPr>
            <w:tcW w:type="dxa" w:w="29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Дослідницька інфраструктура, офіси підтримки проєктів</w:t>
            </w:r>
          </w:p>
        </w:tc>
        <w:tc>
          <w:tcPr>
            <w:tcW w:type="dxa" w:w="28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Трансфер технологій, участь у європейських ланцюгах створення вартості</w:t>
            </w:r>
          </w:p>
        </w:tc>
      </w:tr>
      <w:tr>
        <w:trPr>
          <w:tblHeader w:val="false"/>
        </w:trPr>
        <w:tc>
          <w:tcPr>
            <w:tcW w:type="dxa" w:w="13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Creative Europe</w:t>
            </w:r>
          </w:p>
        </w:tc>
        <w:tc>
          <w:tcPr>
            <w:tcW w:type="dxa" w:w="25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Професіоналізація культурних менеджерів, митців</w:t>
            </w:r>
          </w:p>
        </w:tc>
        <w:tc>
          <w:tcPr>
            <w:tcW w:type="dxa" w:w="29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Спроможність культурних інституцій</w:t>
            </w:r>
          </w:p>
        </w:tc>
        <w:tc>
          <w:tcPr>
            <w:tcW w:type="dxa" w:w="28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Експорт креативних продуктів; культурна дипломатія</w:t>
            </w:r>
          </w:p>
        </w:tc>
      </w:tr>
      <w:tr>
        <w:trPr>
          <w:tblHeader w:val="false"/>
        </w:trPr>
        <w:tc>
          <w:tcPr>
            <w:tcW w:type="dxa" w:w="13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LIFE</w:t>
            </w:r>
          </w:p>
        </w:tc>
        <w:tc>
          <w:tcPr>
            <w:tcW w:type="dxa" w:w="25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Екологічна експертиза</w:t>
            </w:r>
          </w:p>
        </w:tc>
        <w:tc>
          <w:tcPr>
            <w:tcW w:type="dxa" w:w="29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Спроможність громад і органів влади до впровадження екологічних стандартів</w:t>
            </w:r>
          </w:p>
        </w:tc>
        <w:tc>
          <w:tcPr>
            <w:tcW w:type="dxa" w:w="28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Відповідність екологічним вимогам ринку ЄС; «зелені» інвестиції</w:t>
            </w:r>
          </w:p>
        </w:tc>
      </w:tr>
      <w:tr>
        <w:trPr>
          <w:tblHeader w:val="false"/>
        </w:trPr>
        <w:tc>
          <w:tcPr>
            <w:tcW w:type="dxa" w:w="13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Digital Europe</w:t>
            </w:r>
          </w:p>
        </w:tc>
        <w:tc>
          <w:tcPr>
            <w:tcW w:type="dxa" w:w="25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Передові цифрові навички</w:t>
            </w:r>
          </w:p>
        </w:tc>
        <w:tc>
          <w:tcPr>
            <w:tcW w:type="dxa" w:w="29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Цифрові публічні послуги, кібербезпека</w:t>
            </w:r>
          </w:p>
        </w:tc>
        <w:tc>
          <w:tcPr>
            <w:tcW w:type="dxa" w:w="28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Інтеграція до єдиного цифрового ринку</w:t>
            </w:r>
          </w:p>
        </w:tc>
      </w:tr>
      <w:tr>
        <w:trPr>
          <w:tblHeader w:val="false"/>
        </w:trPr>
        <w:tc>
          <w:tcPr>
            <w:tcW w:type="dxa" w:w="133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</w:t>
            </w:r>
          </w:p>
        </w:tc>
        <w:tc>
          <w:tcPr>
            <w:tcW w:type="dxa" w:w="252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Досвід транскордонних команд</w:t>
            </w:r>
          </w:p>
        </w:tc>
        <w:tc>
          <w:tcPr>
            <w:tcW w:type="dxa" w:w="290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Спроможність громад до спільного управління</w:t>
            </w:r>
          </w:p>
        </w:tc>
        <w:tc>
          <w:tcPr>
            <w:tcW w:type="dxa" w:w="2866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Розвиток прикордонної економіки, логістики, туризму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складено автором на основі [4–7].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Українські суб’єкти можуть також використовувати інші програми ЄС, до яких Україна асоційована (Single Market Programme, EU4Health — з липня 2022 р. [11], Connecting Europe Facility — з червня 2023 р. [9], Customs, Fiscalis, Механізм цивільного захисту Союзу), а також двосторонні ініціативи ЄС в Україні (EU4Business, House of Europe та ін.). Сукупність цих інструментів формує </w:t>
      </w:r>
      <w:r>
        <w:rPr>
          <w:rFonts w:ascii="Times New Roman" w:cs="Times New Roman" w:eastAsia="Times New Roman" w:hAnsi="Times New Roman"/>
          <w:i/>
          <w:iCs/>
          <w:sz w:val="28"/>
          <w:szCs w:val="28"/>
        </w:rPr>
        <w:t xml:space="preserve">програмний вимір</w:t>
      </w:r>
      <w:r>
        <w:rPr>
          <w:rFonts w:ascii="Times New Roman" w:cs="Times New Roman" w:eastAsia="Times New Roman" w:hAnsi="Times New Roman"/>
          <w:sz w:val="28"/>
          <w:szCs w:val="28"/>
        </w:rPr>
        <w:t xml:space="preserve"> поступової інтеграції України до ЄС, який детально розглядатиметься в темі 7.</w:t>
      </w:r>
    </w:p>
    <w:p>
      <w:pPr>
        <w:keepNext/>
        <w:spacing w:after="40" w:before="120" w:line="276"/>
        <w:jc w:val="right"/>
      </w:pP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Таблиця 6.10</w:t>
      </w:r>
    </w:p>
    <w:p>
      <w:pPr>
        <w:keepNext/>
        <w:spacing w:after="8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Релевантність програм ЄС для різних типів українських організацій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644"/>
        <w:gridCol w:w="1534"/>
        <w:gridCol w:w="1094"/>
        <w:gridCol w:w="1314"/>
        <w:gridCol w:w="1534"/>
        <w:gridCol w:w="1204"/>
        <w:gridCol w:w="1314"/>
      </w:tblGrid>
      <w:tr>
        <w:trPr>
          <w:tblHeader/>
        </w:trPr>
        <w:tc>
          <w:tcPr>
            <w:tcW w:type="dxa" w:w="16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Тип організації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Erasmus+</w:t>
            </w:r>
          </w:p>
        </w:tc>
        <w:tc>
          <w:tcPr>
            <w:tcW w:type="dxa" w:w="10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Horizon Europe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Creative Europe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LIFE</w:t>
            </w:r>
          </w:p>
        </w:tc>
        <w:tc>
          <w:tcPr>
            <w:tcW w:type="dxa" w:w="12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Digital Europe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Interreg NEXT</w:t>
            </w:r>
          </w:p>
        </w:tc>
      </w:tr>
      <w:tr>
        <w:trPr>
          <w:tblHeader w:val="false"/>
        </w:trPr>
        <w:tc>
          <w:tcPr>
            <w:tcW w:type="dxa" w:w="16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Заклади вищої освіти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 (CBHE, Jean Monnet, мобільність)</w:t>
            </w:r>
          </w:p>
        </w:tc>
        <w:tc>
          <w:tcPr>
            <w:tcW w:type="dxa" w:w="10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  <w:tc>
          <w:tcPr>
            <w:tcW w:type="dxa" w:w="12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 (навички)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</w:tr>
      <w:tr>
        <w:trPr>
          <w:tblHeader w:val="false"/>
        </w:trPr>
        <w:tc>
          <w:tcPr>
            <w:tcW w:type="dxa" w:w="16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Наукові установи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0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  <w:tc>
          <w:tcPr>
            <w:tcW w:type="dxa" w:w="12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</w:tr>
      <w:tr>
        <w:trPr>
          <w:tblHeader w:val="false"/>
        </w:trPr>
        <w:tc>
          <w:tcPr>
            <w:tcW w:type="dxa" w:w="16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Територіальні громади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0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 (місії ЄС)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</w:t>
            </w:r>
          </w:p>
        </w:tc>
        <w:tc>
          <w:tcPr>
            <w:tcW w:type="dxa" w:w="12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</w:t>
            </w:r>
          </w:p>
        </w:tc>
      </w:tr>
      <w:tr>
        <w:trPr>
          <w:tblHeader w:val="false"/>
        </w:trPr>
        <w:tc>
          <w:tcPr>
            <w:tcW w:type="dxa" w:w="16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МСП і стартапи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0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 (EIC)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 (креативні індустрії)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  <w:tc>
          <w:tcPr>
            <w:tcW w:type="dxa" w:w="12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 (EDIH)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</w:tr>
      <w:tr>
        <w:trPr>
          <w:tblHeader w:val="false"/>
        </w:trPr>
        <w:tc>
          <w:tcPr>
            <w:tcW w:type="dxa" w:w="16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Громадські організації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 (молодь, спорт)</w:t>
            </w:r>
          </w:p>
        </w:tc>
        <w:tc>
          <w:tcPr>
            <w:tcW w:type="dxa" w:w="10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</w:t>
            </w:r>
          </w:p>
        </w:tc>
        <w:tc>
          <w:tcPr>
            <w:tcW w:type="dxa" w:w="12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</w:tr>
      <w:tr>
        <w:trPr>
          <w:tblHeader w:val="false"/>
        </w:trPr>
        <w:tc>
          <w:tcPr>
            <w:tcW w:type="dxa" w:w="16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Органи публічної влади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0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 (стратегічні проєкти)</w:t>
            </w:r>
          </w:p>
        </w:tc>
        <w:tc>
          <w:tcPr>
            <w:tcW w:type="dxa" w:w="12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 (цифрові послуги)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</w:t>
            </w:r>
          </w:p>
        </w:tc>
      </w:tr>
      <w:tr>
        <w:trPr>
          <w:tblHeader w:val="false"/>
        </w:trPr>
        <w:tc>
          <w:tcPr>
            <w:tcW w:type="dxa" w:w="164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Культурні інституції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09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 (кластер 2)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Висока</w:t>
            </w:r>
          </w:p>
        </w:tc>
        <w:tc>
          <w:tcPr>
            <w:tcW w:type="dxa" w:w="153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2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Низька</w:t>
            </w:r>
          </w:p>
        </w:tc>
        <w:tc>
          <w:tcPr>
            <w:tcW w:type="dxa" w:w="131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Середня (культурна спадщина)</w:t>
            </w:r>
          </w:p>
        </w:tc>
      </w:tr>
    </w:tbl>
    <w:p>
      <w:pPr>
        <w:spacing w:after="60" w:before="0" w:line="240"/>
      </w:pPr>
    </w:p>
    <w:p>
      <w:pPr>
        <w:spacing w:after="120" w:before="0" w:line="240"/>
        <w:jc w:val="left"/>
      </w:pPr>
      <w:r>
        <w:rPr>
          <w:rFonts w:ascii="Times New Roman" w:cs="Times New Roman" w:eastAsia="Times New Roman" w:hAnsi="Times New Roman"/>
          <w:i/>
          <w:iCs/>
          <w:sz w:val="22"/>
          <w:szCs w:val="22"/>
        </w:rPr>
        <w:t xml:space="preserve">Джерело: експертна оцінка автора на основі умов програм. Оцінка є орієнтовною і залежить від конкретних конкурсів.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Висновки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Шість ключових програм ЄС різняться за правовою основою, бюджетами, способами управління і логікою дій, але об’єднані орієнтацією на європейську додану вартість і транснаціональне партнерство.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Erasmus+ (26,2 млрд євро) є основним інструментом освітньої політики; Україна як третя країна, не асоційована до програми, бере участь переважно через CBHE, Jean Monnet, міжнародну мобільність і Erasmus Mundus.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Horizon Europe (95,5 млрд євро) — найбільша програма досліджень та інновацій; асоціація України забезпечила рекордні для неї результати (64,27 млн євро, 236 організацій станом на грудень 2025 р.).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Creative Europe (2,44 млрд євро) підтримує культурні, креативні та медійні сектори; для України вона має і фінансове, і ціннісне значення.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LIFE (5,43 млрд євро) і Digital Europe (понад 8,1 млрд євро) поєднують фінансування з імплементацією законодавства ЄС у сферах довкілля і цифровізації; Україна асоційована до обох програм.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6. Interreg формує досвід спільного управління коштами ЄС; для України доступні програми NEXT з Польщею, Угорщиною, Словаччиною, Румунією і Дунайського регіону.</w:t>
      </w:r>
    </w:p>
    <w:p>
      <w:pPr>
        <w:spacing w:after="0" w:line="360"/>
        <w:ind w:firstLine="709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7. Програми ЄС впливають на людський капітал, інституційну спроможність і міжнародні економічні відносини України, забезпечуючи програмний вимір поступової інтеграції.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Питання для самоконтролю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Охарактеризуйте структуру Erasmus+ за ключовими діями.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Чим відрізняються статуси «асоційована країна» і «третя країна, не асоційована до програми»? Наслідки для України.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Які напрями та критерії оцінювання передбачає дія CBHE?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 Розкрийте структуру Horizon Europe і роль місій ЄС.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 Проаналізуйте результати участі України в Horizon Europe.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 Які складники має Creative Europe і які можливості вона надає Україні?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 Охарактеризуйте підпрограми і типи проєктів LIFE.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8. Чим Digital Europe відрізняється від Horizon Europe за логікою втручання?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9. Які напрями має Interreg і які програми доступні для України?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10. Порівняйте програми ЄС за їхнім впливом на людський капітал, інституційну спроможність і міжнародні економічні відносини.</w:t>
      </w: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Глосарій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60"/>
        <w:gridCol w:w="6378"/>
      </w:tblGrid>
      <w:tr>
        <w:trPr>
          <w:tblHeader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Термін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Визначення</w:t>
            </w:r>
          </w:p>
        </w:tc>
      </w:tr>
      <w:tr>
        <w:trPr>
          <w:tblHeader w:val="false"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Ключова дія (Erasmus+)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Структурний блок програми, що об’єднує однотипні дії (мобільність, співпраця, підтримка політики)</w:t>
            </w:r>
          </w:p>
        </w:tc>
      </w:tr>
      <w:tr>
        <w:trPr>
          <w:tblHeader w:val="false"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Асоційована країна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Третя країна, що бере участь у програмі на умовах, наближених до держав-членів, на підставі угоди про асоціацію</w:t>
            </w:r>
          </w:p>
        </w:tc>
      </w:tr>
      <w:tr>
        <w:trPr>
          <w:tblHeader w:val="false"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CBHE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Розбудова спроможності у вищій освіті — дія Erasmus+ для модернізації ЗВО третіх країн</w:t>
            </w:r>
          </w:p>
        </w:tc>
      </w:tr>
      <w:tr>
        <w:trPr>
          <w:tblHeader w:val="false"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Кластер (Horizon Europe)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Тематичний блок стовпа II, що об’єднує конкурси за глобальними викликами</w:t>
            </w:r>
          </w:p>
        </w:tc>
      </w:tr>
      <w:tr>
        <w:trPr>
          <w:tblHeader w:val="false"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Місія ЄС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Цілеспрямована ініціатива з вимірюваною метою, досяжною у визначений строк</w:t>
            </w:r>
          </w:p>
        </w:tc>
      </w:tr>
      <w:tr>
        <w:trPr>
          <w:tblHeader w:val="false"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Стандартний проєкт дій (LIFE)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Проєкт демонстрації, найкращих практик або інформування у сфері довкілля і клімату</w:t>
            </w:r>
          </w:p>
        </w:tc>
      </w:tr>
      <w:tr>
        <w:trPr>
          <w:tblHeader w:val="false"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EDIH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Європейський цифровий інноваційний хаб — центр підтримки цифрової трансформації МСП і органів влади</w:t>
            </w:r>
          </w:p>
        </w:tc>
      </w:tr>
      <w:tr>
        <w:trPr>
          <w:tblHeader w:val="false"/>
        </w:trPr>
        <w:tc>
          <w:tcPr>
            <w:tcW w:type="dxa" w:w="326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Interreg NEXT</w:t>
            </w:r>
          </w:p>
        </w:tc>
        <w:tc>
          <w:tcPr>
            <w:tcW w:type="dxa" w:w="6378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Програми транскордонного співробітництва ЄС на зовнішніх кордонах із партнерськими країнами</w:t>
            </w:r>
          </w:p>
        </w:tc>
      </w:tr>
    </w:tbl>
    <w:p>
      <w:pPr>
        <w:spacing w:after="60" w:before="0" w:line="240"/>
      </w:pPr>
    </w:p>
    <w:p>
      <w:pPr>
        <w:pStyle w:val="Heading1"/>
        <w:keepNext/>
        <w:spacing w:after="160" w:before="300" w:line="300"/>
        <w:jc w:val="center"/>
      </w:pPr>
      <w:r>
        <w:rPr>
          <w:rFonts w:ascii="Times New Roman" w:cs="Times New Roman" w:eastAsia="Times New Roman" w:hAnsi="Times New Roman"/>
          <w:b/>
          <w:bCs/>
          <w:color w:val="1F3864"/>
          <w:sz w:val="30"/>
          <w:szCs w:val="30"/>
        </w:rPr>
        <w:t xml:space="preserve">Список використаних джерел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1. Грант: керівництво до дії : посібник / О. Ващук, О. Торбас, В. Лемещенко-Лагода, А. Сімахова, А. Мандич ; за заг. ред. В. Лемещенко-Лагоди, А. Сухіх. Запоріжжя : ФОП Однорог Т. В., 2024. 114 с.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2. Абрамова І. В., Поплавський П. Г. Фінансування міжнародних грантових угод у сферах науки та інновацій через призму декомпозиційної моделі.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Бізнес Інформ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№ 4. С. 26–31. DOI: https://doi.org/10.32983/2222-4459-2024-4-26-31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3. Кобеля-Звір М. Я. Грантові програми транскордонного співробітництва: можливості, перспективи, перепони.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Економічний простір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2023. № 186. С. 44–48. DOI: https://doi.org/10.32782/2224-6282/186-8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4. Кобеля-Звір М. Я. Грантові програми Європейського Союзу для України в умовах війни.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Підприємництво і торгівля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№ 40. С. 56–66. DOI: https://doi.org/10.32782/2522-1256-2024-40-08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5. Каплинський О. В. Програма ЄС із досліджень та інновацій «Горизонт Європа»: можливості для української науки.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Підприємництво та інновації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2023. № 29. С. 14–21.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6. Абрамова І., Тарасюк Г. Імперативи розвитку вищої освіти в ЄС: фінансово-економічні детермінанти.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Society and Security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2025. № 6(12). С. 108–113. DOI: https://doi.org/10.26642/sas-2025-6(12)-108-113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7. Грицишен Д. О., Поплавський П. Г. Аналіз бюджету ЄС для фінансування досліджень та інновацій.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Таврійський науковий вісник. Серія: Економіка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2024. № 20. С. 79–85. DOI: https://doi.org/10.32782/2708-0366/2024.20.9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8. European Commission. The Digital Europe Programme. URL: https://digital-strategy.ec.europa.eu/en/activities/digital-programme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9. EEAS. Commission further integrates Ukraine into the EU Single Market through the Connecting Europe Facility. 6 June 2023. URL: https://www.eeas.europa.eu/delegations/ukraine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10. European Commission. Erasmus+ Programme Guide: Capacity building in higher education. URL: https://erasmus-plus.ec.europa.eu/programme-guide/part-b/key-action-2/capacity-building-higher-education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11. European Commission. EU4Health programme: Association agreement with Ukraine. URL: https://health.ec.europa.eu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12. Regulation (EU) 2021/817 of the European Parliament and of the Council of 20 May 2021 establishing Erasmus+.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189. 28.05.2021.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13. Regulation (EU) 2021/695 of the European Parliament and of the Council of 28 April 2021 establishing Horizon Europe.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170. 12.05.2021.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14. Regulation (EU) 2021/818 of the European Parliament and of the Council of 20 May 2021 establishing the Creative Europe Programme (2021 to 2027).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189. 28.05.2021.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15. Regulation (EU) 2021/783 of the European Parliament and of the Council of 29 April 2021 establishing a Programme for the Environment and Climate Action (LIFE).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172. 17.05.2021.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16. Regulation (EU) 2021/694 of the European Parliament and of the Council of 29 April 2021 establishing the Digital Europe Programme.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166. 11.05.2021.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17. Regulation (EU) 2021/1059 of the European Parliament and of the Council of 24 June 2021 on specific provisions for the European territorial cooperation goal (Interreg).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231. 30.06.2021.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18. National Erasmus+ Office in Ukraine. URL: https://erasmusplus.org.ua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19. Horizon Europe Office in Ukraine. Horizon Europe Programme. URL: https://horizon-europe.org.ua/en/about-he/he-programme/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20. European Commission. Erasmus+ Programme Guide 2026 ; ACA. Erasmus+ 2026: work programme, guide and calls published. URL: https://erasmus-plus.ec.europa.eu/erasmus-programme-guide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21. National Erasmus+ Office in Ukraine. Competitions / results. URL: https://erasmusplus.org.ua/en/news/tag/konkursy-rezultaty-en/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22. Council Decision (EU) 2021/764 of 10 May 2021 establishing the Specific Programme implementing Horizon Europe. </w:t>
      </w:r>
      <w:r>
        <w:rPr>
          <w:rFonts w:ascii="Times New Roman" w:cs="Times New Roman" w:eastAsia="Times New Roman" w:hAnsi="Times New Roman"/>
          <w:i/>
          <w:iCs/>
          <w:sz w:val="26"/>
          <w:szCs w:val="26"/>
        </w:rPr>
        <w:t xml:space="preserve">Official Journal of the European Union</w:t>
      </w:r>
      <w:r>
        <w:rPr>
          <w:rFonts w:ascii="Times New Roman" w:cs="Times New Roman" w:eastAsia="Times New Roman" w:hAnsi="Times New Roman"/>
          <w:sz w:val="26"/>
          <w:szCs w:val="26"/>
        </w:rPr>
        <w:t xml:space="preserve">. L 167I. 12.05.2021.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23. European Commission. Horizon Europe 2026–2027 Work Programme adopted: €14 billion. 12 December 2025. URL: https://research-and-innovation.ec.europa.eu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24. National Research Foundation of Ukraine. The NRFU «Horizon Europe Office in Ukraine»: From Guidance to Success Stories. 2026. URL: https://nrfu.org.ua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25. European Commission. Creative Europe 2021–2027 programme brings €2.44 billion to support the cultural and creative sectors. URL: https://culture.ec.europa.eu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26. CINEA. LIFE Calls for proposals 2026: €601.5 million for a greener, more competitive Europe. 22 April 2026. URL: https://cinea.ec.europa.eu</w:t>
      </w:r>
    </w:p>
    <w:p>
      <w:pPr>
        <w:spacing w:after="60" w:line="300"/>
        <w:ind w:left="567" w:hanging="567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27. Interreg NEXT Poland–Ukraine 2021–2027: About the Programme. URL: https://pl-ua.eu/en/programme/about-the-programme/ ; Interreg VI-A NEXT Hungary-Slovakia-Romania-Ukraine 2021–2027. URL: https://keep.eu/programmes/337/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EA9DB" w:sz="4" w:space="2"/>
      </w:pBdr>
      <w:jc w:val="right"/>
    </w:pPr>
    <w:r>
      <w:rPr>
        <w:rFonts w:ascii="Times New Roman" w:cs="Times New Roman" w:eastAsia="Times New Roman" w:hAnsi="Times New Roman"/>
        <w:i/>
        <w:iCs/>
        <w:color w:val="595959"/>
        <w:sz w:val="18"/>
        <w:szCs w:val="18"/>
      </w:rPr>
      <w:t xml:space="preserve">Європейські інституції та грантово-проєктна політика ЄС · Лекція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9" w:hanging="284"/>
      </w:pPr>
    </w:lvl>
    <w:lvl w:ilvl="1" w15:tentative="1">
      <w:start w:val="1"/>
      <w:numFmt w:val="bullet"/>
      <w:lvlText w:val="•"/>
      <w:lvlJc w:val="left"/>
      <w:pPr>
        <w:ind w:left="1134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Times New Roman" w:cs="Times New Roman" w:eastAsia="Times New Roman" w:hAnsi="Times New Roman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Times New Roman" w:cs="Times New Roman" w:eastAsia="Times New Roman" w:hAnsi="Times New Roman"/>
      <w:b/>
      <w:bCs/>
      <w:color w:val="1F3864"/>
      <w:sz w:val="28"/>
      <w:szCs w:val="28"/>
    </w:rPr>
  </w:style>
  <w:style w:type="paragraph" w:styleId="Heading3">
    <w:name w:val="Heading 3"/>
    <w:basedOn w:val="Normal"/>
    <w:next w:val="Normal"/>
    <w:qFormat/>
    <w:pPr>
      <w:outlineLvl w:val="2"/>
    </w:pPr>
    <w:rPr>
      <w:rFonts w:ascii="Times New Roman" w:cs="Times New Roman" w:eastAsia="Times New Roman" w:hAnsi="Times New Roman"/>
      <w:b/>
      <w:bCs/>
      <w:i/>
      <w:iCs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Європейські інституції та грантово-проєктна політика ЄС · Лекція 6</dc:title>
  <dc:creator>ЖПУ, кафедра МЕВ і ПМ</dc:creator>
  <cp:lastModifiedBy>Un-named</cp:lastModifiedBy>
  <cp:revision>1</cp:revision>
  <dcterms:created xsi:type="dcterms:W3CDTF">2026-09-11T19:15:17.619Z</dcterms:created>
  <dcterms:modified xsi:type="dcterms:W3CDTF">2026-09-11T19:15:17.619Z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