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120" w:line="300"/>
        <w:jc w:val="center"/>
      </w:pPr>
      <w:r>
        <w:rPr>
          <w:rFonts w:ascii="Times New Roman" w:cs="Times New Roman" w:eastAsia="Times New Roman" w:hAnsi="Times New Roman"/>
          <w:b/>
          <w:bCs/>
          <w:color w:val="1F3864"/>
          <w:sz w:val="32"/>
          <w:szCs w:val="32"/>
        </w:rPr>
        <w:t xml:space="preserve">ЛЕКЦІЯ 4</w:t>
      </w:r>
    </w:p>
    <w:p>
      <w:pPr>
        <w:spacing w:after="120" w:before="120" w:line="300"/>
        <w:jc w:val="center"/>
      </w:pPr>
      <w:r>
        <w:rPr>
          <w:rFonts w:ascii="Times New Roman" w:cs="Times New Roman" w:eastAsia="Times New Roman" w:hAnsi="Times New Roman"/>
          <w:b/>
          <w:bCs/>
          <w:color w:val="1F3864"/>
          <w:sz w:val="32"/>
          <w:szCs w:val="32"/>
        </w:rPr>
        <w:t xml:space="preserve">Основні напрями політик ЄС у контексті міжнародного співробітництва та розвитку</w:t>
      </w:r>
    </w:p>
    <w:p>
      <w:pPr>
        <w:spacing w:after="80" w:before="0" w:line="276"/>
        <w:jc w:val="center"/>
      </w:pPr>
      <w:r>
        <w:rPr>
          <w:rFonts w:ascii="Times New Roman" w:cs="Times New Roman" w:eastAsia="Times New Roman" w:hAnsi="Times New Roman"/>
          <w:sz w:val="28"/>
          <w:szCs w:val="28"/>
        </w:rPr>
        <w:t xml:space="preserve">Навчальна дисципліна «Європейські інституції та грантово-проєктна політика ЄС»</w:t>
      </w:r>
    </w:p>
    <w:p>
      <w:pPr>
        <w:spacing w:after="80" w:before="0" w:line="276"/>
        <w:jc w:val="center"/>
      </w:pPr>
      <w:r>
        <w:rPr>
          <w:rFonts w:ascii="Times New Roman" w:cs="Times New Roman" w:eastAsia="Times New Roman" w:hAnsi="Times New Roman"/>
          <w:sz w:val="28"/>
          <w:szCs w:val="28"/>
        </w:rPr>
        <w:t xml:space="preserve">Змістовий модуль 1. Інституційна система Європейського Союзу та механізми формування політик ЄС</w:t>
      </w:r>
    </w:p>
    <w:p>
      <w:pPr>
        <w:spacing w:after="80" w:before="0" w:line="276"/>
        <w:jc w:val="center"/>
      </w:pPr>
      <w:r>
        <w:rPr>
          <w:rFonts w:ascii="Times New Roman" w:cs="Times New Roman" w:eastAsia="Times New Roman" w:hAnsi="Times New Roman"/>
          <w:sz w:val="28"/>
          <w:szCs w:val="28"/>
        </w:rPr>
        <w:t xml:space="preserve">Освітній ступінь «магістр» · спеціальність С1 «Економіка та міжнародні економічні відносини» · спеціалізація С1.02</w:t>
      </w:r>
    </w:p>
    <w:p>
      <w:pPr>
        <w:spacing w:after="80" w:before="0" w:line="276"/>
        <w:jc w:val="center"/>
      </w:pPr>
      <w:r>
        <w:rPr>
          <w:rFonts w:ascii="Times New Roman" w:cs="Times New Roman" w:eastAsia="Times New Roman" w:hAnsi="Times New Roman"/>
          <w:sz w:val="28"/>
          <w:szCs w:val="28"/>
        </w:rPr>
        <w:t xml:space="preserve">Обсяг: 3 академічні години · Компетентності та результати навчання: ЗК5, СК1, РН5, РН6</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96"/>
        <w:gridCol w:w="7642"/>
      </w:tblGrid>
      <w:tr>
        <w:trPr>
          <w:tblHeader/>
        </w:trPr>
        <w:tc>
          <w:tcPr>
            <w:tcW w:type="dxa" w:w="1996"/>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Елемент</w:t>
            </w:r>
          </w:p>
        </w:tc>
        <w:tc>
          <w:tcPr>
            <w:tcW w:type="dxa" w:w="7642"/>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Зміст</w:t>
            </w:r>
          </w:p>
        </w:tc>
      </w:tr>
      <w:tr>
        <w:trPr>
          <w:tblHeader w:val="false"/>
        </w:trPr>
        <w:tc>
          <w:tcPr>
            <w:tcW w:type="dxa" w:w="199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Мета лекції</w:t>
            </w:r>
          </w:p>
        </w:tc>
        <w:tc>
          <w:tcPr>
            <w:tcW w:type="dxa" w:w="764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Сформувати системне уявлення про ключові політики ЄС — економічну, торговельну, конкурентну, політику згуртованості, науково-інноваційну та освітню, цифрову, екологічну, політику розширення і зовнішню політику, — їхні правові засади, інструменти та значення для міжнародного співробітництва України</w:t>
            </w:r>
          </w:p>
        </w:tc>
      </w:tr>
      <w:tr>
        <w:trPr>
          <w:tblHeader w:val="false"/>
        </w:trPr>
        <w:tc>
          <w:tcPr>
            <w:tcW w:type="dxa" w:w="199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План</w:t>
            </w:r>
          </w:p>
        </w:tc>
        <w:tc>
          <w:tcPr>
            <w:tcW w:type="dxa" w:w="764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1. Економічна, торговельна та конкурентна політика ЄС.</w:t>
            </w:r>
          </w:p>
          <w:p>
            <w:pPr>
              <w:spacing w:after="0" w:before="0" w:line="240"/>
              <w:jc w:val="left"/>
            </w:pPr>
            <w:r>
              <w:rPr>
                <w:rFonts w:ascii="Times New Roman" w:cs="Times New Roman" w:eastAsia="Times New Roman" w:hAnsi="Times New Roman"/>
                <w:b w:val="false"/>
                <w:bCs w:val="false"/>
                <w:sz w:val="24"/>
                <w:szCs w:val="24"/>
              </w:rPr>
              <w:t xml:space="preserve">2. Регіональна політика та політика згуртованості ЄС.</w:t>
            </w:r>
          </w:p>
          <w:p>
            <w:pPr>
              <w:spacing w:after="0" w:before="0" w:line="240"/>
              <w:jc w:val="left"/>
            </w:pPr>
            <w:r>
              <w:rPr>
                <w:rFonts w:ascii="Times New Roman" w:cs="Times New Roman" w:eastAsia="Times New Roman" w:hAnsi="Times New Roman"/>
                <w:b w:val="false"/>
                <w:bCs w:val="false"/>
                <w:sz w:val="24"/>
                <w:szCs w:val="24"/>
              </w:rPr>
              <w:t xml:space="preserve">3. Інноваційна, науково-дослідна та освітня політика ЄС.</w:t>
            </w:r>
          </w:p>
          <w:p>
            <w:pPr>
              <w:spacing w:after="0" w:before="0" w:line="240"/>
              <w:jc w:val="left"/>
            </w:pPr>
            <w:r>
              <w:rPr>
                <w:rFonts w:ascii="Times New Roman" w:cs="Times New Roman" w:eastAsia="Times New Roman" w:hAnsi="Times New Roman"/>
                <w:b w:val="false"/>
                <w:bCs w:val="false"/>
                <w:sz w:val="24"/>
                <w:szCs w:val="24"/>
              </w:rPr>
              <w:t xml:space="preserve">4. Цифрова політика ЄС та розвиток єдиного цифрового ринку.</w:t>
            </w:r>
          </w:p>
          <w:p>
            <w:pPr>
              <w:spacing w:after="0" w:before="0" w:line="240"/>
              <w:jc w:val="left"/>
            </w:pPr>
            <w:r>
              <w:rPr>
                <w:rFonts w:ascii="Times New Roman" w:cs="Times New Roman" w:eastAsia="Times New Roman" w:hAnsi="Times New Roman"/>
                <w:b w:val="false"/>
                <w:bCs w:val="false"/>
                <w:sz w:val="24"/>
                <w:szCs w:val="24"/>
              </w:rPr>
              <w:t xml:space="preserve">5. Європейський зелений курс і політика сталого розвитку.</w:t>
            </w:r>
          </w:p>
          <w:p>
            <w:pPr>
              <w:spacing w:after="0" w:before="0" w:line="240"/>
              <w:jc w:val="left"/>
            </w:pPr>
            <w:r>
              <w:rPr>
                <w:rFonts w:ascii="Times New Roman" w:cs="Times New Roman" w:eastAsia="Times New Roman" w:hAnsi="Times New Roman"/>
                <w:b w:val="false"/>
                <w:bCs w:val="false"/>
                <w:sz w:val="24"/>
                <w:szCs w:val="24"/>
              </w:rPr>
              <w:t xml:space="preserve">6. Політика розширення ЄС і підтримка країн-кандидатів.</w:t>
            </w:r>
          </w:p>
          <w:p>
            <w:pPr>
              <w:spacing w:after="0" w:before="0" w:line="240"/>
              <w:jc w:val="left"/>
            </w:pPr>
            <w:r>
              <w:rPr>
                <w:rFonts w:ascii="Times New Roman" w:cs="Times New Roman" w:eastAsia="Times New Roman" w:hAnsi="Times New Roman"/>
                <w:b w:val="false"/>
                <w:bCs w:val="false"/>
                <w:sz w:val="24"/>
                <w:szCs w:val="24"/>
              </w:rPr>
              <w:t xml:space="preserve">7. Зовнішня політика ЄС, політика сусідства та міжнародна технічна допомога.</w:t>
            </w:r>
          </w:p>
        </w:tc>
      </w:tr>
      <w:tr>
        <w:trPr>
          <w:tblHeader w:val="false"/>
        </w:trPr>
        <w:tc>
          <w:tcPr>
            <w:tcW w:type="dxa" w:w="199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Ключові поняття</w:t>
            </w:r>
          </w:p>
        </w:tc>
        <w:tc>
          <w:tcPr>
            <w:tcW w:type="dxa" w:w="764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спільна торговельна політика; державна допомога; політика згуртованості; категорії регіонів; Європейський дослідницький простір; Європейський освітній простір; цифрове десятиліття; Європейський зелений курс; політика розширення; поступова інтеграція; Європейська політика сусідства; «Команда Європа»; TAIEX; Twinning</w:t>
            </w:r>
          </w:p>
        </w:tc>
      </w:tr>
      <w:tr>
        <w:trPr>
          <w:tblHeader w:val="false"/>
        </w:trPr>
        <w:tc>
          <w:tcPr>
            <w:tcW w:type="dxa" w:w="199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Базові джерела</w:t>
            </w:r>
          </w:p>
        </w:tc>
        <w:tc>
          <w:tcPr>
            <w:tcW w:type="dxa" w:w="764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ст. 3, 8, 21, 49 ДЄС; ст. 101–109, 162–197, 206–214 ДФЄС; [1–6; 12–26]</w:t>
            </w:r>
          </w:p>
        </w:tc>
      </w:tr>
    </w:tbl>
    <w:p>
      <w:pPr>
        <w:spacing w:after="60" w:before="0" w:line="240"/>
      </w:pPr>
    </w:p>
    <w:p>
      <w:pPr>
        <w:pBdr>
          <w:left w:val="single" w:color="2E5597" w:sz="24" w:space="6"/>
        </w:pBdr>
        <w:shd w:fill="EEF3FA" w:color="auto" w:val="clear"/>
        <w:spacing w:after="80" w:before="80" w:line="300"/>
        <w:ind w:left="284" w:right="142"/>
        <w:jc w:val="both"/>
      </w:pPr>
      <w:r>
        <w:rPr>
          <w:rFonts w:ascii="Times New Roman" w:cs="Times New Roman" w:eastAsia="Times New Roman" w:hAnsi="Times New Roman"/>
          <w:b/>
          <w:bCs/>
          <w:sz w:val="26"/>
          <w:szCs w:val="26"/>
        </w:rPr>
        <w:t xml:space="preserve">Методологічне застереження.</w:t>
      </w:r>
      <w:r>
        <w:rPr>
          <w:rFonts w:ascii="Times New Roman" w:cs="Times New Roman" w:eastAsia="Times New Roman" w:hAnsi="Times New Roman"/>
          <w:sz w:val="26"/>
          <w:szCs w:val="26"/>
        </w:rPr>
        <w:t xml:space="preserve"> Лекція завершує змістовий модуль 1 і водночас є «мостом» до змістового модуля 2: кожна з розглянутих політик має власні фінансові інструменти, що детально аналізуватимуться в темах 5–6. Дані наведено станом на вересень 2026 р.</w:t>
      </w:r>
    </w:p>
    <w:p>
      <w:pPr>
        <w:pStyle w:val="Heading1"/>
        <w:keepNext/>
        <w:spacing w:after="160" w:before="300" w:line="300"/>
        <w:jc w:val="center"/>
      </w:pPr>
      <w:r>
        <w:rPr>
          <w:rFonts w:ascii="Times New Roman" w:cs="Times New Roman" w:eastAsia="Times New Roman" w:hAnsi="Times New Roman"/>
          <w:b/>
          <w:bCs/>
          <w:color w:val="1F3864"/>
          <w:sz w:val="30"/>
          <w:szCs w:val="30"/>
        </w:rPr>
        <w:t xml:space="preserve">Вступ</w:t>
      </w:r>
    </w:p>
    <w:p>
      <w:pPr>
        <w:spacing w:after="0" w:line="360"/>
        <w:ind w:firstLine="709"/>
        <w:jc w:val="both"/>
      </w:pPr>
      <w:r>
        <w:rPr>
          <w:rFonts w:ascii="Times New Roman" w:cs="Times New Roman" w:eastAsia="Times New Roman" w:hAnsi="Times New Roman"/>
          <w:sz w:val="28"/>
          <w:szCs w:val="28"/>
        </w:rPr>
        <w:t xml:space="preserve">Політики ЄС є формою реалізації компетенцій, наданих Союзу Договорами (див. лекцію 3). Для аналітика міжнародних економічних відносин доцільно розглядати їх у трьох площинах: </w:t>
      </w:r>
      <w:r>
        <w:rPr>
          <w:rFonts w:ascii="Times New Roman" w:cs="Times New Roman" w:eastAsia="Times New Roman" w:hAnsi="Times New Roman"/>
          <w:i/>
          <w:iCs/>
          <w:sz w:val="28"/>
          <w:szCs w:val="28"/>
        </w:rPr>
        <w:t xml:space="preserve">регуляторній</w:t>
      </w:r>
      <w:r>
        <w:rPr>
          <w:rFonts w:ascii="Times New Roman" w:cs="Times New Roman" w:eastAsia="Times New Roman" w:hAnsi="Times New Roman"/>
          <w:sz w:val="28"/>
          <w:szCs w:val="28"/>
        </w:rPr>
        <w:t xml:space="preserve"> (правила, які формують умови доступу до ринку ЄС), </w:t>
      </w:r>
      <w:r>
        <w:rPr>
          <w:rFonts w:ascii="Times New Roman" w:cs="Times New Roman" w:eastAsia="Times New Roman" w:hAnsi="Times New Roman"/>
          <w:i/>
          <w:iCs/>
          <w:sz w:val="28"/>
          <w:szCs w:val="28"/>
        </w:rPr>
        <w:t xml:space="preserve">фінансовій</w:t>
      </w:r>
      <w:r>
        <w:rPr>
          <w:rFonts w:ascii="Times New Roman" w:cs="Times New Roman" w:eastAsia="Times New Roman" w:hAnsi="Times New Roman"/>
          <w:sz w:val="28"/>
          <w:szCs w:val="28"/>
        </w:rPr>
        <w:t xml:space="preserve"> (програми та фонди, через які політики реалізуються) та </w:t>
      </w:r>
      <w:r>
        <w:rPr>
          <w:rFonts w:ascii="Times New Roman" w:cs="Times New Roman" w:eastAsia="Times New Roman" w:hAnsi="Times New Roman"/>
          <w:i/>
          <w:iCs/>
          <w:sz w:val="28"/>
          <w:szCs w:val="28"/>
        </w:rPr>
        <w:t xml:space="preserve">зовнішній</w:t>
      </w:r>
      <w:r>
        <w:rPr>
          <w:rFonts w:ascii="Times New Roman" w:cs="Times New Roman" w:eastAsia="Times New Roman" w:hAnsi="Times New Roman"/>
          <w:sz w:val="28"/>
          <w:szCs w:val="28"/>
        </w:rPr>
        <w:t xml:space="preserve"> (вплив політик на держави-партнери). Саме поєднання цих площин пояснює, чому одне й те саме рішення — наприклад, запровадження механізму CBAM чи Регламенту про штучний інтелект — одночасно є частиною екологічної або цифрової політики, торговельної політики та політики економічної безпеки [2; 13].</w:t>
      </w:r>
    </w:p>
    <w:p>
      <w:pPr>
        <w:keepNext/>
        <w:spacing w:after="40" w:before="120" w:line="276"/>
        <w:jc w:val="right"/>
      </w:pPr>
      <w:r>
        <w:rPr>
          <w:rFonts w:ascii="Times New Roman" w:cs="Times New Roman" w:eastAsia="Times New Roman" w:hAnsi="Times New Roman"/>
          <w:i/>
          <w:iCs/>
          <w:sz w:val="26"/>
          <w:szCs w:val="26"/>
        </w:rPr>
        <w:t xml:space="preserve">Таблиця 4.1</w:t>
      </w:r>
    </w:p>
    <w:p>
      <w:pPr>
        <w:keepNext/>
        <w:spacing w:after="80" w:before="0" w:line="276"/>
        <w:jc w:val="center"/>
      </w:pPr>
      <w:r>
        <w:rPr>
          <w:rFonts w:ascii="Times New Roman" w:cs="Times New Roman" w:eastAsia="Times New Roman" w:hAnsi="Times New Roman"/>
          <w:b/>
          <w:bCs/>
          <w:sz w:val="26"/>
          <w:szCs w:val="26"/>
        </w:rPr>
        <w:t xml:space="preserve">Основні політики ЄС: компетенція, правова основа та ключові фінансові інструменти</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94"/>
        <w:gridCol w:w="2555"/>
        <w:gridCol w:w="1852"/>
        <w:gridCol w:w="2937"/>
      </w:tblGrid>
      <w:tr>
        <w:trPr>
          <w:tblHeader/>
        </w:trPr>
        <w:tc>
          <w:tcPr>
            <w:tcW w:type="dxa" w:w="2294"/>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Політика</w:t>
            </w:r>
          </w:p>
        </w:tc>
        <w:tc>
          <w:tcPr>
            <w:tcW w:type="dxa" w:w="2555"/>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Компетенція ЄС</w:t>
            </w:r>
          </w:p>
        </w:tc>
        <w:tc>
          <w:tcPr>
            <w:tcW w:type="dxa" w:w="1852"/>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Правова основа (ДФЄС)</w:t>
            </w:r>
          </w:p>
        </w:tc>
        <w:tc>
          <w:tcPr>
            <w:tcW w:type="dxa" w:w="2937"/>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Ключові фінансові інструменти 2021–2027</w:t>
            </w:r>
          </w:p>
        </w:tc>
      </w:tr>
      <w:tr>
        <w:trPr>
          <w:tblHeader w:val="false"/>
        </w:trPr>
        <w:tc>
          <w:tcPr>
            <w:tcW w:type="dxa" w:w="229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Торговельна</w:t>
            </w:r>
          </w:p>
        </w:tc>
        <w:tc>
          <w:tcPr>
            <w:tcW w:type="dxa" w:w="255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Виключна</w:t>
            </w:r>
          </w:p>
        </w:tc>
        <w:tc>
          <w:tcPr>
            <w:tcW w:type="dxa" w:w="185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ст. 206–207</w:t>
            </w:r>
          </w:p>
        </w:tc>
        <w:tc>
          <w:tcPr>
            <w:tcW w:type="dxa" w:w="293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Aid for Trade у межах NDICI; інструменти торговельного захисту (нефінансові)</w:t>
            </w:r>
          </w:p>
        </w:tc>
      </w:tr>
      <w:tr>
        <w:trPr>
          <w:tblHeader w:val="false"/>
        </w:trPr>
        <w:tc>
          <w:tcPr>
            <w:tcW w:type="dxa" w:w="229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Конкурентна</w:t>
            </w:r>
          </w:p>
        </w:tc>
        <w:tc>
          <w:tcPr>
            <w:tcW w:type="dxa" w:w="255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Виключна (правила конкуренції)</w:t>
            </w:r>
          </w:p>
        </w:tc>
        <w:tc>
          <w:tcPr>
            <w:tcW w:type="dxa" w:w="185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ст. 101–109</w:t>
            </w:r>
          </w:p>
        </w:tc>
        <w:tc>
          <w:tcPr>
            <w:tcW w:type="dxa" w:w="293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Регулювання державної допомоги (нефінансове)</w:t>
            </w:r>
          </w:p>
        </w:tc>
      </w:tr>
      <w:tr>
        <w:trPr>
          <w:tblHeader w:val="false"/>
        </w:trPr>
        <w:tc>
          <w:tcPr>
            <w:tcW w:type="dxa" w:w="229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Згуртованості</w:t>
            </w:r>
          </w:p>
        </w:tc>
        <w:tc>
          <w:tcPr>
            <w:tcW w:type="dxa" w:w="255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Спільна</w:t>
            </w:r>
          </w:p>
        </w:tc>
        <w:tc>
          <w:tcPr>
            <w:tcW w:type="dxa" w:w="185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ст. 174–178</w:t>
            </w:r>
          </w:p>
        </w:tc>
        <w:tc>
          <w:tcPr>
            <w:tcW w:type="dxa" w:w="293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ERDF, Cohesion Fund, ESF+, JTF, Interreg (392 млрд євро)</w:t>
            </w:r>
          </w:p>
        </w:tc>
      </w:tr>
      <w:tr>
        <w:trPr>
          <w:tblHeader w:val="false"/>
        </w:trPr>
        <w:tc>
          <w:tcPr>
            <w:tcW w:type="dxa" w:w="229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Науково-інноваційна</w:t>
            </w:r>
          </w:p>
        </w:tc>
        <w:tc>
          <w:tcPr>
            <w:tcW w:type="dxa" w:w="255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Паралельна</w:t>
            </w:r>
          </w:p>
        </w:tc>
        <w:tc>
          <w:tcPr>
            <w:tcW w:type="dxa" w:w="185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ст. 179–190</w:t>
            </w:r>
          </w:p>
        </w:tc>
        <w:tc>
          <w:tcPr>
            <w:tcW w:type="dxa" w:w="293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Horizon Europe (95,5 млрд євро)</w:t>
            </w:r>
          </w:p>
        </w:tc>
      </w:tr>
      <w:tr>
        <w:trPr>
          <w:tblHeader w:val="false"/>
        </w:trPr>
        <w:tc>
          <w:tcPr>
            <w:tcW w:type="dxa" w:w="229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Освітня, молодіжна, культурна</w:t>
            </w:r>
          </w:p>
        </w:tc>
        <w:tc>
          <w:tcPr>
            <w:tcW w:type="dxa" w:w="255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Підтримувальна</w:t>
            </w:r>
          </w:p>
        </w:tc>
        <w:tc>
          <w:tcPr>
            <w:tcW w:type="dxa" w:w="185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ст. 165–167</w:t>
            </w:r>
          </w:p>
        </w:tc>
        <w:tc>
          <w:tcPr>
            <w:tcW w:type="dxa" w:w="293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Erasmus+, Creative Europe, European Solidarity Corps</w:t>
            </w:r>
          </w:p>
        </w:tc>
      </w:tr>
      <w:tr>
        <w:trPr>
          <w:tblHeader w:val="false"/>
        </w:trPr>
        <w:tc>
          <w:tcPr>
            <w:tcW w:type="dxa" w:w="229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Цифрова</w:t>
            </w:r>
          </w:p>
        </w:tc>
        <w:tc>
          <w:tcPr>
            <w:tcW w:type="dxa" w:w="255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Спільна (внутрішній ринок) / підтримувальна (промисловість)</w:t>
            </w:r>
          </w:p>
        </w:tc>
        <w:tc>
          <w:tcPr>
            <w:tcW w:type="dxa" w:w="185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ст. 114, 173, 170–172</w:t>
            </w:r>
          </w:p>
        </w:tc>
        <w:tc>
          <w:tcPr>
            <w:tcW w:type="dxa" w:w="293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Digital Europe (8,1 млрд євро), CEF Digital</w:t>
            </w:r>
          </w:p>
        </w:tc>
      </w:tr>
      <w:tr>
        <w:trPr>
          <w:tblHeader w:val="false"/>
        </w:trPr>
        <w:tc>
          <w:tcPr>
            <w:tcW w:type="dxa" w:w="229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Екологічна і кліматична</w:t>
            </w:r>
          </w:p>
        </w:tc>
        <w:tc>
          <w:tcPr>
            <w:tcW w:type="dxa" w:w="255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Спільна</w:t>
            </w:r>
          </w:p>
        </w:tc>
        <w:tc>
          <w:tcPr>
            <w:tcW w:type="dxa" w:w="185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ст. 191–193</w:t>
            </w:r>
          </w:p>
        </w:tc>
        <w:tc>
          <w:tcPr>
            <w:tcW w:type="dxa" w:w="293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LIFE, JTF, частина ERDF і CEF</w:t>
            </w:r>
          </w:p>
        </w:tc>
      </w:tr>
      <w:tr>
        <w:trPr>
          <w:tblHeader w:val="false"/>
        </w:trPr>
        <w:tc>
          <w:tcPr>
            <w:tcW w:type="dxa" w:w="229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Розширення</w:t>
            </w:r>
          </w:p>
        </w:tc>
        <w:tc>
          <w:tcPr>
            <w:tcW w:type="dxa" w:w="255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Особлива процедура</w:t>
            </w:r>
          </w:p>
        </w:tc>
        <w:tc>
          <w:tcPr>
            <w:tcW w:type="dxa" w:w="185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ст. 49 ДЄС; ст. 212 ДФЄС</w:t>
            </w:r>
          </w:p>
        </w:tc>
        <w:tc>
          <w:tcPr>
            <w:tcW w:type="dxa" w:w="293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IPA III, Reform and Growth Facility, Ukraine Facility</w:t>
            </w:r>
          </w:p>
        </w:tc>
      </w:tr>
      <w:tr>
        <w:trPr>
          <w:tblHeader w:val="false"/>
        </w:trPr>
        <w:tc>
          <w:tcPr>
            <w:tcW w:type="dxa" w:w="229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Зовнішня і сусідства</w:t>
            </w:r>
          </w:p>
        </w:tc>
        <w:tc>
          <w:tcPr>
            <w:tcW w:type="dxa" w:w="255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СЗБП; співробітництво з метою розвитку — паралельна</w:t>
            </w:r>
          </w:p>
        </w:tc>
        <w:tc>
          <w:tcPr>
            <w:tcW w:type="dxa" w:w="185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ст. 21–46 ДЄС; ст. 208–214 ДФЄС</w:t>
            </w:r>
          </w:p>
        </w:tc>
        <w:tc>
          <w:tcPr>
            <w:tcW w:type="dxa" w:w="293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NDICI — Global Europe (79,5 млрд євро), Європейський фонд миру (поза бюджетом)</w:t>
            </w:r>
          </w:p>
        </w:tc>
      </w:tr>
    </w:tbl>
    <w:p>
      <w:pPr>
        <w:spacing w:after="60" w:before="0" w:line="240"/>
      </w:pPr>
    </w:p>
    <w:p>
      <w:pPr>
        <w:spacing w:after="120" w:before="0" w:line="240"/>
        <w:jc w:val="left"/>
      </w:pPr>
      <w:r>
        <w:rPr>
          <w:rFonts w:ascii="Times New Roman" w:cs="Times New Roman" w:eastAsia="Times New Roman" w:hAnsi="Times New Roman"/>
          <w:i/>
          <w:iCs/>
          <w:sz w:val="22"/>
          <w:szCs w:val="22"/>
        </w:rPr>
        <w:t xml:space="preserve">Джерело: систематизовано автором на основі [12; 13; 17].</w:t>
      </w:r>
    </w:p>
    <w:p>
      <w:pPr>
        <w:pStyle w:val="Heading1"/>
        <w:keepNext/>
        <w:spacing w:after="160" w:before="300" w:line="300"/>
        <w:jc w:val="center"/>
      </w:pPr>
      <w:r>
        <w:rPr>
          <w:rFonts w:ascii="Times New Roman" w:cs="Times New Roman" w:eastAsia="Times New Roman" w:hAnsi="Times New Roman"/>
          <w:b/>
          <w:bCs/>
          <w:color w:val="1F3864"/>
          <w:sz w:val="30"/>
          <w:szCs w:val="30"/>
        </w:rPr>
        <w:t xml:space="preserve">1. Економічна, торговельна та конкурентна політика ЄС</w:t>
      </w:r>
    </w:p>
    <w:p>
      <w:pPr>
        <w:pStyle w:val="Heading2"/>
        <w:keepNext/>
        <w:spacing w:after="120" w:before="240" w:line="300"/>
      </w:pPr>
      <w:r>
        <w:rPr>
          <w:rFonts w:ascii="Times New Roman" w:cs="Times New Roman" w:eastAsia="Times New Roman" w:hAnsi="Times New Roman"/>
          <w:b/>
          <w:bCs/>
          <w:color w:val="1F3864"/>
          <w:sz w:val="28"/>
          <w:szCs w:val="28"/>
        </w:rPr>
        <w:t xml:space="preserve">1.1. Економічна політика</w:t>
      </w:r>
    </w:p>
    <w:p>
      <w:pPr>
        <w:spacing w:after="0" w:line="360"/>
        <w:ind w:firstLine="709"/>
        <w:jc w:val="both"/>
      </w:pPr>
      <w:r>
        <w:rPr>
          <w:rFonts w:ascii="Times New Roman" w:cs="Times New Roman" w:eastAsia="Times New Roman" w:hAnsi="Times New Roman"/>
          <w:sz w:val="28"/>
          <w:szCs w:val="28"/>
        </w:rPr>
        <w:t xml:space="preserve">Економічна політика ЄС ґрунтується на </w:t>
      </w:r>
      <w:r>
        <w:rPr>
          <w:rFonts w:ascii="Times New Roman" w:cs="Times New Roman" w:eastAsia="Times New Roman" w:hAnsi="Times New Roman"/>
          <w:i/>
          <w:iCs/>
          <w:sz w:val="28"/>
          <w:szCs w:val="28"/>
        </w:rPr>
        <w:t xml:space="preserve">координації</w:t>
      </w:r>
      <w:r>
        <w:rPr>
          <w:rFonts w:ascii="Times New Roman" w:cs="Times New Roman" w:eastAsia="Times New Roman" w:hAnsi="Times New Roman"/>
          <w:sz w:val="28"/>
          <w:szCs w:val="28"/>
        </w:rPr>
        <w:t xml:space="preserve"> національних політик (ст. 5, 120–126 ДФЄС) та </w:t>
      </w:r>
      <w:r>
        <w:rPr>
          <w:rFonts w:ascii="Times New Roman" w:cs="Times New Roman" w:eastAsia="Times New Roman" w:hAnsi="Times New Roman"/>
          <w:i/>
          <w:iCs/>
          <w:sz w:val="28"/>
          <w:szCs w:val="28"/>
        </w:rPr>
        <w:t xml:space="preserve">спільній монетарній політиці</w:t>
      </w:r>
      <w:r>
        <w:rPr>
          <w:rFonts w:ascii="Times New Roman" w:cs="Times New Roman" w:eastAsia="Times New Roman" w:hAnsi="Times New Roman"/>
          <w:sz w:val="28"/>
          <w:szCs w:val="28"/>
        </w:rPr>
        <w:t xml:space="preserve"> для держав зони євро. Центральним механізмом координації є Європейський семестр. Реформована рамка економічного врядування, що набула чинності 30 квітня 2024 р., запровадила національні середньострокові фіскально-структурні плани, в яких держави поєднують траєкторію чистих видатків із реформами та інвестиціями; збережено контрольні значення дефіциту (3 % ВВП) і державного боргу (60 % ВВП). Механізм відновлення та стійкості (RRF) став першим масштабним інструментом, що пов’язав фінансування ЄС із виконанням реформ, — модель, згодом використана в Ukraine Facility.</w:t>
      </w:r>
    </w:p>
    <w:p>
      <w:pPr>
        <w:pStyle w:val="Heading2"/>
        <w:keepNext/>
        <w:spacing w:after="120" w:before="240" w:line="300"/>
      </w:pPr>
      <w:r>
        <w:rPr>
          <w:rFonts w:ascii="Times New Roman" w:cs="Times New Roman" w:eastAsia="Times New Roman" w:hAnsi="Times New Roman"/>
          <w:b/>
          <w:bCs/>
          <w:color w:val="1F3864"/>
          <w:sz w:val="28"/>
          <w:szCs w:val="28"/>
        </w:rPr>
        <w:t xml:space="preserve">1.2. Спільна торговельна політика</w:t>
      </w:r>
    </w:p>
    <w:p>
      <w:pPr>
        <w:spacing w:after="0" w:line="360"/>
        <w:ind w:firstLine="709"/>
        <w:jc w:val="both"/>
      </w:pPr>
      <w:r>
        <w:rPr>
          <w:rFonts w:ascii="Times New Roman" w:cs="Times New Roman" w:eastAsia="Times New Roman" w:hAnsi="Times New Roman"/>
          <w:sz w:val="28"/>
          <w:szCs w:val="28"/>
        </w:rPr>
        <w:t xml:space="preserve">Спільна торговельна політика є виключною компетенцією ЄС (ст. 3(1)(e), 207 ДФЄС) і охоплює тарифи, торговельні угоди, торгівлю послугами, комерційні аспекти інтелектуальної власності, прямі іноземні інвестиції та заходи торговельного захисту. Концептуальною основою є підхід «відкритої стратегічної автономії»: відкрита, стала й наполеглива торговельна політика (Огляд торговельної політики 2021 р.) [14].</w:t>
      </w:r>
    </w:p>
    <w:p>
      <w:pPr>
        <w:keepNext/>
        <w:spacing w:after="40" w:before="120" w:line="276"/>
        <w:jc w:val="right"/>
      </w:pPr>
      <w:r>
        <w:rPr>
          <w:rFonts w:ascii="Times New Roman" w:cs="Times New Roman" w:eastAsia="Times New Roman" w:hAnsi="Times New Roman"/>
          <w:i/>
          <w:iCs/>
          <w:sz w:val="26"/>
          <w:szCs w:val="26"/>
        </w:rPr>
        <w:t xml:space="preserve">Таблиця 4.2</w:t>
      </w:r>
    </w:p>
    <w:p>
      <w:pPr>
        <w:keepNext/>
        <w:spacing w:after="80" w:before="0" w:line="276"/>
        <w:jc w:val="center"/>
      </w:pPr>
      <w:r>
        <w:rPr>
          <w:rFonts w:ascii="Times New Roman" w:cs="Times New Roman" w:eastAsia="Times New Roman" w:hAnsi="Times New Roman"/>
          <w:b/>
          <w:bCs/>
          <w:sz w:val="26"/>
          <w:szCs w:val="26"/>
        </w:rPr>
        <w:t xml:space="preserve">Ключові події торговельної політики ЄС у 2025–2026 рр.</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698"/>
        <w:gridCol w:w="4772"/>
        <w:gridCol w:w="3168"/>
      </w:tblGrid>
      <w:tr>
        <w:trPr>
          <w:tblHeader/>
        </w:trPr>
        <w:tc>
          <w:tcPr>
            <w:tcW w:type="dxa" w:w="1698"/>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Партнер / інструмент</w:t>
            </w:r>
          </w:p>
        </w:tc>
        <w:tc>
          <w:tcPr>
            <w:tcW w:type="dxa" w:w="4772"/>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Подія</w:t>
            </w:r>
          </w:p>
        </w:tc>
        <w:tc>
          <w:tcPr>
            <w:tcW w:type="dxa" w:w="3168"/>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Значення</w:t>
            </w:r>
          </w:p>
        </w:tc>
      </w:tr>
      <w:tr>
        <w:trPr>
          <w:tblHeader w:val="false"/>
        </w:trPr>
        <w:tc>
          <w:tcPr>
            <w:tcW w:type="dxa" w:w="1698"/>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США</w:t>
            </w:r>
          </w:p>
        </w:tc>
        <w:tc>
          <w:tcPr>
            <w:tcW w:type="dxa" w:w="477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Спільна заява від 21.08.2025 про рамкову угоду: верхня межа мит США на більшість товарів ЄС — 15 %; ЄС скасовує мита на промислові товари США. Політична угода Парламенту і Ради щодо імплементаційних регламентів — 20.05.2026 (захисний механізм, дія до кінця 2029 р.)</w:t>
            </w:r>
          </w:p>
        </w:tc>
        <w:tc>
          <w:tcPr>
            <w:tcW w:type="dxa" w:w="3168"/>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Стабілізація найбільших у світі торговельно-інвестиційних відносин в умовах тарифної політики США</w:t>
            </w:r>
          </w:p>
        </w:tc>
      </w:tr>
      <w:tr>
        <w:trPr>
          <w:tblHeader w:val="false"/>
        </w:trPr>
        <w:tc>
          <w:tcPr>
            <w:tcW w:type="dxa" w:w="1698"/>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MERCOSUR</w:t>
            </w:r>
          </w:p>
        </w:tc>
        <w:tc>
          <w:tcPr>
            <w:tcW w:type="dxa" w:w="477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Підписання Угоди про партнерство та Тимчасової торговельної угоди — 17.01.2026; Рада дозволила тимчасове застосування торговельної угоди (9.01.2026); Парламент звернувся до Суду ЄС по висновок щодо сумісності з Договорами (21.01.2026)</w:t>
            </w:r>
          </w:p>
        </w:tc>
        <w:tc>
          <w:tcPr>
            <w:tcW w:type="dxa" w:w="3168"/>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Найбільша за охопленням населення ЗВТ ЄС; приклад політизації торговельних угод</w:t>
            </w:r>
          </w:p>
        </w:tc>
      </w:tr>
      <w:tr>
        <w:trPr>
          <w:tblHeader w:val="false"/>
        </w:trPr>
        <w:tc>
          <w:tcPr>
            <w:tcW w:type="dxa" w:w="1698"/>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Індія</w:t>
            </w:r>
          </w:p>
        </w:tc>
        <w:tc>
          <w:tcPr>
            <w:tcW w:type="dxa" w:w="477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Завершення переговорів про угоду про вільну торгівлю — січень 2026 р.; скасування або зниження близько 90 % мит</w:t>
            </w:r>
          </w:p>
        </w:tc>
        <w:tc>
          <w:tcPr>
            <w:tcW w:type="dxa" w:w="3168"/>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«Найбільша торговельна угода» для обох сторін; диверсифікація ланцюгів постачання</w:t>
            </w:r>
          </w:p>
        </w:tc>
      </w:tr>
      <w:tr>
        <w:trPr>
          <w:tblHeader w:val="false"/>
        </w:trPr>
        <w:tc>
          <w:tcPr>
            <w:tcW w:type="dxa" w:w="1698"/>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Україна</w:t>
            </w:r>
          </w:p>
        </w:tc>
        <w:tc>
          <w:tcPr>
            <w:tcW w:type="dxa" w:w="477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Оновлені умови ПВЗВТ (ст. 29 Угоди про асоціацію) — з 29.10.2025</w:t>
            </w:r>
          </w:p>
        </w:tc>
        <w:tc>
          <w:tcPr>
            <w:tcW w:type="dxa" w:w="3168"/>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Перехід від тимчасових автономних заходів до стабільного договірного режиму</w:t>
            </w:r>
          </w:p>
        </w:tc>
      </w:tr>
      <w:tr>
        <w:trPr>
          <w:tblHeader w:val="false"/>
        </w:trPr>
        <w:tc>
          <w:tcPr>
            <w:tcW w:type="dxa" w:w="1698"/>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Інструменти захисту</w:t>
            </w:r>
          </w:p>
        </w:tc>
        <w:tc>
          <w:tcPr>
            <w:tcW w:type="dxa" w:w="477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CBAM — остаточний режим з 1.01.2026; інструмент протидії примусу; скринінг ПІІ</w:t>
            </w:r>
          </w:p>
        </w:tc>
        <w:tc>
          <w:tcPr>
            <w:tcW w:type="dxa" w:w="3168"/>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Поєднання торговельної, кліматичної політики та економічної безпеки</w:t>
            </w:r>
          </w:p>
        </w:tc>
      </w:tr>
    </w:tbl>
    <w:p>
      <w:pPr>
        <w:spacing w:after="60" w:before="0" w:line="240"/>
      </w:pPr>
    </w:p>
    <w:p>
      <w:pPr>
        <w:spacing w:after="120" w:before="0" w:line="240"/>
        <w:jc w:val="left"/>
      </w:pPr>
      <w:r>
        <w:rPr>
          <w:rFonts w:ascii="Times New Roman" w:cs="Times New Roman" w:eastAsia="Times New Roman" w:hAnsi="Times New Roman"/>
          <w:i/>
          <w:iCs/>
          <w:sz w:val="22"/>
          <w:szCs w:val="22"/>
        </w:rPr>
        <w:t xml:space="preserve">Джерело: складено на основі [14–16; 25].</w:t>
      </w:r>
    </w:p>
    <w:p>
      <w:pPr>
        <w:spacing w:after="0" w:line="360"/>
        <w:ind w:firstLine="709"/>
        <w:jc w:val="both"/>
      </w:pPr>
      <w:r>
        <w:rPr>
          <w:rFonts w:ascii="Times New Roman" w:cs="Times New Roman" w:eastAsia="Times New Roman" w:hAnsi="Times New Roman"/>
          <w:sz w:val="28"/>
          <w:szCs w:val="28"/>
        </w:rPr>
        <w:t xml:space="preserve">Торговельна політика ЄС дедалі тісніше поєднується з цілями сталого розвитку. Сучасні угоди містять розділи «Торгівля і сталий розвиток» із зобов’язаннями щодо трудових стандартів МОП і Паризької кліматичної угоди, а Комісія посилила механізми їх виконання, аж до можливості застосування торговельних санкцій у разі серйозних порушень. Для держав-партнерів це означає, що доступ до ринку ЄС залежить не лише від тарифних поступок, а й від відповідності соціальним, екологічним і санітарним вимогам. Українська структура експорту до ЄС, у якій переважають сільськогосподарська продукція, металургія та сировинні товари, робить ці вимоги (санітарні та фітосанітарні заходи, CBAM, стандарти добробуту тварин) визначальними для конкурентоспроможності національних експортерів [3; 10].</w:t>
      </w:r>
    </w:p>
    <w:p>
      <w:pPr>
        <w:pStyle w:val="Heading2"/>
        <w:keepNext/>
        <w:spacing w:after="120" w:before="240" w:line="300"/>
      </w:pPr>
      <w:r>
        <w:rPr>
          <w:rFonts w:ascii="Times New Roman" w:cs="Times New Roman" w:eastAsia="Times New Roman" w:hAnsi="Times New Roman"/>
          <w:b/>
          <w:bCs/>
          <w:color w:val="1F3864"/>
          <w:sz w:val="28"/>
          <w:szCs w:val="28"/>
        </w:rPr>
        <w:t xml:space="preserve">1.3. Конкурентна політика</w:t>
      </w:r>
    </w:p>
    <w:p>
      <w:pPr>
        <w:spacing w:after="0" w:line="360"/>
        <w:ind w:firstLine="709"/>
        <w:jc w:val="both"/>
      </w:pPr>
      <w:r>
        <w:rPr>
          <w:rFonts w:ascii="Times New Roman" w:cs="Times New Roman" w:eastAsia="Times New Roman" w:hAnsi="Times New Roman"/>
          <w:sz w:val="28"/>
          <w:szCs w:val="28"/>
        </w:rPr>
        <w:t xml:space="preserve">Конкурентна політика забезпечує функціонування внутрішнього ринку й охоплює: заборону антиконкурентних угод (ст. 101 ДФЄС) і зловживання домінуючим становищем (ст. 102 ДФЄС); контроль концентрацій (Регламент (ЄС) № 139/2004); контроль державної допомоги (ст. 107–109 ДФЄС); регулювання цифрових «вартових» (Акт про цифрові ринки, Регламент (ЄС) 2022/1925), за порушення якого у квітні 2025 р. Комісія вперше наклала штрафи на Apple (500 млн євро) і Meta (200 млн євро).</w:t>
      </w:r>
    </w:p>
    <w:p>
      <w:pPr>
        <w:pBdr>
          <w:left w:val="single" w:color="2E5597" w:sz="24" w:space="6"/>
        </w:pBdr>
        <w:shd w:fill="EEF3FA" w:color="auto" w:val="clear"/>
        <w:spacing w:after="80" w:before="80" w:line="300"/>
        <w:ind w:left="284" w:right="142"/>
        <w:jc w:val="both"/>
      </w:pPr>
      <w:r>
        <w:rPr>
          <w:rFonts w:ascii="Times New Roman" w:cs="Times New Roman" w:eastAsia="Times New Roman" w:hAnsi="Times New Roman"/>
          <w:b/>
          <w:bCs/>
          <w:sz w:val="26"/>
          <w:szCs w:val="26"/>
        </w:rPr>
        <w:t xml:space="preserve">Зв’язок із грантово-проєктною діяльністю.</w:t>
      </w:r>
      <w:r>
        <w:rPr>
          <w:rFonts w:ascii="Times New Roman" w:cs="Times New Roman" w:eastAsia="Times New Roman" w:hAnsi="Times New Roman"/>
          <w:sz w:val="26"/>
          <w:szCs w:val="26"/>
        </w:rPr>
        <w:t xml:space="preserve"> Правила державної допомоги безпосередньо стосуються проєктів: фінансування господарської діяльності підприємств має відповідати Загальному регламенту про групові винятки (Регламент (ЄС) № 651/2014) або правилам </w:t>
      </w:r>
      <w:r>
        <w:rPr>
          <w:rFonts w:ascii="Times New Roman" w:cs="Times New Roman" w:eastAsia="Times New Roman" w:hAnsi="Times New Roman"/>
          <w:i/>
          <w:iCs/>
          <w:sz w:val="26"/>
          <w:szCs w:val="26"/>
        </w:rPr>
        <w:t xml:space="preserve">de minimis</w:t>
      </w:r>
      <w:r>
        <w:rPr>
          <w:rFonts w:ascii="Times New Roman" w:cs="Times New Roman" w:eastAsia="Times New Roman" w:hAnsi="Times New Roman"/>
          <w:sz w:val="26"/>
          <w:szCs w:val="26"/>
        </w:rPr>
        <w:t xml:space="preserve"> (Регламент (ЄС) 2023/2831 — до 300 тис. євро одному суб’єкту протягом трьох років). Для України ці правила є частиною acquis (розділ 8 «Конкурентна політика», кластер 2), а їх імплементація — умовою участі в програмах, що фінансують бізнес.</w:t>
      </w:r>
    </w:p>
    <w:p>
      <w:pPr>
        <w:pStyle w:val="Heading1"/>
        <w:keepNext/>
        <w:spacing w:after="160" w:before="300" w:line="300"/>
        <w:jc w:val="center"/>
      </w:pPr>
      <w:r>
        <w:rPr>
          <w:rFonts w:ascii="Times New Roman" w:cs="Times New Roman" w:eastAsia="Times New Roman" w:hAnsi="Times New Roman"/>
          <w:b/>
          <w:bCs/>
          <w:color w:val="1F3864"/>
          <w:sz w:val="30"/>
          <w:szCs w:val="30"/>
        </w:rPr>
        <w:t xml:space="preserve">2. Регіональна політика та політика згуртованості ЄС</w:t>
      </w:r>
    </w:p>
    <w:p>
      <w:pPr>
        <w:spacing w:after="0" w:line="360"/>
        <w:ind w:firstLine="709"/>
        <w:jc w:val="both"/>
      </w:pPr>
      <w:r>
        <w:rPr>
          <w:rFonts w:ascii="Times New Roman" w:cs="Times New Roman" w:eastAsia="Times New Roman" w:hAnsi="Times New Roman"/>
          <w:sz w:val="28"/>
          <w:szCs w:val="28"/>
        </w:rPr>
        <w:t xml:space="preserve">Відповідно до ст. 174 ДФЄС, Союз розвиває і провадить дії, спрямовані на посилення економічної, соціальної та територіальної згуртованості, зокрема на зменшення розриву між рівнями розвитку регіонів. Політика згуртованості є найбільшою інвестиційною політикою ЄС: у 2021–2027 рр. на неї виділено 392 млрд євро з бюджету ЄС, а з національним співфінансуванням — близько пів трильйона євро [17].</w:t>
      </w:r>
    </w:p>
    <w:p>
      <w:pPr>
        <w:keepNext/>
        <w:spacing w:after="40" w:before="120" w:line="276"/>
        <w:jc w:val="right"/>
      </w:pPr>
      <w:r>
        <w:rPr>
          <w:rFonts w:ascii="Times New Roman" w:cs="Times New Roman" w:eastAsia="Times New Roman" w:hAnsi="Times New Roman"/>
          <w:i/>
          <w:iCs/>
          <w:sz w:val="26"/>
          <w:szCs w:val="26"/>
        </w:rPr>
        <w:t xml:space="preserve">Таблиця 4.3</w:t>
      </w:r>
    </w:p>
    <w:p>
      <w:pPr>
        <w:keepNext/>
        <w:spacing w:after="80" w:before="0" w:line="276"/>
        <w:jc w:val="center"/>
      </w:pPr>
      <w:r>
        <w:rPr>
          <w:rFonts w:ascii="Times New Roman" w:cs="Times New Roman" w:eastAsia="Times New Roman" w:hAnsi="Times New Roman"/>
          <w:b/>
          <w:bCs/>
          <w:sz w:val="26"/>
          <w:szCs w:val="26"/>
        </w:rPr>
        <w:t xml:space="preserve">Архітектура політики згуртованості 2021–2027 рр. (Регламент (ЄС) 2021/1060)</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00"/>
        <w:gridCol w:w="7138"/>
      </w:tblGrid>
      <w:tr>
        <w:trPr>
          <w:tblHeader/>
        </w:trPr>
        <w:tc>
          <w:tcPr>
            <w:tcW w:type="dxa" w:w="2500"/>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Елемент</w:t>
            </w:r>
          </w:p>
        </w:tc>
        <w:tc>
          <w:tcPr>
            <w:tcW w:type="dxa" w:w="7138"/>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Зміст</w:t>
            </w:r>
          </w:p>
        </w:tc>
      </w:tr>
      <w:tr>
        <w:trPr>
          <w:tblHeader w:val="false"/>
        </w:trPr>
        <w:tc>
          <w:tcPr>
            <w:tcW w:type="dxa" w:w="2500"/>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Фонди</w:t>
            </w:r>
          </w:p>
        </w:tc>
        <w:tc>
          <w:tcPr>
            <w:tcW w:type="dxa" w:w="7138"/>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Європейський фонд регіонального розвитку (ERDF); Фонд згуртованості (CF); Європейський соціальний фонд+ (ESF+); Фонд справедливого переходу (JTF); Interreg (європейське територіальне співробітництво)</w:t>
            </w:r>
          </w:p>
        </w:tc>
      </w:tr>
      <w:tr>
        <w:trPr>
          <w:tblHeader w:val="false"/>
        </w:trPr>
        <w:tc>
          <w:tcPr>
            <w:tcW w:type="dxa" w:w="2500"/>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Цілі політики</w:t>
            </w:r>
          </w:p>
        </w:tc>
        <w:tc>
          <w:tcPr>
            <w:tcW w:type="dxa" w:w="7138"/>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ЦП1 — конкурентоспроможніша і розумніша Європа; ЦП2 — зеленіша, низьковуглецева Європа; ЦП3 — більш пов’язана Європа; ЦП4 — більш соціальна Європа; ЦП5 — Європа, ближча до громадян</w:t>
            </w:r>
          </w:p>
        </w:tc>
      </w:tr>
      <w:tr>
        <w:trPr>
          <w:tblHeader w:val="false"/>
        </w:trPr>
        <w:tc>
          <w:tcPr>
            <w:tcW w:type="dxa" w:w="2500"/>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Категорії регіонів (NUTS 2)</w:t>
            </w:r>
          </w:p>
        </w:tc>
        <w:tc>
          <w:tcPr>
            <w:tcW w:type="dxa" w:w="7138"/>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Менш розвинені (ВВП на особу &lt; 75 % середнього по ЄС); перехідні (75–100 %); більш розвинені (&gt; 100 %)</w:t>
            </w:r>
          </w:p>
        </w:tc>
      </w:tr>
      <w:tr>
        <w:trPr>
          <w:tblHeader w:val="false"/>
        </w:trPr>
        <w:tc>
          <w:tcPr>
            <w:tcW w:type="dxa" w:w="2500"/>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Принципи</w:t>
            </w:r>
          </w:p>
        </w:tc>
        <w:tc>
          <w:tcPr>
            <w:tcW w:type="dxa" w:w="7138"/>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Партнерство і багаторівневе врядування; програмування; тематична концентрація; належне фінансове управління; орієнтація на результат; горизонтальні принципи (рівність, недискримінація, сталий розвиток)</w:t>
            </w:r>
          </w:p>
        </w:tc>
      </w:tr>
      <w:tr>
        <w:trPr>
          <w:tblHeader w:val="false"/>
        </w:trPr>
        <w:tc>
          <w:tcPr>
            <w:tcW w:type="dxa" w:w="2500"/>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Спосіб управління</w:t>
            </w:r>
          </w:p>
        </w:tc>
        <w:tc>
          <w:tcPr>
            <w:tcW w:type="dxa" w:w="7138"/>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Спільне управління (Комісія + національні та регіональні органи управління)</w:t>
            </w:r>
          </w:p>
        </w:tc>
      </w:tr>
      <w:tr>
        <w:trPr>
          <w:tblHeader w:val="false"/>
        </w:trPr>
        <w:tc>
          <w:tcPr>
            <w:tcW w:type="dxa" w:w="2500"/>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Проміжний перегляд 2025 р.</w:t>
            </w:r>
          </w:p>
        </w:tc>
        <w:tc>
          <w:tcPr>
            <w:tcW w:type="dxa" w:w="7138"/>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Політична угода Ради і Парламенту (липень 2025 р.): можливість переспрямування коштів на конкурентоспроможність, оборону, доступне житло, водну стійкість і енергетичний перехід; станом на березень 2026 р. переспрямовано 34,6 млрд євро</w:t>
            </w:r>
          </w:p>
        </w:tc>
      </w:tr>
    </w:tbl>
    <w:p>
      <w:pPr>
        <w:spacing w:after="60" w:before="0" w:line="240"/>
      </w:pPr>
    </w:p>
    <w:p>
      <w:pPr>
        <w:spacing w:after="120" w:before="0" w:line="240"/>
        <w:jc w:val="left"/>
      </w:pPr>
      <w:r>
        <w:rPr>
          <w:rFonts w:ascii="Times New Roman" w:cs="Times New Roman" w:eastAsia="Times New Roman" w:hAnsi="Times New Roman"/>
          <w:i/>
          <w:iCs/>
          <w:sz w:val="22"/>
          <w:szCs w:val="22"/>
        </w:rPr>
        <w:t xml:space="preserve">Джерело: складено на основі [17; 18].</w:t>
      </w:r>
    </w:p>
    <w:p>
      <w:pPr>
        <w:spacing w:after="0" w:line="360"/>
        <w:ind w:firstLine="709"/>
        <w:jc w:val="both"/>
      </w:pPr>
      <w:r>
        <w:rPr>
          <w:rFonts w:ascii="Times New Roman" w:cs="Times New Roman" w:eastAsia="Times New Roman" w:hAnsi="Times New Roman"/>
          <w:sz w:val="28"/>
          <w:szCs w:val="28"/>
        </w:rPr>
        <w:t xml:space="preserve">Політика згуртованості є практичним втіленням теорії багаторівневого врядування (лекція 1): рішення про пріоритети ухвалюються спільно Комісією, урядами, регіонами та партнерами. Пропозиція БФР 2028–2034 рр. передбачає об’єднання фондів згуртованості та аграрної політики в </w:t>
      </w:r>
      <w:r>
        <w:rPr>
          <w:rFonts w:ascii="Times New Roman" w:cs="Times New Roman" w:eastAsia="Times New Roman" w:hAnsi="Times New Roman"/>
          <w:i/>
          <w:iCs/>
          <w:sz w:val="28"/>
          <w:szCs w:val="28"/>
        </w:rPr>
        <w:t xml:space="preserve">національні та регіональні партнерські плани</w:t>
      </w:r>
      <w:r>
        <w:rPr>
          <w:rFonts w:ascii="Times New Roman" w:cs="Times New Roman" w:eastAsia="Times New Roman" w:hAnsi="Times New Roman"/>
          <w:sz w:val="28"/>
          <w:szCs w:val="28"/>
        </w:rPr>
        <w:t xml:space="preserve"> обсягом 865 млрд євро, що викликало дискусію щодо ризику «ренаціоналізації» політики та послаблення ролі регіонів.</w:t>
      </w:r>
    </w:p>
    <w:p>
      <w:pPr>
        <w:spacing w:after="0" w:line="360"/>
        <w:ind w:firstLine="709"/>
        <w:jc w:val="both"/>
      </w:pPr>
      <w:r>
        <w:rPr>
          <w:rFonts w:ascii="Times New Roman" w:cs="Times New Roman" w:eastAsia="Times New Roman" w:hAnsi="Times New Roman"/>
          <w:sz w:val="28"/>
          <w:szCs w:val="28"/>
        </w:rPr>
        <w:t xml:space="preserve">Для України політика згуртованості має двоякий вимір. По-перше, це </w:t>
      </w:r>
      <w:r>
        <w:rPr>
          <w:rFonts w:ascii="Times New Roman" w:cs="Times New Roman" w:eastAsia="Times New Roman" w:hAnsi="Times New Roman"/>
          <w:i/>
          <w:iCs/>
          <w:sz w:val="28"/>
          <w:szCs w:val="28"/>
        </w:rPr>
        <w:t xml:space="preserve">розділ 22 «Регіональна політика та координація структурних інструментів»</w:t>
      </w:r>
      <w:r>
        <w:rPr>
          <w:rFonts w:ascii="Times New Roman" w:cs="Times New Roman" w:eastAsia="Times New Roman" w:hAnsi="Times New Roman"/>
          <w:sz w:val="28"/>
          <w:szCs w:val="28"/>
        </w:rPr>
        <w:t xml:space="preserve"> (кластер 5), що вимагатиме побудови адміністративної системи управління фондами ЄС. По-друге, це </w:t>
      </w:r>
      <w:r>
        <w:rPr>
          <w:rFonts w:ascii="Times New Roman" w:cs="Times New Roman" w:eastAsia="Times New Roman" w:hAnsi="Times New Roman"/>
          <w:i/>
          <w:iCs/>
          <w:sz w:val="28"/>
          <w:szCs w:val="28"/>
        </w:rPr>
        <w:t xml:space="preserve">практична участь</w:t>
      </w:r>
      <w:r>
        <w:rPr>
          <w:rFonts w:ascii="Times New Roman" w:cs="Times New Roman" w:eastAsia="Times New Roman" w:hAnsi="Times New Roman"/>
          <w:sz w:val="28"/>
          <w:szCs w:val="28"/>
        </w:rPr>
        <w:t xml:space="preserve"> у програмах Interreg: Interreg NEXT Польща — Україна (внесок ЄС — 235,9 млн євро), Interreg NEXT Угорщина — Словаччина — Румунія — Україна (83,2 млн євро), Interreg NEXT Румунія — Україна, Interreg Дунайського регіону, де українські громади отримують досвід спільного управління проєктами за правилами ЄС.</w:t>
      </w:r>
    </w:p>
    <w:p>
      <w:pPr>
        <w:pStyle w:val="Heading1"/>
        <w:keepNext/>
        <w:spacing w:after="160" w:before="300" w:line="300"/>
        <w:jc w:val="center"/>
      </w:pPr>
      <w:r>
        <w:rPr>
          <w:rFonts w:ascii="Times New Roman" w:cs="Times New Roman" w:eastAsia="Times New Roman" w:hAnsi="Times New Roman"/>
          <w:b/>
          <w:bCs/>
          <w:color w:val="1F3864"/>
          <w:sz w:val="30"/>
          <w:szCs w:val="30"/>
        </w:rPr>
        <w:t xml:space="preserve">3. Інноваційна, науково-дослідна та освітня політика ЄС</w:t>
      </w:r>
    </w:p>
    <w:p>
      <w:pPr>
        <w:pStyle w:val="Heading2"/>
        <w:keepNext/>
        <w:spacing w:after="120" w:before="240" w:line="300"/>
      </w:pPr>
      <w:r>
        <w:rPr>
          <w:rFonts w:ascii="Times New Roman" w:cs="Times New Roman" w:eastAsia="Times New Roman" w:hAnsi="Times New Roman"/>
          <w:b/>
          <w:bCs/>
          <w:color w:val="1F3864"/>
          <w:sz w:val="28"/>
          <w:szCs w:val="28"/>
        </w:rPr>
        <w:t xml:space="preserve">3.1. Науково-дослідна та інноваційна політика</w:t>
      </w:r>
    </w:p>
    <w:p>
      <w:pPr>
        <w:spacing w:after="0" w:line="360"/>
        <w:ind w:firstLine="709"/>
        <w:jc w:val="both"/>
      </w:pPr>
      <w:r>
        <w:rPr>
          <w:rFonts w:ascii="Times New Roman" w:cs="Times New Roman" w:eastAsia="Times New Roman" w:hAnsi="Times New Roman"/>
          <w:sz w:val="28"/>
          <w:szCs w:val="28"/>
        </w:rPr>
        <w:t xml:space="preserve">Метою політики (ст. 179 ДФЄС) є зміцнення наукової та технологічної бази Союзу через створення </w:t>
      </w:r>
      <w:r>
        <w:rPr>
          <w:rFonts w:ascii="Times New Roman" w:cs="Times New Roman" w:eastAsia="Times New Roman" w:hAnsi="Times New Roman"/>
          <w:b/>
          <w:bCs/>
          <w:sz w:val="28"/>
          <w:szCs w:val="28"/>
        </w:rPr>
        <w:t xml:space="preserve">Європейського дослідницького простору</w:t>
      </w:r>
      <w:r>
        <w:rPr>
          <w:rFonts w:ascii="Times New Roman" w:cs="Times New Roman" w:eastAsia="Times New Roman" w:hAnsi="Times New Roman"/>
          <w:sz w:val="28"/>
          <w:szCs w:val="28"/>
        </w:rPr>
        <w:t xml:space="preserve"> (ERA), у якому вільно циркулюють дослідники, наукові знання і технології. Основним інструментом є рамкова програма </w:t>
      </w:r>
      <w:r>
        <w:rPr>
          <w:rFonts w:ascii="Times New Roman" w:cs="Times New Roman" w:eastAsia="Times New Roman" w:hAnsi="Times New Roman"/>
          <w:i/>
          <w:iCs/>
          <w:sz w:val="28"/>
          <w:szCs w:val="28"/>
        </w:rPr>
        <w:t xml:space="preserve">Horizon Europe</w:t>
      </w:r>
      <w:r>
        <w:rPr>
          <w:rFonts w:ascii="Times New Roman" w:cs="Times New Roman" w:eastAsia="Times New Roman" w:hAnsi="Times New Roman"/>
          <w:sz w:val="28"/>
          <w:szCs w:val="28"/>
        </w:rPr>
        <w:t xml:space="preserve"> (2021–2027 рр.; 95,5 млрд євро, включно з 5,4 млрд євро NextGenerationEU), структурована у три стовпи (Відмінна наука; Глобальні виклики та європейська промислова конкурентоспроможність; Інноваційна Європа) та компонент «Розширення участі та зміцнення ERA» [19].</w:t>
      </w:r>
    </w:p>
    <w:p>
      <w:pPr>
        <w:spacing w:after="0" w:line="360"/>
        <w:ind w:firstLine="709"/>
        <w:jc w:val="both"/>
      </w:pPr>
      <w:r>
        <w:rPr>
          <w:rFonts w:ascii="Times New Roman" w:cs="Times New Roman" w:eastAsia="Times New Roman" w:hAnsi="Times New Roman"/>
          <w:sz w:val="28"/>
          <w:szCs w:val="28"/>
        </w:rPr>
        <w:t xml:space="preserve">Сучасні ініціативи: робоча програма Horizon Europe на 2026–2027 рр. обсягом 14 млрд євро (ухвалена 12 грудня 2025 р.) зі спрощеними правилами, ширшим застосуванням одноразових виплат (lump sum) і дворівневим оцінюванням; ініціатива «Обирай Європу для науки» (травень 2025 р.) для залучення дослідників; підготовка Акту про Європейський дослідницький простір (консультації — з жовтня 2025 р.). Пропозиція БФР 2028–2034 рр. передбачає Horizon Europe обсягом 175 млрд євро, що разом із Європейським фондом конкурентоспроможності (234 млрд євро) становить 409 млрд євро, або 21 % майбутнього бюджету ЄС.</w:t>
      </w:r>
    </w:p>
    <w:p>
      <w:pPr>
        <w:pStyle w:val="Heading2"/>
        <w:keepNext/>
        <w:spacing w:after="120" w:before="240" w:line="300"/>
      </w:pPr>
      <w:r>
        <w:rPr>
          <w:rFonts w:ascii="Times New Roman" w:cs="Times New Roman" w:eastAsia="Times New Roman" w:hAnsi="Times New Roman"/>
          <w:b/>
          <w:bCs/>
          <w:color w:val="1F3864"/>
          <w:sz w:val="28"/>
          <w:szCs w:val="28"/>
        </w:rPr>
        <w:t xml:space="preserve">3.2. Освітня політика</w:t>
      </w:r>
    </w:p>
    <w:p>
      <w:pPr>
        <w:spacing w:after="0" w:line="360"/>
        <w:ind w:firstLine="709"/>
        <w:jc w:val="both"/>
      </w:pPr>
      <w:r>
        <w:rPr>
          <w:rFonts w:ascii="Times New Roman" w:cs="Times New Roman" w:eastAsia="Times New Roman" w:hAnsi="Times New Roman"/>
          <w:sz w:val="28"/>
          <w:szCs w:val="28"/>
        </w:rPr>
        <w:t xml:space="preserve">Освітня політика належить до </w:t>
      </w:r>
      <w:r>
        <w:rPr>
          <w:rFonts w:ascii="Times New Roman" w:cs="Times New Roman" w:eastAsia="Times New Roman" w:hAnsi="Times New Roman"/>
          <w:i/>
          <w:iCs/>
          <w:sz w:val="28"/>
          <w:szCs w:val="28"/>
        </w:rPr>
        <w:t xml:space="preserve">підтримувальних</w:t>
      </w:r>
      <w:r>
        <w:rPr>
          <w:rFonts w:ascii="Times New Roman" w:cs="Times New Roman" w:eastAsia="Times New Roman" w:hAnsi="Times New Roman"/>
          <w:sz w:val="28"/>
          <w:szCs w:val="28"/>
        </w:rPr>
        <w:t xml:space="preserve"> компетенцій (ст. 165–166 ДФЄС), тому реалізується через стимулюючі заходи, відкритий метод координації та програму Erasmus+. Стратегічними рамками є Європейський освітній простір і Повідомлення Комісії «Союз навичок» (березень 2025 р.). Серед цілей на рівні ЄС до 2030 р.: частка осіб віком 25–34 роки з вищою освітою — щонайменше 45 %; частка тих, хто рано залишив навчання, — менше 9 %; частка 15-річних із низькими результатами з читання, математики і природничих наук — менше 15 %; щонайменше 60 % випускників професійної освіти — з досвідом навчання на робочому місці.</w:t>
      </w:r>
    </w:p>
    <w:p>
      <w:pPr>
        <w:keepNext/>
        <w:spacing w:after="40" w:before="120" w:line="276"/>
        <w:jc w:val="right"/>
      </w:pPr>
      <w:r>
        <w:rPr>
          <w:rFonts w:ascii="Times New Roman" w:cs="Times New Roman" w:eastAsia="Times New Roman" w:hAnsi="Times New Roman"/>
          <w:i/>
          <w:iCs/>
          <w:sz w:val="26"/>
          <w:szCs w:val="26"/>
        </w:rPr>
        <w:t xml:space="preserve">Таблиця 4.4</w:t>
      </w:r>
    </w:p>
    <w:p>
      <w:pPr>
        <w:keepNext/>
        <w:spacing w:after="80" w:before="0" w:line="276"/>
        <w:jc w:val="center"/>
      </w:pPr>
      <w:r>
        <w:rPr>
          <w:rFonts w:ascii="Times New Roman" w:cs="Times New Roman" w:eastAsia="Times New Roman" w:hAnsi="Times New Roman"/>
          <w:b/>
          <w:bCs/>
          <w:sz w:val="26"/>
          <w:szCs w:val="26"/>
        </w:rPr>
        <w:t xml:space="preserve">Науково-освітня політика ЄС: цілі, інструменти та можливості для України</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637"/>
        <w:gridCol w:w="2497"/>
        <w:gridCol w:w="2375"/>
        <w:gridCol w:w="3129"/>
      </w:tblGrid>
      <w:tr>
        <w:trPr>
          <w:tblHeader/>
        </w:trPr>
        <w:tc>
          <w:tcPr>
            <w:tcW w:type="dxa" w:w="1637"/>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Вимір</w:t>
            </w:r>
          </w:p>
        </w:tc>
        <w:tc>
          <w:tcPr>
            <w:tcW w:type="dxa" w:w="2497"/>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Ціль ЄС</w:t>
            </w:r>
          </w:p>
        </w:tc>
        <w:tc>
          <w:tcPr>
            <w:tcW w:type="dxa" w:w="2375"/>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Інструменти</w:t>
            </w:r>
          </w:p>
        </w:tc>
        <w:tc>
          <w:tcPr>
            <w:tcW w:type="dxa" w:w="3129"/>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Можливості для України</w:t>
            </w:r>
          </w:p>
        </w:tc>
      </w:tr>
      <w:tr>
        <w:trPr>
          <w:tblHeader w:val="false"/>
        </w:trPr>
        <w:tc>
          <w:tcPr>
            <w:tcW w:type="dxa" w:w="163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Дослідження</w:t>
            </w:r>
          </w:p>
        </w:tc>
        <w:tc>
          <w:tcPr>
            <w:tcW w:type="dxa" w:w="249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Європейський дослідницький простір, «п’ята свобода»</w:t>
            </w:r>
          </w:p>
        </w:tc>
        <w:tc>
          <w:tcPr>
            <w:tcW w:type="dxa" w:w="237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Horizon Europe; ERC; MSCA; EIC; місії ЄС</w:t>
            </w:r>
          </w:p>
        </w:tc>
        <w:tc>
          <w:tcPr>
            <w:tcW w:type="dxa" w:w="312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Асоціація до Horizon Europe (чинна з 9.06.2022): участь на рівних умовах; MSCA4Ukraine, EIC4Ukraine</w:t>
            </w:r>
          </w:p>
        </w:tc>
      </w:tr>
      <w:tr>
        <w:trPr>
          <w:tblHeader w:val="false"/>
        </w:trPr>
        <w:tc>
          <w:tcPr>
            <w:tcW w:type="dxa" w:w="163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Інновації</w:t>
            </w:r>
          </w:p>
        </w:tc>
        <w:tc>
          <w:tcPr>
            <w:tcW w:type="dxa" w:w="249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Подолання інноваційного розриву (Компас конкурентоспроможності)</w:t>
            </w:r>
          </w:p>
        </w:tc>
        <w:tc>
          <w:tcPr>
            <w:tcW w:type="dxa" w:w="237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EIC; European Innovation Ecosystems; EIT</w:t>
            </w:r>
          </w:p>
        </w:tc>
        <w:tc>
          <w:tcPr>
            <w:tcW w:type="dxa" w:w="312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Стартапи, трансфер технологій, регіональні інноваційні екосистеми</w:t>
            </w:r>
          </w:p>
        </w:tc>
      </w:tr>
      <w:tr>
        <w:trPr>
          <w:tblHeader w:val="false"/>
        </w:trPr>
        <w:tc>
          <w:tcPr>
            <w:tcW w:type="dxa" w:w="163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Вища освіта</w:t>
            </w:r>
          </w:p>
        </w:tc>
        <w:tc>
          <w:tcPr>
            <w:tcW w:type="dxa" w:w="249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Європейський освітній простір; європейські університети</w:t>
            </w:r>
          </w:p>
        </w:tc>
        <w:tc>
          <w:tcPr>
            <w:tcW w:type="dxa" w:w="237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Erasmus+ (KA1, KA2, Jean Monnet); Erasmus Mundus</w:t>
            </w:r>
          </w:p>
        </w:tc>
        <w:tc>
          <w:tcPr>
            <w:tcW w:type="dxa" w:w="312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Україна — третя країна, не асоційована до програми (Регіон 2): мобільність, CBHE, Jean Monnet</w:t>
            </w:r>
          </w:p>
        </w:tc>
      </w:tr>
      <w:tr>
        <w:trPr>
          <w:tblHeader w:val="false"/>
        </w:trPr>
        <w:tc>
          <w:tcPr>
            <w:tcW w:type="dxa" w:w="163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Навички</w:t>
            </w:r>
          </w:p>
        </w:tc>
        <w:tc>
          <w:tcPr>
            <w:tcW w:type="dxa" w:w="249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Союз навичок</w:t>
            </w:r>
          </w:p>
        </w:tc>
        <w:tc>
          <w:tcPr>
            <w:tcW w:type="dxa" w:w="237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Erasmus+, ESF+, Digital Europe (передові цифрові навички)</w:t>
            </w:r>
          </w:p>
        </w:tc>
        <w:tc>
          <w:tcPr>
            <w:tcW w:type="dxa" w:w="312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Модернізація професійної освіти, визнання кваліфікацій</w:t>
            </w:r>
          </w:p>
        </w:tc>
      </w:tr>
    </w:tbl>
    <w:p>
      <w:pPr>
        <w:spacing w:after="60" w:before="0" w:line="240"/>
      </w:pPr>
    </w:p>
    <w:p>
      <w:pPr>
        <w:spacing w:after="120" w:before="0" w:line="240"/>
        <w:jc w:val="left"/>
      </w:pPr>
      <w:r>
        <w:rPr>
          <w:rFonts w:ascii="Times New Roman" w:cs="Times New Roman" w:eastAsia="Times New Roman" w:hAnsi="Times New Roman"/>
          <w:i/>
          <w:iCs/>
          <w:sz w:val="22"/>
          <w:szCs w:val="22"/>
        </w:rPr>
        <w:t xml:space="preserve">Джерело: складено на основі [19–21].</w:t>
      </w:r>
    </w:p>
    <w:p>
      <w:pPr>
        <w:spacing w:after="0" w:line="360"/>
        <w:ind w:firstLine="709"/>
        <w:jc w:val="both"/>
      </w:pPr>
      <w:r>
        <w:rPr>
          <w:rFonts w:ascii="Times New Roman" w:cs="Times New Roman" w:eastAsia="Times New Roman" w:hAnsi="Times New Roman"/>
          <w:sz w:val="28"/>
          <w:szCs w:val="28"/>
        </w:rPr>
        <w:t xml:space="preserve">Науково-освітня політика ЄС є тим сегментом, де Україна вже сьогодні функціонує як де-факто учасник простору ЄС. Асоціація до Horizon Europe звільняє Україну від фінансового внеску та надає українським організаціям право координувати проєкти; у межах компонента «Розширення участі» Україна отримала можливість долучатися до вже діючих консорціумів (механізм Hop On). Для закладів вищої освіти ключове значення має поєднання двох програм: Erasmus+ забезпечує модернізацію навчальних програм і мобільність, тоді як Horizon Europe — дослідницьку інтеграцію. Дослідження фінансових детермінант розвитку вищої освіти в ЄС засвідчують, що саме диверсифікація джерел фінансування, зокрема за рахунок програм ЄС, є фактором конкурентоспроможності університетів [7].</w:t>
      </w:r>
    </w:p>
    <w:p>
      <w:pPr>
        <w:pStyle w:val="Heading1"/>
        <w:keepNext/>
        <w:spacing w:after="160" w:before="300" w:line="300"/>
        <w:jc w:val="center"/>
      </w:pPr>
      <w:r>
        <w:rPr>
          <w:rFonts w:ascii="Times New Roman" w:cs="Times New Roman" w:eastAsia="Times New Roman" w:hAnsi="Times New Roman"/>
          <w:b/>
          <w:bCs/>
          <w:color w:val="1F3864"/>
          <w:sz w:val="30"/>
          <w:szCs w:val="30"/>
        </w:rPr>
        <w:t xml:space="preserve">4. Цифрова політика ЄС та розвиток єдиного цифрового ринку</w:t>
      </w:r>
    </w:p>
    <w:p>
      <w:pPr>
        <w:spacing w:after="0" w:line="360"/>
        <w:ind w:firstLine="709"/>
        <w:jc w:val="both"/>
      </w:pPr>
      <w:r>
        <w:rPr>
          <w:rFonts w:ascii="Times New Roman" w:cs="Times New Roman" w:eastAsia="Times New Roman" w:hAnsi="Times New Roman"/>
          <w:sz w:val="28"/>
          <w:szCs w:val="28"/>
        </w:rPr>
        <w:t xml:space="preserve">Цифрова політика ЄС пройшла еволюцію від Стратегії єдиного цифрового ринку (2015) до концепції </w:t>
      </w:r>
      <w:r>
        <w:rPr>
          <w:rFonts w:ascii="Times New Roman" w:cs="Times New Roman" w:eastAsia="Times New Roman" w:hAnsi="Times New Roman"/>
          <w:i/>
          <w:iCs/>
          <w:sz w:val="28"/>
          <w:szCs w:val="28"/>
        </w:rPr>
        <w:t xml:space="preserve">цифрового суверенітету</w:t>
      </w:r>
      <w:r>
        <w:rPr>
          <w:rFonts w:ascii="Times New Roman" w:cs="Times New Roman" w:eastAsia="Times New Roman" w:hAnsi="Times New Roman"/>
          <w:sz w:val="28"/>
          <w:szCs w:val="28"/>
        </w:rPr>
        <w:t xml:space="preserve">. Правовою рамкою стратегічних цілей є Рішення (ЄС) 2022/2481 про програму політики «Шлях до цифрового десятиліття» до 2030 р., що встановлює цілі в чотирьох вимірах (табл. 4.5).</w:t>
      </w:r>
    </w:p>
    <w:p>
      <w:pPr>
        <w:keepNext/>
        <w:spacing w:after="40" w:before="120" w:line="276"/>
        <w:jc w:val="right"/>
      </w:pPr>
      <w:r>
        <w:rPr>
          <w:rFonts w:ascii="Times New Roman" w:cs="Times New Roman" w:eastAsia="Times New Roman" w:hAnsi="Times New Roman"/>
          <w:i/>
          <w:iCs/>
          <w:sz w:val="26"/>
          <w:szCs w:val="26"/>
        </w:rPr>
        <w:t xml:space="preserve">Таблиця 4.5</w:t>
      </w:r>
    </w:p>
    <w:p>
      <w:pPr>
        <w:keepNext/>
        <w:spacing w:after="80" w:before="0" w:line="276"/>
        <w:jc w:val="center"/>
      </w:pPr>
      <w:r>
        <w:rPr>
          <w:rFonts w:ascii="Times New Roman" w:cs="Times New Roman" w:eastAsia="Times New Roman" w:hAnsi="Times New Roman"/>
          <w:b/>
          <w:bCs/>
          <w:sz w:val="26"/>
          <w:szCs w:val="26"/>
        </w:rPr>
        <w:t xml:space="preserve">Цілі цифрового десятиліття ЄС до 2030 р.</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05"/>
        <w:gridCol w:w="7233"/>
      </w:tblGrid>
      <w:tr>
        <w:trPr>
          <w:tblHeader/>
        </w:trPr>
        <w:tc>
          <w:tcPr>
            <w:tcW w:type="dxa" w:w="2405"/>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Вимір</w:t>
            </w:r>
          </w:p>
        </w:tc>
        <w:tc>
          <w:tcPr>
            <w:tcW w:type="dxa" w:w="7233"/>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Цілі</w:t>
            </w:r>
          </w:p>
        </w:tc>
      </w:tr>
      <w:tr>
        <w:trPr>
          <w:tblHeader w:val="false"/>
        </w:trPr>
        <w:tc>
          <w:tcPr>
            <w:tcW w:type="dxa" w:w="240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Навички</w:t>
            </w:r>
          </w:p>
        </w:tc>
        <w:tc>
          <w:tcPr>
            <w:tcW w:type="dxa" w:w="723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Щонайменше 80 % дорослих — із базовими цифровими навичками; 20 млн фахівців з ІКТ за гендерної конвергенції</w:t>
            </w:r>
          </w:p>
        </w:tc>
      </w:tr>
      <w:tr>
        <w:trPr>
          <w:tblHeader w:val="false"/>
        </w:trPr>
        <w:tc>
          <w:tcPr>
            <w:tcW w:type="dxa" w:w="240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Інфраструктура</w:t>
            </w:r>
          </w:p>
        </w:tc>
        <w:tc>
          <w:tcPr>
            <w:tcW w:type="dxa" w:w="723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Гігабітне підключення для всіх домогосподарств, покриття 5G усіх населених територій; 20 % світового виробництва передових напівпровідників; 10 000 кліматично нейтральних периферійних вузлів; перші квантові комп’ютери</w:t>
            </w:r>
          </w:p>
        </w:tc>
      </w:tr>
      <w:tr>
        <w:trPr>
          <w:tblHeader w:val="false"/>
        </w:trPr>
        <w:tc>
          <w:tcPr>
            <w:tcW w:type="dxa" w:w="240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Цифровізація бізнесу</w:t>
            </w:r>
          </w:p>
        </w:tc>
        <w:tc>
          <w:tcPr>
            <w:tcW w:type="dxa" w:w="723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75 % компаній використовують хмарні сервіси, штучний інтелект або великі дані; понад 90 % МСП мають щонайменше базовий рівень цифрової інтенсивності; подвоєння кількості «єдинорогів»</w:t>
            </w:r>
          </w:p>
        </w:tc>
      </w:tr>
      <w:tr>
        <w:trPr>
          <w:tblHeader w:val="false"/>
        </w:trPr>
        <w:tc>
          <w:tcPr>
            <w:tcW w:type="dxa" w:w="240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Цифрові публічні послуги</w:t>
            </w:r>
          </w:p>
        </w:tc>
        <w:tc>
          <w:tcPr>
            <w:tcW w:type="dxa" w:w="723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100 % ключових публічних послуг онлайн; 100 % громадян мають доступ до електронних медичних записів; широке використання європейського гаманця цифрової ідентичності</w:t>
            </w:r>
          </w:p>
        </w:tc>
      </w:tr>
    </w:tbl>
    <w:p>
      <w:pPr>
        <w:spacing w:after="60" w:before="0" w:line="240"/>
      </w:pPr>
    </w:p>
    <w:p>
      <w:pPr>
        <w:spacing w:after="120" w:before="0" w:line="240"/>
        <w:jc w:val="left"/>
      </w:pPr>
      <w:r>
        <w:rPr>
          <w:rFonts w:ascii="Times New Roman" w:cs="Times New Roman" w:eastAsia="Times New Roman" w:hAnsi="Times New Roman"/>
          <w:i/>
          <w:iCs/>
          <w:sz w:val="22"/>
          <w:szCs w:val="22"/>
        </w:rPr>
        <w:t xml:space="preserve">Джерело: Рішення (ЄС) 2022/2481 [22].</w:t>
      </w:r>
    </w:p>
    <w:p>
      <w:pPr>
        <w:spacing w:after="0" w:line="360"/>
        <w:ind w:firstLine="709"/>
        <w:jc w:val="both"/>
      </w:pPr>
      <w:r>
        <w:rPr>
          <w:rFonts w:ascii="Times New Roman" w:cs="Times New Roman" w:eastAsia="Times New Roman" w:hAnsi="Times New Roman"/>
          <w:sz w:val="28"/>
          <w:szCs w:val="28"/>
        </w:rPr>
        <w:t xml:space="preserve">Регуляторна складова включає Акт про цифрові послуги (Регламент (ЄС) 2022/2065), Акт про цифрові ринки (Регламент (ЄС) 2022/1925), Регламент про штучний інтелект (Регламент (ЄС) 2024/1689), Акт про дані (Регламент (ЄС) 2023/2854), Закон про чіпи. У руслі політики спрощення Комісія в листопаді 2025 р. представила «цифровий омнібус»; щодо Регламенту про штучний інтелект 6 травня 2026 р. досягнуто попередньої політичної угоди про перенесення вимог до систем високого ризику (для систем за додатком III — на 2 грудня 2027 р., за додатком I — на 2 серпня 2028 р.), що набуде чинності після офіційного опублікування.</w:t>
      </w:r>
    </w:p>
    <w:p>
      <w:pPr>
        <w:spacing w:after="0" w:line="360"/>
        <w:ind w:firstLine="709"/>
        <w:jc w:val="both"/>
      </w:pPr>
      <w:r>
        <w:rPr>
          <w:rFonts w:ascii="Times New Roman" w:cs="Times New Roman" w:eastAsia="Times New Roman" w:hAnsi="Times New Roman"/>
          <w:sz w:val="28"/>
          <w:szCs w:val="28"/>
        </w:rPr>
        <w:t xml:space="preserve">Фінансову складову становлять Digital Europe (понад 8,1 млрд євро на 2021–2027 рр.; суперкомп’ютери, штучний інтелект, кібербезпека, передові цифрові навички, європейські цифрові інноваційні хаби, напівпровідники) і цифровий компонент CEF. Україна асоційована до Digital Europe (угода підписана 5 вересня 2022 р.) і з 1 січня 2026 р. входить до зони «роумінг як удома», що є прикладом інтеграції до єдиного цифрового ринку ще до членства.</w:t>
      </w:r>
    </w:p>
    <w:p>
      <w:pPr>
        <w:pStyle w:val="Heading1"/>
        <w:keepNext/>
        <w:spacing w:after="160" w:before="300" w:line="300"/>
        <w:jc w:val="center"/>
      </w:pPr>
      <w:r>
        <w:rPr>
          <w:rFonts w:ascii="Times New Roman" w:cs="Times New Roman" w:eastAsia="Times New Roman" w:hAnsi="Times New Roman"/>
          <w:b/>
          <w:bCs/>
          <w:color w:val="1F3864"/>
          <w:sz w:val="30"/>
          <w:szCs w:val="30"/>
        </w:rPr>
        <w:t xml:space="preserve">5. Європейський зелений курс і політика сталого розвитку</w:t>
      </w:r>
    </w:p>
    <w:p>
      <w:pPr>
        <w:spacing w:after="0" w:line="360"/>
        <w:ind w:firstLine="709"/>
        <w:jc w:val="both"/>
      </w:pPr>
      <w:r>
        <w:rPr>
          <w:rFonts w:ascii="Times New Roman" w:cs="Times New Roman" w:eastAsia="Times New Roman" w:hAnsi="Times New Roman"/>
          <w:sz w:val="28"/>
          <w:szCs w:val="28"/>
        </w:rPr>
        <w:t xml:space="preserve">Європейський зелений курс (COM(2019) 640) визначив мету перетворення ЄС на першу кліматично нейтральну економіку до 2050 р. Його реалізація відбувалася у двох фазах: </w:t>
      </w:r>
      <w:r>
        <w:rPr>
          <w:rFonts w:ascii="Times New Roman" w:cs="Times New Roman" w:eastAsia="Times New Roman" w:hAnsi="Times New Roman"/>
          <w:i/>
          <w:iCs/>
          <w:sz w:val="28"/>
          <w:szCs w:val="28"/>
        </w:rPr>
        <w:t xml:space="preserve">законодавчій</w:t>
      </w:r>
      <w:r>
        <w:rPr>
          <w:rFonts w:ascii="Times New Roman" w:cs="Times New Roman" w:eastAsia="Times New Roman" w:hAnsi="Times New Roman"/>
          <w:sz w:val="28"/>
          <w:szCs w:val="28"/>
        </w:rPr>
        <w:t xml:space="preserve"> (2019–2024 рр.: Кліматичний закон, пакет «Fit for 55», реформа EU ETS, CBAM, Регламент про відновлення природи (ЄС) 2024/1991, план REPowerEU) та </w:t>
      </w:r>
      <w:r>
        <w:rPr>
          <w:rFonts w:ascii="Times New Roman" w:cs="Times New Roman" w:eastAsia="Times New Roman" w:hAnsi="Times New Roman"/>
          <w:i/>
          <w:iCs/>
          <w:sz w:val="28"/>
          <w:szCs w:val="28"/>
        </w:rPr>
        <w:t xml:space="preserve">імплементаційно-промисловій</w:t>
      </w:r>
      <w:r>
        <w:rPr>
          <w:rFonts w:ascii="Times New Roman" w:cs="Times New Roman" w:eastAsia="Times New Roman" w:hAnsi="Times New Roman"/>
          <w:sz w:val="28"/>
          <w:szCs w:val="28"/>
        </w:rPr>
        <w:t xml:space="preserve"> (з 2025 р.: Угода про чисту промисловість (26 лютого 2025 р.), спрощення звітності зі сталого розвитку, інвестиції в декарбонізацію промисловості).</w:t>
      </w:r>
    </w:p>
    <w:p>
      <w:pPr>
        <w:keepNext/>
        <w:spacing w:after="40" w:before="120" w:line="276"/>
        <w:jc w:val="right"/>
      </w:pPr>
      <w:r>
        <w:rPr>
          <w:rFonts w:ascii="Times New Roman" w:cs="Times New Roman" w:eastAsia="Times New Roman" w:hAnsi="Times New Roman"/>
          <w:i/>
          <w:iCs/>
          <w:sz w:val="26"/>
          <w:szCs w:val="26"/>
        </w:rPr>
        <w:t xml:space="preserve">Таблиця 4.6</w:t>
      </w:r>
    </w:p>
    <w:p>
      <w:pPr>
        <w:keepNext/>
        <w:spacing w:after="80" w:before="0" w:line="276"/>
        <w:jc w:val="center"/>
      </w:pPr>
      <w:r>
        <w:rPr>
          <w:rFonts w:ascii="Times New Roman" w:cs="Times New Roman" w:eastAsia="Times New Roman" w:hAnsi="Times New Roman"/>
          <w:b/>
          <w:bCs/>
          <w:sz w:val="26"/>
          <w:szCs w:val="26"/>
        </w:rPr>
        <w:t xml:space="preserve">Ключові цілі та інструменти політики сталого розвитку ЄС</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3"/>
        <w:gridCol w:w="4355"/>
        <w:gridCol w:w="3080"/>
      </w:tblGrid>
      <w:tr>
        <w:trPr>
          <w:tblHeader/>
        </w:trPr>
        <w:tc>
          <w:tcPr>
            <w:tcW w:type="dxa" w:w="2203"/>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Сфера</w:t>
            </w:r>
          </w:p>
        </w:tc>
        <w:tc>
          <w:tcPr>
            <w:tcW w:type="dxa" w:w="4355"/>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Ціль / інструмент</w:t>
            </w:r>
          </w:p>
        </w:tc>
        <w:tc>
          <w:tcPr>
            <w:tcW w:type="dxa" w:w="3080"/>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Статус (вересень 2026 р.)</w:t>
            </w:r>
          </w:p>
        </w:tc>
      </w:tr>
      <w:tr>
        <w:trPr>
          <w:tblHeader w:val="false"/>
        </w:trPr>
        <w:tc>
          <w:tcPr>
            <w:tcW w:type="dxa" w:w="220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Клімат</w:t>
            </w:r>
          </w:p>
        </w:tc>
        <w:tc>
          <w:tcPr>
            <w:tcW w:type="dxa" w:w="435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−55 % чистих викидів до 2030 р.; −90 % до 2040 р.; нейтральність до 2050 р.</w:t>
            </w:r>
          </w:p>
        </w:tc>
        <w:tc>
          <w:tcPr>
            <w:tcW w:type="dxa" w:w="3080"/>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Ціль 2040 остаточно схвалено Радою 5.03.2026</w:t>
            </w:r>
          </w:p>
        </w:tc>
      </w:tr>
      <w:tr>
        <w:trPr>
          <w:tblHeader w:val="false"/>
        </w:trPr>
        <w:tc>
          <w:tcPr>
            <w:tcW w:type="dxa" w:w="220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Ринкові інструменти</w:t>
            </w:r>
          </w:p>
        </w:tc>
        <w:tc>
          <w:tcPr>
            <w:tcW w:type="dxa" w:w="435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EU ETS; CBAM (цемент, чавун і сталь, алюміній, добрива, електроенергія, водень)</w:t>
            </w:r>
          </w:p>
        </w:tc>
        <w:tc>
          <w:tcPr>
            <w:tcW w:type="dxa" w:w="3080"/>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CBAM — остаточний режим з 1.01.2026</w:t>
            </w:r>
          </w:p>
        </w:tc>
      </w:tr>
      <w:tr>
        <w:trPr>
          <w:tblHeader w:val="false"/>
        </w:trPr>
        <w:tc>
          <w:tcPr>
            <w:tcW w:type="dxa" w:w="220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Промислова політика</w:t>
            </w:r>
          </w:p>
        </w:tc>
        <w:tc>
          <w:tcPr>
            <w:tcW w:type="dxa" w:w="435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Угода про чисту промисловість; Закон про промисловість з нульовими викидами; Закон про критичну сировину</w:t>
            </w:r>
          </w:p>
        </w:tc>
        <w:tc>
          <w:tcPr>
            <w:tcW w:type="dxa" w:w="3080"/>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Імплементація; державна допомога за рамкою CISAF (2025)</w:t>
            </w:r>
          </w:p>
        </w:tc>
      </w:tr>
      <w:tr>
        <w:trPr>
          <w:tblHeader w:val="false"/>
        </w:trPr>
        <w:tc>
          <w:tcPr>
            <w:tcW w:type="dxa" w:w="220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Біорізноманіття</w:t>
            </w:r>
          </w:p>
        </w:tc>
        <w:tc>
          <w:tcPr>
            <w:tcW w:type="dxa" w:w="435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Стратегія біорізноманіття до 2030 р.; Регламент про відновлення природи</w:t>
            </w:r>
          </w:p>
        </w:tc>
        <w:tc>
          <w:tcPr>
            <w:tcW w:type="dxa" w:w="3080"/>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Національні плани відновлення</w:t>
            </w:r>
          </w:p>
        </w:tc>
      </w:tr>
      <w:tr>
        <w:trPr>
          <w:tblHeader w:val="false"/>
        </w:trPr>
        <w:tc>
          <w:tcPr>
            <w:tcW w:type="dxa" w:w="220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Справедливий перехід</w:t>
            </w:r>
          </w:p>
        </w:tc>
        <w:tc>
          <w:tcPr>
            <w:tcW w:type="dxa" w:w="435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Механізм справедливого переходу (JTF, InvestEU, кредитний інструмент ЄІБ)</w:t>
            </w:r>
          </w:p>
        </w:tc>
        <w:tc>
          <w:tcPr>
            <w:tcW w:type="dxa" w:w="3080"/>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Реалізація територіальних планів</w:t>
            </w:r>
          </w:p>
        </w:tc>
      </w:tr>
      <w:tr>
        <w:trPr>
          <w:tblHeader w:val="false"/>
        </w:trPr>
        <w:tc>
          <w:tcPr>
            <w:tcW w:type="dxa" w:w="220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Фінансування</w:t>
            </w:r>
          </w:p>
        </w:tc>
        <w:tc>
          <w:tcPr>
            <w:tcW w:type="dxa" w:w="435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LIFE (5,43 млрд євро на 2021–2027 рр.; конкурси 2026 р. — 601,5 млн євро); кліматичний мейнстримінг бюджету ЄС</w:t>
            </w:r>
          </w:p>
        </w:tc>
        <w:tc>
          <w:tcPr>
            <w:tcW w:type="dxa" w:w="3080"/>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Україна асоційована до LIFE з червня 2022 р.</w:t>
            </w:r>
          </w:p>
        </w:tc>
      </w:tr>
    </w:tbl>
    <w:p>
      <w:pPr>
        <w:spacing w:after="60" w:before="0" w:line="240"/>
      </w:pPr>
    </w:p>
    <w:p>
      <w:pPr>
        <w:spacing w:after="120" w:before="0" w:line="240"/>
        <w:jc w:val="left"/>
      </w:pPr>
      <w:r>
        <w:rPr>
          <w:rFonts w:ascii="Times New Roman" w:cs="Times New Roman" w:eastAsia="Times New Roman" w:hAnsi="Times New Roman"/>
          <w:i/>
          <w:iCs/>
          <w:sz w:val="22"/>
          <w:szCs w:val="22"/>
        </w:rPr>
        <w:t xml:space="preserve">Джерело: складено на основі [5; 23; 24].</w:t>
      </w:r>
    </w:p>
    <w:p>
      <w:pPr>
        <w:spacing w:after="0" w:line="360"/>
        <w:ind w:firstLine="709"/>
        <w:jc w:val="both"/>
      </w:pPr>
      <w:r>
        <w:rPr>
          <w:rFonts w:ascii="Times New Roman" w:cs="Times New Roman" w:eastAsia="Times New Roman" w:hAnsi="Times New Roman"/>
          <w:sz w:val="28"/>
          <w:szCs w:val="28"/>
        </w:rPr>
        <w:t xml:space="preserve">Для України зелена політика ЄС є одночасно </w:t>
      </w:r>
      <w:r>
        <w:rPr>
          <w:rFonts w:ascii="Times New Roman" w:cs="Times New Roman" w:eastAsia="Times New Roman" w:hAnsi="Times New Roman"/>
          <w:i/>
          <w:iCs/>
          <w:sz w:val="28"/>
          <w:szCs w:val="28"/>
        </w:rPr>
        <w:t xml:space="preserve">викликом</w:t>
      </w:r>
      <w:r>
        <w:rPr>
          <w:rFonts w:ascii="Times New Roman" w:cs="Times New Roman" w:eastAsia="Times New Roman" w:hAnsi="Times New Roman"/>
          <w:sz w:val="28"/>
          <w:szCs w:val="28"/>
        </w:rPr>
        <w:t xml:space="preserve"> (CBAM, екологічні стандарти розділу 27, вимоги до енергетичного ринку) і </w:t>
      </w:r>
      <w:r>
        <w:rPr>
          <w:rFonts w:ascii="Times New Roman" w:cs="Times New Roman" w:eastAsia="Times New Roman" w:hAnsi="Times New Roman"/>
          <w:i/>
          <w:iCs/>
          <w:sz w:val="28"/>
          <w:szCs w:val="28"/>
        </w:rPr>
        <w:t xml:space="preserve">можливістю</w:t>
      </w:r>
      <w:r>
        <w:rPr>
          <w:rFonts w:ascii="Times New Roman" w:cs="Times New Roman" w:eastAsia="Times New Roman" w:hAnsi="Times New Roman"/>
          <w:sz w:val="28"/>
          <w:szCs w:val="28"/>
        </w:rPr>
        <w:t xml:space="preserve"> (асоціація до LIFE, інтеграція до енергетичного ринку ЄС, «зелене» відновлення за принципом </w:t>
      </w:r>
      <w:r>
        <w:rPr>
          <w:rFonts w:ascii="Times New Roman" w:cs="Times New Roman" w:eastAsia="Times New Roman" w:hAnsi="Times New Roman"/>
          <w:i/>
          <w:iCs/>
          <w:sz w:val="28"/>
          <w:szCs w:val="28"/>
        </w:rPr>
        <w:t xml:space="preserve">build back better</w:t>
      </w:r>
      <w:r>
        <w:rPr>
          <w:rFonts w:ascii="Times New Roman" w:cs="Times New Roman" w:eastAsia="Times New Roman" w:hAnsi="Times New Roman"/>
          <w:sz w:val="28"/>
          <w:szCs w:val="28"/>
        </w:rPr>
        <w:t xml:space="preserve">, інвестиції через Інвестиційну рамку для України). Модельні дослідження фінансування сталого розвитку сільських громад засвідчують, що саме поєднання фондів ЄС і національних механізмів є ключовим фактором стійкості територій [5; 6].</w:t>
      </w:r>
    </w:p>
    <w:p>
      <w:pPr>
        <w:pStyle w:val="Heading1"/>
        <w:keepNext/>
        <w:spacing w:after="160" w:before="300" w:line="300"/>
        <w:jc w:val="center"/>
      </w:pPr>
      <w:r>
        <w:rPr>
          <w:rFonts w:ascii="Times New Roman" w:cs="Times New Roman" w:eastAsia="Times New Roman" w:hAnsi="Times New Roman"/>
          <w:b/>
          <w:bCs/>
          <w:color w:val="1F3864"/>
          <w:sz w:val="30"/>
          <w:szCs w:val="30"/>
        </w:rPr>
        <w:t xml:space="preserve">6. Політика розширення ЄС і підтримка країн-кандидатів</w:t>
      </w:r>
    </w:p>
    <w:p>
      <w:pPr>
        <w:spacing w:after="0" w:line="360"/>
        <w:ind w:firstLine="709"/>
        <w:jc w:val="both"/>
      </w:pPr>
      <w:r>
        <w:rPr>
          <w:rFonts w:ascii="Times New Roman" w:cs="Times New Roman" w:eastAsia="Times New Roman" w:hAnsi="Times New Roman"/>
          <w:sz w:val="28"/>
          <w:szCs w:val="28"/>
        </w:rPr>
        <w:t xml:space="preserve">Політика розширення ґрунтується на ст. 49 ДЄС, копенгагенських критеріях (1993) та переглянутій методології 2020 р. Після 2022 р. вона набула виразного геополітичного характеру: Європейська Рада охарактеризувала розширення як «геостратегічну інвестицію в мир, безпеку, стабільність і процвітання».</w:t>
      </w:r>
    </w:p>
    <w:p>
      <w:pPr>
        <w:keepNext/>
        <w:spacing w:after="40" w:before="120" w:line="276"/>
        <w:jc w:val="right"/>
      </w:pPr>
      <w:r>
        <w:rPr>
          <w:rFonts w:ascii="Times New Roman" w:cs="Times New Roman" w:eastAsia="Times New Roman" w:hAnsi="Times New Roman"/>
          <w:i/>
          <w:iCs/>
          <w:sz w:val="26"/>
          <w:szCs w:val="26"/>
        </w:rPr>
        <w:t xml:space="preserve">Таблиця 4.7</w:t>
      </w:r>
    </w:p>
    <w:p>
      <w:pPr>
        <w:keepNext/>
        <w:spacing w:after="80" w:before="0" w:line="276"/>
        <w:jc w:val="center"/>
      </w:pPr>
      <w:r>
        <w:rPr>
          <w:rFonts w:ascii="Times New Roman" w:cs="Times New Roman" w:eastAsia="Times New Roman" w:hAnsi="Times New Roman"/>
          <w:b/>
          <w:bCs/>
          <w:sz w:val="26"/>
          <w:szCs w:val="26"/>
        </w:rPr>
        <w:t xml:space="preserve">Держави-кандидати: стан переговорів (вересень 2026 р.)</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802"/>
        <w:gridCol w:w="1612"/>
        <w:gridCol w:w="4468"/>
        <w:gridCol w:w="1756"/>
      </w:tblGrid>
      <w:tr>
        <w:trPr>
          <w:tblHeader/>
        </w:trPr>
        <w:tc>
          <w:tcPr>
            <w:tcW w:type="dxa" w:w="1802"/>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Держава</w:t>
            </w:r>
          </w:p>
        </w:tc>
        <w:tc>
          <w:tcPr>
            <w:tcW w:type="dxa" w:w="1612"/>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Статус кандидата</w:t>
            </w:r>
          </w:p>
        </w:tc>
        <w:tc>
          <w:tcPr>
            <w:tcW w:type="dxa" w:w="4468"/>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Стан переговорів</w:t>
            </w:r>
          </w:p>
        </w:tc>
        <w:tc>
          <w:tcPr>
            <w:tcW w:type="dxa" w:w="1756"/>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Орієнтир завершення</w:t>
            </w:r>
          </w:p>
        </w:tc>
      </w:tr>
      <w:tr>
        <w:trPr>
          <w:tblHeader w:val="false"/>
        </w:trPr>
        <w:tc>
          <w:tcPr>
            <w:tcW w:type="dxa" w:w="180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Чорногорія</w:t>
            </w:r>
          </w:p>
        </w:tc>
        <w:tc>
          <w:tcPr>
            <w:tcW w:type="dxa" w:w="161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2010</w:t>
            </w:r>
          </w:p>
        </w:tc>
        <w:tc>
          <w:tcPr>
            <w:tcW w:type="dxa" w:w="4468"/>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Відкрито всі розділи; тимчасово закрито 18 розділів (липень 2026 р.)</w:t>
            </w:r>
          </w:p>
        </w:tc>
        <w:tc>
          <w:tcPr>
            <w:tcW w:type="dxa" w:w="175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Кінець 2026 р.</w:t>
            </w:r>
          </w:p>
        </w:tc>
      </w:tr>
      <w:tr>
        <w:trPr>
          <w:tblHeader w:val="false"/>
        </w:trPr>
        <w:tc>
          <w:tcPr>
            <w:tcW w:type="dxa" w:w="180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Албанія</w:t>
            </w:r>
          </w:p>
        </w:tc>
        <w:tc>
          <w:tcPr>
            <w:tcW w:type="dxa" w:w="161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2014</w:t>
            </w:r>
          </w:p>
        </w:tc>
        <w:tc>
          <w:tcPr>
            <w:tcW w:type="dxa" w:w="4468"/>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Відкрито всі розділи; позитивний звіт щодо проміжних контрольних показників (травень 2026 р.), перехід до закриття розділів</w:t>
            </w:r>
          </w:p>
        </w:tc>
        <w:tc>
          <w:tcPr>
            <w:tcW w:type="dxa" w:w="175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Кінець 2027 р.</w:t>
            </w:r>
          </w:p>
        </w:tc>
      </w:tr>
      <w:tr>
        <w:trPr>
          <w:tblHeader w:val="false"/>
        </w:trPr>
        <w:tc>
          <w:tcPr>
            <w:tcW w:type="dxa" w:w="180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Україна</w:t>
            </w:r>
          </w:p>
        </w:tc>
        <w:tc>
          <w:tcPr>
            <w:tcW w:type="dxa" w:w="161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2022</w:t>
            </w:r>
          </w:p>
        </w:tc>
        <w:tc>
          <w:tcPr>
            <w:tcW w:type="dxa" w:w="4468"/>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Відкрито кластери 1 (15.06.2026) і 6 (14.07.2026)</w:t>
            </w:r>
          </w:p>
        </w:tc>
        <w:tc>
          <w:tcPr>
            <w:tcW w:type="dxa" w:w="175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w:t>
            </w:r>
          </w:p>
        </w:tc>
      </w:tr>
      <w:tr>
        <w:trPr>
          <w:tblHeader w:val="false"/>
        </w:trPr>
        <w:tc>
          <w:tcPr>
            <w:tcW w:type="dxa" w:w="180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Молдова</w:t>
            </w:r>
          </w:p>
        </w:tc>
        <w:tc>
          <w:tcPr>
            <w:tcW w:type="dxa" w:w="161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2022</w:t>
            </w:r>
          </w:p>
        </w:tc>
        <w:tc>
          <w:tcPr>
            <w:tcW w:type="dxa" w:w="4468"/>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Відкрито кластери 1 (15.06.2026) і 6 (14.07.2026)</w:t>
            </w:r>
          </w:p>
        </w:tc>
        <w:tc>
          <w:tcPr>
            <w:tcW w:type="dxa" w:w="175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w:t>
            </w:r>
          </w:p>
        </w:tc>
      </w:tr>
      <w:tr>
        <w:trPr>
          <w:tblHeader w:val="false"/>
        </w:trPr>
        <w:tc>
          <w:tcPr>
            <w:tcW w:type="dxa" w:w="180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Сербія</w:t>
            </w:r>
          </w:p>
        </w:tc>
        <w:tc>
          <w:tcPr>
            <w:tcW w:type="dxa" w:w="161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2012</w:t>
            </w:r>
          </w:p>
        </w:tc>
        <w:tc>
          <w:tcPr>
            <w:tcW w:type="dxa" w:w="4468"/>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Переговори тривають, реформи уповільнилися</w:t>
            </w:r>
          </w:p>
        </w:tc>
        <w:tc>
          <w:tcPr>
            <w:tcW w:type="dxa" w:w="175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w:t>
            </w:r>
          </w:p>
        </w:tc>
      </w:tr>
      <w:tr>
        <w:trPr>
          <w:tblHeader w:val="false"/>
        </w:trPr>
        <w:tc>
          <w:tcPr>
            <w:tcW w:type="dxa" w:w="180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Північна Македонія</w:t>
            </w:r>
          </w:p>
        </w:tc>
        <w:tc>
          <w:tcPr>
            <w:tcW w:type="dxa" w:w="161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2005</w:t>
            </w:r>
          </w:p>
        </w:tc>
        <w:tc>
          <w:tcPr>
            <w:tcW w:type="dxa" w:w="4468"/>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Переговори відкрито у 2022 р.; прогрес залежить від конституційних змін</w:t>
            </w:r>
          </w:p>
        </w:tc>
        <w:tc>
          <w:tcPr>
            <w:tcW w:type="dxa" w:w="175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w:t>
            </w:r>
          </w:p>
        </w:tc>
      </w:tr>
      <w:tr>
        <w:trPr>
          <w:tblHeader w:val="false"/>
        </w:trPr>
        <w:tc>
          <w:tcPr>
            <w:tcW w:type="dxa" w:w="180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Боснія і Герцеговина</w:t>
            </w:r>
          </w:p>
        </w:tc>
        <w:tc>
          <w:tcPr>
            <w:tcW w:type="dxa" w:w="161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2022</w:t>
            </w:r>
          </w:p>
        </w:tc>
        <w:tc>
          <w:tcPr>
            <w:tcW w:type="dxa" w:w="4468"/>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Рішення про відкриття переговорів (березень 2024 р.), міжурядову конференцію не проведено</w:t>
            </w:r>
          </w:p>
        </w:tc>
        <w:tc>
          <w:tcPr>
            <w:tcW w:type="dxa" w:w="175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w:t>
            </w:r>
          </w:p>
        </w:tc>
      </w:tr>
      <w:tr>
        <w:trPr>
          <w:tblHeader w:val="false"/>
        </w:trPr>
        <w:tc>
          <w:tcPr>
            <w:tcW w:type="dxa" w:w="180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Грузія</w:t>
            </w:r>
          </w:p>
        </w:tc>
        <w:tc>
          <w:tcPr>
            <w:tcW w:type="dxa" w:w="161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2023</w:t>
            </w:r>
          </w:p>
        </w:tc>
        <w:tc>
          <w:tcPr>
            <w:tcW w:type="dxa" w:w="4468"/>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Процес фактично призупинено; Комісія назвала Грузію «кандидатом лише за назвою»</w:t>
            </w:r>
          </w:p>
        </w:tc>
        <w:tc>
          <w:tcPr>
            <w:tcW w:type="dxa" w:w="175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w:t>
            </w:r>
          </w:p>
        </w:tc>
      </w:tr>
      <w:tr>
        <w:trPr>
          <w:tblHeader w:val="false"/>
        </w:trPr>
        <w:tc>
          <w:tcPr>
            <w:tcW w:type="dxa" w:w="180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Туреччина</w:t>
            </w:r>
          </w:p>
        </w:tc>
        <w:tc>
          <w:tcPr>
            <w:tcW w:type="dxa" w:w="161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1999</w:t>
            </w:r>
          </w:p>
        </w:tc>
        <w:tc>
          <w:tcPr>
            <w:tcW w:type="dxa" w:w="4468"/>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Переговори в «глухому куті» з 2018 р.</w:t>
            </w:r>
          </w:p>
        </w:tc>
        <w:tc>
          <w:tcPr>
            <w:tcW w:type="dxa" w:w="175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w:t>
            </w:r>
          </w:p>
        </w:tc>
      </w:tr>
    </w:tbl>
    <w:p>
      <w:pPr>
        <w:spacing w:after="60" w:before="0" w:line="240"/>
      </w:pPr>
    </w:p>
    <w:p>
      <w:pPr>
        <w:spacing w:after="120" w:before="0" w:line="240"/>
        <w:jc w:val="left"/>
      </w:pPr>
      <w:r>
        <w:rPr>
          <w:rFonts w:ascii="Times New Roman" w:cs="Times New Roman" w:eastAsia="Times New Roman" w:hAnsi="Times New Roman"/>
          <w:i/>
          <w:iCs/>
          <w:sz w:val="22"/>
          <w:szCs w:val="22"/>
        </w:rPr>
        <w:t xml:space="preserve">Джерело: складено на основі пакета розширення 2025 р. та прес-релізів Ради ЄС [8; 25; 26]. Косово — потенційний кандидат.</w:t>
      </w:r>
    </w:p>
    <w:p>
      <w:pPr>
        <w:spacing w:after="0" w:line="360"/>
        <w:ind w:firstLine="709"/>
        <w:jc w:val="both"/>
      </w:pPr>
      <w:r>
        <w:rPr>
          <w:rFonts w:ascii="Times New Roman" w:cs="Times New Roman" w:eastAsia="Times New Roman" w:hAnsi="Times New Roman"/>
          <w:b/>
          <w:bCs/>
          <w:sz w:val="28"/>
          <w:szCs w:val="28"/>
        </w:rPr>
        <w:t xml:space="preserve">Фінансові інструменти розширення:</w:t>
      </w:r>
      <w:r>
        <w:rPr>
          <w:rFonts w:ascii="Times New Roman" w:cs="Times New Roman" w:eastAsia="Times New Roman" w:hAnsi="Times New Roman"/>
          <w:sz w:val="28"/>
          <w:szCs w:val="28"/>
        </w:rPr>
        <w:t xml:space="preserve"> Інструмент передвступної допомоги IPA III (14,16 млрд євро на 2021–2027 рр.); Механізм реформ і зростання для Західних Балкан (6 млрд євро на 2024–2027 рр.); План зростання для Молдови (1,9 млрд євро); Ukraine Facility (до 50 млрд євро). </w:t>
      </w:r>
      <w:r>
        <w:rPr>
          <w:rFonts w:ascii="Times New Roman" w:cs="Times New Roman" w:eastAsia="Times New Roman" w:hAnsi="Times New Roman"/>
          <w:b/>
          <w:bCs/>
          <w:sz w:val="28"/>
          <w:szCs w:val="28"/>
        </w:rPr>
        <w:t xml:space="preserve">Методологія розширення 2020 р.</w:t>
      </w:r>
      <w:r>
        <w:rPr>
          <w:rFonts w:ascii="Times New Roman" w:cs="Times New Roman" w:eastAsia="Times New Roman" w:hAnsi="Times New Roman"/>
          <w:sz w:val="28"/>
          <w:szCs w:val="28"/>
        </w:rPr>
        <w:t xml:space="preserve"> (COM(2020) 57) спирається на чотири принципи: </w:t>
      </w:r>
      <w:r>
        <w:rPr>
          <w:rFonts w:ascii="Times New Roman" w:cs="Times New Roman" w:eastAsia="Times New Roman" w:hAnsi="Times New Roman"/>
          <w:i/>
          <w:iCs/>
          <w:sz w:val="28"/>
          <w:szCs w:val="28"/>
        </w:rPr>
        <w:t xml:space="preserve">більша довіра</w:t>
      </w:r>
      <w:r>
        <w:rPr>
          <w:rFonts w:ascii="Times New Roman" w:cs="Times New Roman" w:eastAsia="Times New Roman" w:hAnsi="Times New Roman"/>
          <w:sz w:val="28"/>
          <w:szCs w:val="28"/>
        </w:rPr>
        <w:t xml:space="preserve"> (акцент на фундаментальних реформах — верховенство права, функціонування демократичних інституцій, державне управління, економічні критерії); </w:t>
      </w:r>
      <w:r>
        <w:rPr>
          <w:rFonts w:ascii="Times New Roman" w:cs="Times New Roman" w:eastAsia="Times New Roman" w:hAnsi="Times New Roman"/>
          <w:i/>
          <w:iCs/>
          <w:sz w:val="28"/>
          <w:szCs w:val="28"/>
        </w:rPr>
        <w:t xml:space="preserve">сильніше політичне керівництво</w:t>
      </w:r>
      <w:r>
        <w:rPr>
          <w:rFonts w:ascii="Times New Roman" w:cs="Times New Roman" w:eastAsia="Times New Roman" w:hAnsi="Times New Roman"/>
          <w:sz w:val="28"/>
          <w:szCs w:val="28"/>
        </w:rPr>
        <w:t xml:space="preserve"> (регулярні міжурядові конференції, залучення держав-членів до моніторингу); </w:t>
      </w:r>
      <w:r>
        <w:rPr>
          <w:rFonts w:ascii="Times New Roman" w:cs="Times New Roman" w:eastAsia="Times New Roman" w:hAnsi="Times New Roman"/>
          <w:i/>
          <w:iCs/>
          <w:sz w:val="28"/>
          <w:szCs w:val="28"/>
        </w:rPr>
        <w:t xml:space="preserve">динамізм</w:t>
      </w:r>
      <w:r>
        <w:rPr>
          <w:rFonts w:ascii="Times New Roman" w:cs="Times New Roman" w:eastAsia="Times New Roman" w:hAnsi="Times New Roman"/>
          <w:sz w:val="28"/>
          <w:szCs w:val="28"/>
        </w:rPr>
        <w:t xml:space="preserve"> (групування розділів у кластери, що відкриваються разом); </w:t>
      </w:r>
      <w:r>
        <w:rPr>
          <w:rFonts w:ascii="Times New Roman" w:cs="Times New Roman" w:eastAsia="Times New Roman" w:hAnsi="Times New Roman"/>
          <w:i/>
          <w:iCs/>
          <w:sz w:val="28"/>
          <w:szCs w:val="28"/>
        </w:rPr>
        <w:t xml:space="preserve">передбачуваність і позитивна та негативна обумовленість</w:t>
      </w:r>
      <w:r>
        <w:rPr>
          <w:rFonts w:ascii="Times New Roman" w:cs="Times New Roman" w:eastAsia="Times New Roman" w:hAnsi="Times New Roman"/>
          <w:sz w:val="28"/>
          <w:szCs w:val="28"/>
        </w:rPr>
        <w:t xml:space="preserve"> (чіткі стимули за прогрес і можливість призупинення чи навіть повернення переговорів назад у разі регресу). Відтак процес вступу є «зворотним»: відкриття кластера не гарантує незворотного руху вперед.</w:t>
      </w:r>
    </w:p>
    <w:p>
      <w:pPr>
        <w:spacing w:after="0" w:line="360"/>
        <w:ind w:firstLine="709"/>
        <w:jc w:val="both"/>
      </w:pPr>
      <w:r>
        <w:rPr>
          <w:rFonts w:ascii="Times New Roman" w:cs="Times New Roman" w:eastAsia="Times New Roman" w:hAnsi="Times New Roman"/>
          <w:sz w:val="28"/>
          <w:szCs w:val="28"/>
        </w:rPr>
        <w:t xml:space="preserve">Їх спільною рисою є </w:t>
      </w:r>
      <w:r>
        <w:rPr>
          <w:rFonts w:ascii="Times New Roman" w:cs="Times New Roman" w:eastAsia="Times New Roman" w:hAnsi="Times New Roman"/>
          <w:b/>
          <w:bCs/>
          <w:sz w:val="28"/>
          <w:szCs w:val="28"/>
        </w:rPr>
        <w:t xml:space="preserve">обумовленість</w:t>
      </w:r>
      <w:r>
        <w:rPr>
          <w:rFonts w:ascii="Times New Roman" w:cs="Times New Roman" w:eastAsia="Times New Roman" w:hAnsi="Times New Roman"/>
          <w:sz w:val="28"/>
          <w:szCs w:val="28"/>
        </w:rPr>
        <w:t xml:space="preserve">: кошти виділяються після виконання реформ, визначених у національних планах.</w:t>
      </w:r>
    </w:p>
    <w:p>
      <w:pPr>
        <w:spacing w:after="0" w:line="360"/>
        <w:ind w:firstLine="709"/>
        <w:jc w:val="both"/>
      </w:pPr>
      <w:r>
        <w:rPr>
          <w:rFonts w:ascii="Times New Roman" w:cs="Times New Roman" w:eastAsia="Times New Roman" w:hAnsi="Times New Roman"/>
          <w:b/>
          <w:bCs/>
          <w:sz w:val="28"/>
          <w:szCs w:val="28"/>
        </w:rPr>
        <w:t xml:space="preserve">Поступова інтеграція</w:t>
      </w:r>
      <w:r>
        <w:rPr>
          <w:rFonts w:ascii="Times New Roman" w:cs="Times New Roman" w:eastAsia="Times New Roman" w:hAnsi="Times New Roman"/>
          <w:sz w:val="28"/>
          <w:szCs w:val="28"/>
        </w:rPr>
        <w:t xml:space="preserve"> передбачає доступ кандидатів до окремих сегментів єдиного ринку і політик ЄС до членства (роумінг, SEPA, програми ЄС, енергетичний ринок). Паралельно ЄС готується до розширення: Повідомлення Комісії від 20 березня 2024 р. про передвступні реформи та огляди політик розглядає наслідки розширення для інституцій, бюджету, аграрної політики та політики згуртованості.</w:t>
      </w:r>
    </w:p>
    <w:p>
      <w:pPr>
        <w:pStyle w:val="Heading1"/>
        <w:keepNext/>
        <w:spacing w:after="160" w:before="300" w:line="300"/>
        <w:jc w:val="center"/>
      </w:pPr>
      <w:r>
        <w:rPr>
          <w:rFonts w:ascii="Times New Roman" w:cs="Times New Roman" w:eastAsia="Times New Roman" w:hAnsi="Times New Roman"/>
          <w:b/>
          <w:bCs/>
          <w:color w:val="1F3864"/>
          <w:sz w:val="30"/>
          <w:szCs w:val="30"/>
        </w:rPr>
        <w:t xml:space="preserve">7. Зовнішня політика ЄС, політика сусідства та міжнародна технічна допомога</w:t>
      </w:r>
    </w:p>
    <w:p>
      <w:pPr>
        <w:spacing w:after="0" w:line="360"/>
        <w:ind w:firstLine="709"/>
        <w:jc w:val="both"/>
      </w:pPr>
      <w:r>
        <w:rPr>
          <w:rFonts w:ascii="Times New Roman" w:cs="Times New Roman" w:eastAsia="Times New Roman" w:hAnsi="Times New Roman"/>
          <w:b/>
          <w:bCs/>
          <w:sz w:val="28"/>
          <w:szCs w:val="28"/>
        </w:rPr>
        <w:t xml:space="preserve">Засади.</w:t>
      </w:r>
      <w:r>
        <w:rPr>
          <w:rFonts w:ascii="Times New Roman" w:cs="Times New Roman" w:eastAsia="Times New Roman" w:hAnsi="Times New Roman"/>
          <w:sz w:val="28"/>
          <w:szCs w:val="28"/>
        </w:rPr>
        <w:t xml:space="preserve"> Зовнішня дія ЄС ґрунтується на принципах, що надихали його створення (ст. 21 ДЄС): демократія, верховенство права, універсальність прав людини, повага до міжнародного права. Інституційно її забезпечують Висока представниця / віцепрезидентка Комісії (Кая Каллас), Європейська служба зовнішніх дій та понад 140 делегацій ЄС у світі, а також генеральні директорати Комісії — з питань розширення та Східного сусідства (DG ENEST), Близького Сходу, Північної Африки та Перської затоки (DG MENA) і міжнародних партнерств (DG INTPA).</w:t>
      </w:r>
    </w:p>
    <w:p>
      <w:pPr>
        <w:spacing w:after="0" w:line="360"/>
        <w:ind w:firstLine="709"/>
        <w:jc w:val="both"/>
      </w:pPr>
      <w:r>
        <w:rPr>
          <w:rFonts w:ascii="Times New Roman" w:cs="Times New Roman" w:eastAsia="Times New Roman" w:hAnsi="Times New Roman"/>
          <w:b/>
          <w:bCs/>
          <w:sz w:val="28"/>
          <w:szCs w:val="28"/>
        </w:rPr>
        <w:t xml:space="preserve">Європейська політика сусідства</w:t>
      </w:r>
      <w:r>
        <w:rPr>
          <w:rFonts w:ascii="Times New Roman" w:cs="Times New Roman" w:eastAsia="Times New Roman" w:hAnsi="Times New Roman"/>
          <w:sz w:val="28"/>
          <w:szCs w:val="28"/>
        </w:rPr>
        <w:t xml:space="preserve"> (з 2004 р.) має два виміри: </w:t>
      </w:r>
      <w:r>
        <w:rPr>
          <w:rFonts w:ascii="Times New Roman" w:cs="Times New Roman" w:eastAsia="Times New Roman" w:hAnsi="Times New Roman"/>
          <w:i/>
          <w:iCs/>
          <w:sz w:val="28"/>
          <w:szCs w:val="28"/>
        </w:rPr>
        <w:t xml:space="preserve">Східне партнерство</w:t>
      </w:r>
      <w:r>
        <w:rPr>
          <w:rFonts w:ascii="Times New Roman" w:cs="Times New Roman" w:eastAsia="Times New Roman" w:hAnsi="Times New Roman"/>
          <w:sz w:val="28"/>
          <w:szCs w:val="28"/>
        </w:rPr>
        <w:t xml:space="preserve"> (з 2009 р.; Вірменія, Азербайджан, Грузія, Молдова, Україна; участь Білорусі призупинено) та </w:t>
      </w:r>
      <w:r>
        <w:rPr>
          <w:rFonts w:ascii="Times New Roman" w:cs="Times New Roman" w:eastAsia="Times New Roman" w:hAnsi="Times New Roman"/>
          <w:i/>
          <w:iCs/>
          <w:sz w:val="28"/>
          <w:szCs w:val="28"/>
        </w:rPr>
        <w:t xml:space="preserve">Південне сусідство</w:t>
      </w:r>
      <w:r>
        <w:rPr>
          <w:rFonts w:ascii="Times New Roman" w:cs="Times New Roman" w:eastAsia="Times New Roman" w:hAnsi="Times New Roman"/>
          <w:sz w:val="28"/>
          <w:szCs w:val="28"/>
        </w:rPr>
        <w:t xml:space="preserve">, для якого в жовтні 2025 р. запропоновано Пакт для Середземномор’я. Для України, Молдови та Грузії політика сусідства фактично трансформувалася в політику розширення.</w:t>
      </w:r>
    </w:p>
    <w:p>
      <w:pPr>
        <w:keepNext/>
        <w:spacing w:after="40" w:before="120" w:line="276"/>
        <w:jc w:val="right"/>
      </w:pPr>
      <w:r>
        <w:rPr>
          <w:rFonts w:ascii="Times New Roman" w:cs="Times New Roman" w:eastAsia="Times New Roman" w:hAnsi="Times New Roman"/>
          <w:i/>
          <w:iCs/>
          <w:sz w:val="26"/>
          <w:szCs w:val="26"/>
        </w:rPr>
        <w:t xml:space="preserve">Таблиця 4.8</w:t>
      </w:r>
    </w:p>
    <w:p>
      <w:pPr>
        <w:keepNext/>
        <w:spacing w:after="80" w:before="0" w:line="276"/>
        <w:jc w:val="center"/>
      </w:pPr>
      <w:r>
        <w:rPr>
          <w:rFonts w:ascii="Times New Roman" w:cs="Times New Roman" w:eastAsia="Times New Roman" w:hAnsi="Times New Roman"/>
          <w:b/>
          <w:bCs/>
          <w:sz w:val="26"/>
          <w:szCs w:val="26"/>
        </w:rPr>
        <w:t xml:space="preserve">Інструменти зовнішньої дії та міжнародної технічної допомоги ЄС</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69"/>
        <w:gridCol w:w="3594"/>
        <w:gridCol w:w="3475"/>
      </w:tblGrid>
      <w:tr>
        <w:trPr>
          <w:tblHeader/>
        </w:trPr>
        <w:tc>
          <w:tcPr>
            <w:tcW w:type="dxa" w:w="2569"/>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Інструмент</w:t>
            </w:r>
          </w:p>
        </w:tc>
        <w:tc>
          <w:tcPr>
            <w:tcW w:type="dxa" w:w="3594"/>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Зміст</w:t>
            </w:r>
          </w:p>
        </w:tc>
        <w:tc>
          <w:tcPr>
            <w:tcW w:type="dxa" w:w="3475"/>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Приклади / обсяги</w:t>
            </w:r>
          </w:p>
        </w:tc>
      </w:tr>
      <w:tr>
        <w:trPr>
          <w:tblHeader w:val="false"/>
        </w:trPr>
        <w:tc>
          <w:tcPr>
            <w:tcW w:type="dxa" w:w="256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NDICI — Global Europe (Регламент (ЄС) 2021/947)</w:t>
            </w:r>
          </w:p>
        </w:tc>
        <w:tc>
          <w:tcPr>
            <w:tcW w:type="dxa" w:w="359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Географічні та тематичні програми, реагування на кризи; гарантія EFSD+</w:t>
            </w:r>
          </w:p>
        </w:tc>
        <w:tc>
          <w:tcPr>
            <w:tcW w:type="dxa" w:w="347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79,5 млрд євро на 2021–2027 рр.; збільшено під час перегляду БФР 2024 р.</w:t>
            </w:r>
          </w:p>
        </w:tc>
      </w:tr>
      <w:tr>
        <w:trPr>
          <w:tblHeader w:val="false"/>
        </w:trPr>
        <w:tc>
          <w:tcPr>
            <w:tcW w:type="dxa" w:w="256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Global Gateway</w:t>
            </w:r>
          </w:p>
        </w:tc>
        <w:tc>
          <w:tcPr>
            <w:tcW w:type="dxa" w:w="359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Інвестиції в цифрову, енергетичну, транспортну інфраструктуру, освіту та охорону здоров’я</w:t>
            </w:r>
          </w:p>
        </w:tc>
        <w:tc>
          <w:tcPr>
            <w:tcW w:type="dxa" w:w="347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Мобілізовано 306 млрд євро станом на жовтень 2025 р. (ціль — 300 млрд євро до 2027 р.)</w:t>
            </w:r>
          </w:p>
        </w:tc>
      </w:tr>
      <w:tr>
        <w:trPr>
          <w:tblHeader w:val="false"/>
        </w:trPr>
        <w:tc>
          <w:tcPr>
            <w:tcW w:type="dxa" w:w="256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«Команда Європа»</w:t>
            </w:r>
          </w:p>
        </w:tc>
        <w:tc>
          <w:tcPr>
            <w:tcW w:type="dxa" w:w="359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Спільне планування допомоги ЄС, держав-членів, ЄІБ і ЄБРР</w:t>
            </w:r>
          </w:p>
        </w:tc>
        <w:tc>
          <w:tcPr>
            <w:tcW w:type="dxa" w:w="347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ЄС і держави-члени — найбільший донор офіційної допомоги розвитку у світі</w:t>
            </w:r>
          </w:p>
        </w:tc>
      </w:tr>
      <w:tr>
        <w:trPr>
          <w:tblHeader w:val="false"/>
        </w:trPr>
        <w:tc>
          <w:tcPr>
            <w:tcW w:type="dxa" w:w="256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TAIEX</w:t>
            </w:r>
          </w:p>
        </w:tc>
        <w:tc>
          <w:tcPr>
            <w:tcW w:type="dxa" w:w="359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Короткострокова експертна допомога (семінари, експертні місії, навчальні візити) щодо acquis</w:t>
            </w:r>
          </w:p>
        </w:tc>
        <w:tc>
          <w:tcPr>
            <w:tcW w:type="dxa" w:w="347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Для держав-кандидатів і сусідства</w:t>
            </w:r>
          </w:p>
        </w:tc>
      </w:tr>
      <w:tr>
        <w:trPr>
          <w:tblHeader w:val="false"/>
        </w:trPr>
        <w:tc>
          <w:tcPr>
            <w:tcW w:type="dxa" w:w="256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Twinning</w:t>
            </w:r>
          </w:p>
        </w:tc>
        <w:tc>
          <w:tcPr>
            <w:tcW w:type="dxa" w:w="359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Довгострокові інституційні партнерства між органами влади держав-членів і країн-партнерів</w:t>
            </w:r>
          </w:p>
        </w:tc>
        <w:tc>
          <w:tcPr>
            <w:tcW w:type="dxa" w:w="347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Проєкти з наближення законодавства та розбудови спроможності</w:t>
            </w:r>
          </w:p>
        </w:tc>
      </w:tr>
      <w:tr>
        <w:trPr>
          <w:tblHeader w:val="false"/>
        </w:trPr>
        <w:tc>
          <w:tcPr>
            <w:tcW w:type="dxa" w:w="256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SIGMA</w:t>
            </w:r>
          </w:p>
        </w:tc>
        <w:tc>
          <w:tcPr>
            <w:tcW w:type="dxa" w:w="359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Спільна ініціатива ЄС та ОЕСР з реформи державного управління</w:t>
            </w:r>
          </w:p>
        </w:tc>
        <w:tc>
          <w:tcPr>
            <w:tcW w:type="dxa" w:w="347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Оцінювання за Принципами державного управління</w:t>
            </w:r>
          </w:p>
        </w:tc>
      </w:tr>
      <w:tr>
        <w:trPr>
          <w:tblHeader w:val="false"/>
        </w:trPr>
        <w:tc>
          <w:tcPr>
            <w:tcW w:type="dxa" w:w="256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Місії СЗБП</w:t>
            </w:r>
          </w:p>
        </w:tc>
        <w:tc>
          <w:tcPr>
            <w:tcW w:type="dxa" w:w="359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Цивільні та військові місії</w:t>
            </w:r>
          </w:p>
        </w:tc>
        <w:tc>
          <w:tcPr>
            <w:tcW w:type="dxa" w:w="347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EUAM Ukraine (з 2014 р.), EUMAM Ukraine (з 2022 р.)</w:t>
            </w:r>
          </w:p>
        </w:tc>
      </w:tr>
      <w:tr>
        <w:trPr>
          <w:tblHeader w:val="false"/>
        </w:trPr>
        <w:tc>
          <w:tcPr>
            <w:tcW w:type="dxa" w:w="256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Європейський фонд миру</w:t>
            </w:r>
          </w:p>
        </w:tc>
        <w:tc>
          <w:tcPr>
            <w:tcW w:type="dxa" w:w="359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Позабюджетний інструмент військової підтримки</w:t>
            </w:r>
          </w:p>
        </w:tc>
        <w:tc>
          <w:tcPr>
            <w:tcW w:type="dxa" w:w="347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Фонд допомоги Україні — 5 млрд євро (2024 р.)</w:t>
            </w:r>
          </w:p>
        </w:tc>
      </w:tr>
    </w:tbl>
    <w:p>
      <w:pPr>
        <w:spacing w:after="60" w:before="0" w:line="240"/>
      </w:pPr>
    </w:p>
    <w:p>
      <w:pPr>
        <w:spacing w:after="120" w:before="0" w:line="240"/>
        <w:jc w:val="left"/>
      </w:pPr>
      <w:r>
        <w:rPr>
          <w:rFonts w:ascii="Times New Roman" w:cs="Times New Roman" w:eastAsia="Times New Roman" w:hAnsi="Times New Roman"/>
          <w:i/>
          <w:iCs/>
          <w:sz w:val="22"/>
          <w:szCs w:val="22"/>
        </w:rPr>
        <w:t xml:space="preserve">Джерело: складено на основі [9; 26; 27].</w:t>
      </w:r>
    </w:p>
    <w:p>
      <w:pPr>
        <w:spacing w:after="0" w:line="360"/>
        <w:ind w:firstLine="709"/>
        <w:jc w:val="both"/>
      </w:pPr>
      <w:r>
        <w:rPr>
          <w:rFonts w:ascii="Times New Roman" w:cs="Times New Roman" w:eastAsia="Times New Roman" w:hAnsi="Times New Roman"/>
          <w:sz w:val="28"/>
          <w:szCs w:val="28"/>
        </w:rPr>
        <w:t xml:space="preserve">Сукупна підтримка України з боку ЄС і держав-членів, за даними Ради ЄС, становить понад 220 млрд євро (включно з військовою допомогою, доходами від іммобілізованих активів РФ і підтримкою біженців), з яких бюджет ЄС мобілізував близько 107 млрд євро. Це робить Україну найбільшим одержувачем зовнішньої допомоги ЄС в історії, а інструменти технічної допомоги (TAIEX, Twinning, SIGMA) — важливим ресурсом для українських органів влади в процесі переговорів про вступ.</w:t>
      </w:r>
    </w:p>
    <w:p>
      <w:pPr>
        <w:spacing w:after="0" w:line="360"/>
        <w:ind w:firstLine="709"/>
        <w:jc w:val="both"/>
      </w:pPr>
      <w:r>
        <w:rPr>
          <w:rFonts w:ascii="Times New Roman" w:cs="Times New Roman" w:eastAsia="Times New Roman" w:hAnsi="Times New Roman"/>
          <w:sz w:val="28"/>
          <w:szCs w:val="28"/>
        </w:rPr>
        <w:t xml:space="preserve">Окремою складовою зовнішньої дії є </w:t>
      </w:r>
      <w:r>
        <w:rPr>
          <w:rFonts w:ascii="Times New Roman" w:cs="Times New Roman" w:eastAsia="Times New Roman" w:hAnsi="Times New Roman"/>
          <w:i/>
          <w:iCs/>
          <w:sz w:val="28"/>
          <w:szCs w:val="28"/>
        </w:rPr>
        <w:t xml:space="preserve">гуманітарна допомога</w:t>
      </w:r>
      <w:r>
        <w:rPr>
          <w:rFonts w:ascii="Times New Roman" w:cs="Times New Roman" w:eastAsia="Times New Roman" w:hAnsi="Times New Roman"/>
          <w:sz w:val="28"/>
          <w:szCs w:val="28"/>
        </w:rPr>
        <w:t xml:space="preserve"> (ст. 214 ДФЄС), яку ЄС надає відповідно до принципів гуманності, нейтральності, неупередженості та незалежності, а також </w:t>
      </w:r>
      <w:r>
        <w:rPr>
          <w:rFonts w:ascii="Times New Roman" w:cs="Times New Roman" w:eastAsia="Times New Roman" w:hAnsi="Times New Roman"/>
          <w:i/>
          <w:iCs/>
          <w:sz w:val="28"/>
          <w:szCs w:val="28"/>
        </w:rPr>
        <w:t xml:space="preserve">обмежувальні заходи (санкції)</w:t>
      </w:r>
      <w:r>
        <w:rPr>
          <w:rFonts w:ascii="Times New Roman" w:cs="Times New Roman" w:eastAsia="Times New Roman" w:hAnsi="Times New Roman"/>
          <w:sz w:val="28"/>
          <w:szCs w:val="28"/>
        </w:rPr>
        <w:t xml:space="preserve">, що ухвалюються Радою одностайно в межах СЗБП і реалізуються регламентами за ст. 215 ДФЄС.</w:t>
      </w:r>
    </w:p>
    <w:p>
      <w:pPr>
        <w:keepNext/>
        <w:spacing w:after="40" w:before="120" w:line="276"/>
        <w:jc w:val="right"/>
      </w:pPr>
      <w:r>
        <w:rPr>
          <w:rFonts w:ascii="Times New Roman" w:cs="Times New Roman" w:eastAsia="Times New Roman" w:hAnsi="Times New Roman"/>
          <w:i/>
          <w:iCs/>
          <w:sz w:val="26"/>
          <w:szCs w:val="26"/>
        </w:rPr>
        <w:t xml:space="preserve">Таблиця 4.9</w:t>
      </w:r>
    </w:p>
    <w:p>
      <w:pPr>
        <w:keepNext/>
        <w:spacing w:after="80" w:before="0" w:line="276"/>
        <w:jc w:val="center"/>
      </w:pPr>
      <w:r>
        <w:rPr>
          <w:rFonts w:ascii="Times New Roman" w:cs="Times New Roman" w:eastAsia="Times New Roman" w:hAnsi="Times New Roman"/>
          <w:b/>
          <w:bCs/>
          <w:sz w:val="26"/>
          <w:szCs w:val="26"/>
        </w:rPr>
        <w:t xml:space="preserve">Політики ЄС як джерело можливостей і вимог для українських суб’єктів</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093"/>
        <w:gridCol w:w="2216"/>
        <w:gridCol w:w="2585"/>
        <w:gridCol w:w="2744"/>
      </w:tblGrid>
      <w:tr>
        <w:trPr>
          <w:tblHeader/>
        </w:trPr>
        <w:tc>
          <w:tcPr>
            <w:tcW w:type="dxa" w:w="2093"/>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Політика ЄС</w:t>
            </w:r>
          </w:p>
        </w:tc>
        <w:tc>
          <w:tcPr>
            <w:tcW w:type="dxa" w:w="2216"/>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Суб’єкти в Україні</w:t>
            </w:r>
          </w:p>
        </w:tc>
        <w:tc>
          <w:tcPr>
            <w:tcW w:type="dxa" w:w="2585"/>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Можливості</w:t>
            </w:r>
          </w:p>
        </w:tc>
        <w:tc>
          <w:tcPr>
            <w:tcW w:type="dxa" w:w="2744"/>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Вимоги / виклики</w:t>
            </w:r>
          </w:p>
        </w:tc>
      </w:tr>
      <w:tr>
        <w:trPr>
          <w:tblHeader w:val="false"/>
        </w:trPr>
        <w:tc>
          <w:tcPr>
            <w:tcW w:type="dxa" w:w="209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Торговельна</w:t>
            </w:r>
          </w:p>
        </w:tc>
        <w:tc>
          <w:tcPr>
            <w:tcW w:type="dxa" w:w="221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Експортери, бізнес-асоціації</w:t>
            </w:r>
          </w:p>
        </w:tc>
        <w:tc>
          <w:tcPr>
            <w:tcW w:type="dxa" w:w="258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Доступ до ринку за ПВЗВТ; диверсифікація ринків</w:t>
            </w:r>
          </w:p>
        </w:tc>
        <w:tc>
          <w:tcPr>
            <w:tcW w:type="dxa" w:w="274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Стандарти ЄС; CBAM; тарифні квоти</w:t>
            </w:r>
          </w:p>
        </w:tc>
      </w:tr>
      <w:tr>
        <w:trPr>
          <w:tblHeader w:val="false"/>
        </w:trPr>
        <w:tc>
          <w:tcPr>
            <w:tcW w:type="dxa" w:w="209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Конкурентна</w:t>
            </w:r>
          </w:p>
        </w:tc>
        <w:tc>
          <w:tcPr>
            <w:tcW w:type="dxa" w:w="221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Органи влади, підприємства</w:t>
            </w:r>
          </w:p>
        </w:tc>
        <w:tc>
          <w:tcPr>
            <w:tcW w:type="dxa" w:w="258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Прозорі правила конкуренції; інвестиційна привабливість</w:t>
            </w:r>
          </w:p>
        </w:tc>
        <w:tc>
          <w:tcPr>
            <w:tcW w:type="dxa" w:w="274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Імплементація правил державної допомоги</w:t>
            </w:r>
          </w:p>
        </w:tc>
      </w:tr>
      <w:tr>
        <w:trPr>
          <w:tblHeader w:val="false"/>
        </w:trPr>
        <w:tc>
          <w:tcPr>
            <w:tcW w:type="dxa" w:w="209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Згуртованості</w:t>
            </w:r>
          </w:p>
        </w:tc>
        <w:tc>
          <w:tcPr>
            <w:tcW w:type="dxa" w:w="221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Громади, регіональні органи влади</w:t>
            </w:r>
          </w:p>
        </w:tc>
        <w:tc>
          <w:tcPr>
            <w:tcW w:type="dxa" w:w="258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Interreg NEXT; досвід спільного управління</w:t>
            </w:r>
          </w:p>
        </w:tc>
        <w:tc>
          <w:tcPr>
            <w:tcW w:type="dxa" w:w="274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Спроможність до співфінансування та звітності</w:t>
            </w:r>
          </w:p>
        </w:tc>
      </w:tr>
      <w:tr>
        <w:trPr>
          <w:tblHeader w:val="false"/>
        </w:trPr>
        <w:tc>
          <w:tcPr>
            <w:tcW w:type="dxa" w:w="209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Науково-освітня</w:t>
            </w:r>
          </w:p>
        </w:tc>
        <w:tc>
          <w:tcPr>
            <w:tcW w:type="dxa" w:w="221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ЗВО, наукові установи</w:t>
            </w:r>
          </w:p>
        </w:tc>
        <w:tc>
          <w:tcPr>
            <w:tcW w:type="dxa" w:w="258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Horizon Europe (асоціація); Erasmus+</w:t>
            </w:r>
          </w:p>
        </w:tc>
        <w:tc>
          <w:tcPr>
            <w:tcW w:type="dxa" w:w="274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Міжнародна конкурентоспроможність команд; сталість результатів</w:t>
            </w:r>
          </w:p>
        </w:tc>
      </w:tr>
      <w:tr>
        <w:trPr>
          <w:tblHeader w:val="false"/>
        </w:trPr>
        <w:tc>
          <w:tcPr>
            <w:tcW w:type="dxa" w:w="209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Цифрова</w:t>
            </w:r>
          </w:p>
        </w:tc>
        <w:tc>
          <w:tcPr>
            <w:tcW w:type="dxa" w:w="221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Держава, ІТ-компанії</w:t>
            </w:r>
          </w:p>
        </w:tc>
        <w:tc>
          <w:tcPr>
            <w:tcW w:type="dxa" w:w="258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Digital Europe; роумінг; цифрові стандарти</w:t>
            </w:r>
          </w:p>
        </w:tc>
        <w:tc>
          <w:tcPr>
            <w:tcW w:type="dxa" w:w="274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Кібербезпека; захист даних (GDPR-сумісність)</w:t>
            </w:r>
          </w:p>
        </w:tc>
      </w:tr>
      <w:tr>
        <w:trPr>
          <w:tblHeader w:val="false"/>
        </w:trPr>
        <w:tc>
          <w:tcPr>
            <w:tcW w:type="dxa" w:w="209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Екологічна</w:t>
            </w:r>
          </w:p>
        </w:tc>
        <w:tc>
          <w:tcPr>
            <w:tcW w:type="dxa" w:w="221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Громади, промисловість, ГО</w:t>
            </w:r>
          </w:p>
        </w:tc>
        <w:tc>
          <w:tcPr>
            <w:tcW w:type="dxa" w:w="258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LIFE; «зелене» відновлення</w:t>
            </w:r>
          </w:p>
        </w:tc>
        <w:tc>
          <w:tcPr>
            <w:tcW w:type="dxa" w:w="274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Екологічні стандарти розділу 27; декарбонізація</w:t>
            </w:r>
          </w:p>
        </w:tc>
      </w:tr>
      <w:tr>
        <w:trPr>
          <w:tblHeader w:val="false"/>
        </w:trPr>
        <w:tc>
          <w:tcPr>
            <w:tcW w:type="dxa" w:w="209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Розширення</w:t>
            </w:r>
          </w:p>
        </w:tc>
        <w:tc>
          <w:tcPr>
            <w:tcW w:type="dxa" w:w="221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Уряд, парламент, судова система</w:t>
            </w:r>
          </w:p>
        </w:tc>
        <w:tc>
          <w:tcPr>
            <w:tcW w:type="dxa" w:w="258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Ukraine Facility; TAIEX; Twinning</w:t>
            </w:r>
          </w:p>
        </w:tc>
        <w:tc>
          <w:tcPr>
            <w:tcW w:type="dxa" w:w="274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Контрольні показники; реформи верховенства права</w:t>
            </w:r>
          </w:p>
        </w:tc>
      </w:tr>
      <w:tr>
        <w:trPr>
          <w:tblHeader w:val="false"/>
        </w:trPr>
        <w:tc>
          <w:tcPr>
            <w:tcW w:type="dxa" w:w="209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Зовнішня</w:t>
            </w:r>
          </w:p>
        </w:tc>
        <w:tc>
          <w:tcPr>
            <w:tcW w:type="dxa" w:w="221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Органи влади, громадянське суспільство</w:t>
            </w:r>
          </w:p>
        </w:tc>
        <w:tc>
          <w:tcPr>
            <w:tcW w:type="dxa" w:w="258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NDICI; «Команда Європа»; місії ЄС</w:t>
            </w:r>
          </w:p>
        </w:tc>
        <w:tc>
          <w:tcPr>
            <w:tcW w:type="dxa" w:w="274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Координація донорів; прозорість використання коштів</w:t>
            </w:r>
          </w:p>
        </w:tc>
      </w:tr>
    </w:tbl>
    <w:p>
      <w:pPr>
        <w:spacing w:after="60" w:before="0" w:line="240"/>
      </w:pPr>
    </w:p>
    <w:p>
      <w:pPr>
        <w:spacing w:after="120" w:before="0" w:line="240"/>
        <w:jc w:val="left"/>
      </w:pPr>
      <w:r>
        <w:rPr>
          <w:rFonts w:ascii="Times New Roman" w:cs="Times New Roman" w:eastAsia="Times New Roman" w:hAnsi="Times New Roman"/>
          <w:i/>
          <w:iCs/>
          <w:sz w:val="22"/>
          <w:szCs w:val="22"/>
        </w:rPr>
        <w:t xml:space="preserve">Джерело: складено автором.</w:t>
      </w:r>
    </w:p>
    <w:p>
      <w:pPr>
        <w:pStyle w:val="Heading1"/>
        <w:keepNext/>
        <w:spacing w:after="160" w:before="300" w:line="300"/>
        <w:jc w:val="center"/>
      </w:pPr>
      <w:r>
        <w:rPr>
          <w:rFonts w:ascii="Times New Roman" w:cs="Times New Roman" w:eastAsia="Times New Roman" w:hAnsi="Times New Roman"/>
          <w:b/>
          <w:bCs/>
          <w:color w:val="1F3864"/>
          <w:sz w:val="30"/>
          <w:szCs w:val="30"/>
        </w:rPr>
        <w:t xml:space="preserve">Висновки</w:t>
      </w:r>
    </w:p>
    <w:p>
      <w:pPr>
        <w:spacing w:after="0" w:line="360"/>
        <w:ind w:firstLine="709"/>
        <w:jc w:val="both"/>
      </w:pPr>
      <w:r>
        <w:rPr>
          <w:rFonts w:ascii="Times New Roman" w:cs="Times New Roman" w:eastAsia="Times New Roman" w:hAnsi="Times New Roman"/>
          <w:sz w:val="28"/>
          <w:szCs w:val="28"/>
        </w:rPr>
        <w:t xml:space="preserve">1. Політики ЄС поєднують регуляторну, фінансову та зовнішню площини; їхні інструменти залежать від категорії компетенції.</w:t>
      </w:r>
    </w:p>
    <w:p>
      <w:pPr>
        <w:spacing w:after="0" w:line="360"/>
        <w:ind w:firstLine="709"/>
        <w:jc w:val="both"/>
      </w:pPr>
      <w:r>
        <w:rPr>
          <w:rFonts w:ascii="Times New Roman" w:cs="Times New Roman" w:eastAsia="Times New Roman" w:hAnsi="Times New Roman"/>
          <w:sz w:val="28"/>
          <w:szCs w:val="28"/>
        </w:rPr>
        <w:t xml:space="preserve">2. Торговельна політика ЄС у 2025–2026 рр. поєднує лібералізацію (MERCOSUR, Індія, оновлена ПВЗВТ з Україною) з інструментами захисту та економічної безпеки; конкурентна політика, зокрема правила державної допомоги, безпосередньо впливає на проєкти за участі бізнесу.</w:t>
      </w:r>
    </w:p>
    <w:p>
      <w:pPr>
        <w:spacing w:after="0" w:line="360"/>
        <w:ind w:firstLine="709"/>
        <w:jc w:val="both"/>
      </w:pPr>
      <w:r>
        <w:rPr>
          <w:rFonts w:ascii="Times New Roman" w:cs="Times New Roman" w:eastAsia="Times New Roman" w:hAnsi="Times New Roman"/>
          <w:sz w:val="28"/>
          <w:szCs w:val="28"/>
        </w:rPr>
        <w:t xml:space="preserve">3. Політика згуртованості (392 млрд євро) — найбільша інвестиційна політика ЄС, яка втілює принципи партнерства і багаторівневого врядування; для України вона доступна через Interreg і стане предметом переговорів у кластері 5.</w:t>
      </w:r>
    </w:p>
    <w:p>
      <w:pPr>
        <w:spacing w:after="0" w:line="360"/>
        <w:ind w:firstLine="709"/>
        <w:jc w:val="both"/>
      </w:pPr>
      <w:r>
        <w:rPr>
          <w:rFonts w:ascii="Times New Roman" w:cs="Times New Roman" w:eastAsia="Times New Roman" w:hAnsi="Times New Roman"/>
          <w:sz w:val="28"/>
          <w:szCs w:val="28"/>
        </w:rPr>
        <w:t xml:space="preserve">4. Науково-інноваційна та освітня політика реалізуються передусім через Horizon Europe та Erasmus+; Україна асоційована до Horizon Europe і бере участь в Erasmus+ як третя країна, не асоційована до програми.</w:t>
      </w:r>
    </w:p>
    <w:p>
      <w:pPr>
        <w:spacing w:after="0" w:line="360"/>
        <w:ind w:firstLine="709"/>
        <w:jc w:val="both"/>
      </w:pPr>
      <w:r>
        <w:rPr>
          <w:rFonts w:ascii="Times New Roman" w:cs="Times New Roman" w:eastAsia="Times New Roman" w:hAnsi="Times New Roman"/>
          <w:sz w:val="28"/>
          <w:szCs w:val="28"/>
        </w:rPr>
        <w:t xml:space="preserve">5. Цифрова та екологічна політики поєднують масштабне регулювання з фінансовими програмами (Digital Europe, LIFE) і посилюють «брюссельський ефект».</w:t>
      </w:r>
    </w:p>
    <w:p>
      <w:pPr>
        <w:spacing w:after="0" w:line="360"/>
        <w:ind w:firstLine="709"/>
        <w:jc w:val="both"/>
      </w:pPr>
      <w:r>
        <w:rPr>
          <w:rFonts w:ascii="Times New Roman" w:cs="Times New Roman" w:eastAsia="Times New Roman" w:hAnsi="Times New Roman"/>
          <w:sz w:val="28"/>
          <w:szCs w:val="28"/>
        </w:rPr>
        <w:t xml:space="preserve">6. Політика розширення набула геополітичного характеру; її фінансові інструменти засновані на обумовленості реформами.</w:t>
      </w:r>
    </w:p>
    <w:p>
      <w:pPr>
        <w:spacing w:after="0" w:line="360"/>
        <w:ind w:firstLine="709"/>
        <w:jc w:val="both"/>
      </w:pPr>
      <w:r>
        <w:rPr>
          <w:rFonts w:ascii="Times New Roman" w:cs="Times New Roman" w:eastAsia="Times New Roman" w:hAnsi="Times New Roman"/>
          <w:sz w:val="28"/>
          <w:szCs w:val="28"/>
        </w:rPr>
        <w:t xml:space="preserve">7. Зовнішня політика і політика сусідства спираються на NDICI, Global Gateway, «Команду Європа» та інструменти технічної допомоги, які для України є ресурсом розбудови інституційної спроможності.</w:t>
      </w:r>
    </w:p>
    <w:p>
      <w:pPr>
        <w:pStyle w:val="Heading1"/>
        <w:keepNext/>
        <w:spacing w:after="160" w:before="300" w:line="300"/>
        <w:jc w:val="center"/>
      </w:pPr>
      <w:r>
        <w:rPr>
          <w:rFonts w:ascii="Times New Roman" w:cs="Times New Roman" w:eastAsia="Times New Roman" w:hAnsi="Times New Roman"/>
          <w:b/>
          <w:bCs/>
          <w:color w:val="1F3864"/>
          <w:sz w:val="30"/>
          <w:szCs w:val="30"/>
        </w:rPr>
        <w:t xml:space="preserve">Питання для самоконтролю</w:t>
      </w:r>
    </w:p>
    <w:p>
      <w:pPr>
        <w:spacing w:after="60" w:line="300"/>
        <w:ind w:left="567" w:hanging="567"/>
        <w:jc w:val="both"/>
      </w:pPr>
      <w:r>
        <w:rPr>
          <w:rFonts w:ascii="Times New Roman" w:cs="Times New Roman" w:eastAsia="Times New Roman" w:hAnsi="Times New Roman"/>
          <w:sz w:val="26"/>
          <w:szCs w:val="26"/>
        </w:rPr>
        <w:t xml:space="preserve">1. Чому торговельна політика є виключною компетенцією ЄС і які інструменти вона охоплює?</w:t>
      </w:r>
    </w:p>
    <w:p>
      <w:pPr>
        <w:spacing w:after="60" w:line="300"/>
        <w:ind w:left="567" w:hanging="567"/>
        <w:jc w:val="both"/>
      </w:pPr>
      <w:r>
        <w:rPr>
          <w:rFonts w:ascii="Times New Roman" w:cs="Times New Roman" w:eastAsia="Times New Roman" w:hAnsi="Times New Roman"/>
          <w:sz w:val="26"/>
          <w:szCs w:val="26"/>
        </w:rPr>
        <w:t xml:space="preserve">2. Проаналізуйте основні події торговельної політики ЄС у 2025–2026 рр. та їхнє значення для МЕВ.</w:t>
      </w:r>
    </w:p>
    <w:p>
      <w:pPr>
        <w:spacing w:after="60" w:line="300"/>
        <w:ind w:left="567" w:hanging="567"/>
        <w:jc w:val="both"/>
      </w:pPr>
      <w:r>
        <w:rPr>
          <w:rFonts w:ascii="Times New Roman" w:cs="Times New Roman" w:eastAsia="Times New Roman" w:hAnsi="Times New Roman"/>
          <w:sz w:val="26"/>
          <w:szCs w:val="26"/>
        </w:rPr>
        <w:t xml:space="preserve">3. Як правила державної допомоги впливають на проєкти, що фінансують підприємства?</w:t>
      </w:r>
    </w:p>
    <w:p>
      <w:pPr>
        <w:spacing w:after="60" w:line="300"/>
        <w:ind w:left="567" w:hanging="567"/>
        <w:jc w:val="both"/>
      </w:pPr>
      <w:r>
        <w:rPr>
          <w:rFonts w:ascii="Times New Roman" w:cs="Times New Roman" w:eastAsia="Times New Roman" w:hAnsi="Times New Roman"/>
          <w:sz w:val="26"/>
          <w:szCs w:val="26"/>
        </w:rPr>
        <w:t xml:space="preserve">4. Охарактеризуйте архітектуру політики згуртованості 2021–2027 рр.: фонди, цілі, категорії регіонів, принципи.</w:t>
      </w:r>
    </w:p>
    <w:p>
      <w:pPr>
        <w:spacing w:after="60" w:line="300"/>
        <w:ind w:left="567" w:hanging="567"/>
        <w:jc w:val="both"/>
      </w:pPr>
      <w:r>
        <w:rPr>
          <w:rFonts w:ascii="Times New Roman" w:cs="Times New Roman" w:eastAsia="Times New Roman" w:hAnsi="Times New Roman"/>
          <w:sz w:val="26"/>
          <w:szCs w:val="26"/>
        </w:rPr>
        <w:t xml:space="preserve">5. Які можливості відкривають для України програми Interreg NEXT?</w:t>
      </w:r>
    </w:p>
    <w:p>
      <w:pPr>
        <w:spacing w:after="60" w:line="300"/>
        <w:ind w:left="567" w:hanging="567"/>
        <w:jc w:val="both"/>
      </w:pPr>
      <w:r>
        <w:rPr>
          <w:rFonts w:ascii="Times New Roman" w:cs="Times New Roman" w:eastAsia="Times New Roman" w:hAnsi="Times New Roman"/>
          <w:sz w:val="26"/>
          <w:szCs w:val="26"/>
        </w:rPr>
        <w:t xml:space="preserve">6. Розкрийте зміст Європейського дослідницького простору та роль Horizon Europe.</w:t>
      </w:r>
    </w:p>
    <w:p>
      <w:pPr>
        <w:spacing w:after="60" w:line="300"/>
        <w:ind w:left="567" w:hanging="567"/>
        <w:jc w:val="both"/>
      </w:pPr>
      <w:r>
        <w:rPr>
          <w:rFonts w:ascii="Times New Roman" w:cs="Times New Roman" w:eastAsia="Times New Roman" w:hAnsi="Times New Roman"/>
          <w:sz w:val="26"/>
          <w:szCs w:val="26"/>
        </w:rPr>
        <w:t xml:space="preserve">7. Чому освітня політика ЄС реалізується переважно через Erasmus+?</w:t>
      </w:r>
    </w:p>
    <w:p>
      <w:pPr>
        <w:spacing w:after="60" w:line="300"/>
        <w:ind w:left="567" w:hanging="567"/>
        <w:jc w:val="both"/>
      </w:pPr>
      <w:r>
        <w:rPr>
          <w:rFonts w:ascii="Times New Roman" w:cs="Times New Roman" w:eastAsia="Times New Roman" w:hAnsi="Times New Roman"/>
          <w:sz w:val="26"/>
          <w:szCs w:val="26"/>
        </w:rPr>
        <w:t xml:space="preserve">8. Назвіть цілі цифрового десятиліття та ключові акти цифрового регулювання ЄС.</w:t>
      </w:r>
    </w:p>
    <w:p>
      <w:pPr>
        <w:spacing w:after="60" w:line="300"/>
        <w:ind w:left="567" w:hanging="567"/>
        <w:jc w:val="both"/>
      </w:pPr>
      <w:r>
        <w:rPr>
          <w:rFonts w:ascii="Times New Roman" w:cs="Times New Roman" w:eastAsia="Times New Roman" w:hAnsi="Times New Roman"/>
          <w:sz w:val="26"/>
          <w:szCs w:val="26"/>
        </w:rPr>
        <w:t xml:space="preserve">9. Охарактеризуйте етапи реалізації Європейського зеленого курсу і його значення для України.</w:t>
      </w:r>
    </w:p>
    <w:p>
      <w:pPr>
        <w:spacing w:after="60" w:line="300"/>
        <w:ind w:left="567" w:hanging="567"/>
        <w:jc w:val="both"/>
      </w:pPr>
      <w:r>
        <w:rPr>
          <w:rFonts w:ascii="Times New Roman" w:cs="Times New Roman" w:eastAsia="Times New Roman" w:hAnsi="Times New Roman"/>
          <w:sz w:val="26"/>
          <w:szCs w:val="26"/>
        </w:rPr>
        <w:t xml:space="preserve">10. Порівняйте стан переговорів держав-кандидатів у 2026 р.</w:t>
      </w:r>
    </w:p>
    <w:p>
      <w:pPr>
        <w:spacing w:after="60" w:line="300"/>
        <w:ind w:left="567" w:hanging="567"/>
        <w:jc w:val="both"/>
      </w:pPr>
      <w:r>
        <w:rPr>
          <w:rFonts w:ascii="Times New Roman" w:cs="Times New Roman" w:eastAsia="Times New Roman" w:hAnsi="Times New Roman"/>
          <w:sz w:val="26"/>
          <w:szCs w:val="26"/>
        </w:rPr>
        <w:t xml:space="preserve">11. У чому полягає принцип обумовленості фінансових інструментів розширення?</w:t>
      </w:r>
    </w:p>
    <w:p>
      <w:pPr>
        <w:spacing w:after="60" w:line="300"/>
        <w:ind w:left="567" w:hanging="567"/>
        <w:jc w:val="both"/>
      </w:pPr>
      <w:r>
        <w:rPr>
          <w:rFonts w:ascii="Times New Roman" w:cs="Times New Roman" w:eastAsia="Times New Roman" w:hAnsi="Times New Roman"/>
          <w:sz w:val="26"/>
          <w:szCs w:val="26"/>
        </w:rPr>
        <w:t xml:space="preserve">12. Які інструменти технічної допомоги ЄС можуть використовувати органи влади України?</w:t>
      </w:r>
    </w:p>
    <w:p>
      <w:pPr>
        <w:pStyle w:val="Heading1"/>
        <w:keepNext/>
        <w:spacing w:after="160" w:before="300" w:line="300"/>
        <w:jc w:val="center"/>
      </w:pPr>
      <w:r>
        <w:rPr>
          <w:rFonts w:ascii="Times New Roman" w:cs="Times New Roman" w:eastAsia="Times New Roman" w:hAnsi="Times New Roman"/>
          <w:b/>
          <w:bCs/>
          <w:color w:val="1F3864"/>
          <w:sz w:val="30"/>
          <w:szCs w:val="30"/>
        </w:rPr>
        <w:t xml:space="preserve">Глосарій</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189"/>
        <w:gridCol w:w="6449"/>
      </w:tblGrid>
      <w:tr>
        <w:trPr>
          <w:tblHeader/>
        </w:trPr>
        <w:tc>
          <w:tcPr>
            <w:tcW w:type="dxa" w:w="3189"/>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Термін</w:t>
            </w:r>
          </w:p>
        </w:tc>
        <w:tc>
          <w:tcPr>
            <w:tcW w:type="dxa" w:w="6449"/>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Визначення</w:t>
            </w:r>
          </w:p>
        </w:tc>
      </w:tr>
      <w:tr>
        <w:trPr>
          <w:tblHeader w:val="false"/>
        </w:trPr>
        <w:tc>
          <w:tcPr>
            <w:tcW w:type="dxa" w:w="318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Політика згуртованості</w:t>
            </w:r>
          </w:p>
        </w:tc>
        <w:tc>
          <w:tcPr>
            <w:tcW w:type="dxa" w:w="644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Політика ЄС, спрямована на зменшення розриву в рівнях розвитку регіонів (ст. 174 ДФЄС)</w:t>
            </w:r>
          </w:p>
        </w:tc>
      </w:tr>
      <w:tr>
        <w:trPr>
          <w:tblHeader w:val="false"/>
        </w:trPr>
        <w:tc>
          <w:tcPr>
            <w:tcW w:type="dxa" w:w="318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Державна допомога</w:t>
            </w:r>
          </w:p>
        </w:tc>
        <w:tc>
          <w:tcPr>
            <w:tcW w:type="dxa" w:w="644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Будь-яка допомога з державних ресурсів, що спотворює або загрожує спотворити конкуренцію, надаючи перевагу окремим суб’єктам (ст. 107 ДФЄС)</w:t>
            </w:r>
          </w:p>
        </w:tc>
      </w:tr>
      <w:tr>
        <w:trPr>
          <w:tblHeader w:val="false"/>
        </w:trPr>
        <w:tc>
          <w:tcPr>
            <w:tcW w:type="dxa" w:w="318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De minimis</w:t>
            </w:r>
          </w:p>
        </w:tc>
        <w:tc>
          <w:tcPr>
            <w:tcW w:type="dxa" w:w="644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Допомога незначного обсягу, яка не вважається державною допомогою (до 300 тис. євро за три роки)</w:t>
            </w:r>
          </w:p>
        </w:tc>
      </w:tr>
      <w:tr>
        <w:trPr>
          <w:tblHeader w:val="false"/>
        </w:trPr>
        <w:tc>
          <w:tcPr>
            <w:tcW w:type="dxa" w:w="318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Європейський дослідницький простір</w:t>
            </w:r>
          </w:p>
        </w:tc>
        <w:tc>
          <w:tcPr>
            <w:tcW w:type="dxa" w:w="644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Простір вільного руху дослідників, знань і технологій (ст. 179 ДФЄС)</w:t>
            </w:r>
          </w:p>
        </w:tc>
      </w:tr>
      <w:tr>
        <w:trPr>
          <w:tblHeader w:val="false"/>
        </w:trPr>
        <w:tc>
          <w:tcPr>
            <w:tcW w:type="dxa" w:w="318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Цифрове десятиліття</w:t>
            </w:r>
          </w:p>
        </w:tc>
        <w:tc>
          <w:tcPr>
            <w:tcW w:type="dxa" w:w="644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Програма політики ЄС із цифрової трансформації до 2030 р.</w:t>
            </w:r>
          </w:p>
        </w:tc>
      </w:tr>
      <w:tr>
        <w:trPr>
          <w:tblHeader w:val="false"/>
        </w:trPr>
        <w:tc>
          <w:tcPr>
            <w:tcW w:type="dxa" w:w="318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Поступова інтеграція</w:t>
            </w:r>
          </w:p>
        </w:tc>
        <w:tc>
          <w:tcPr>
            <w:tcW w:type="dxa" w:w="644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Доступ країн-кандидатів до окремих політик і ринків ЄС до набуття членства</w:t>
            </w:r>
          </w:p>
        </w:tc>
      </w:tr>
      <w:tr>
        <w:trPr>
          <w:tblHeader w:val="false"/>
        </w:trPr>
        <w:tc>
          <w:tcPr>
            <w:tcW w:type="dxa" w:w="318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TAIEX</w:t>
            </w:r>
          </w:p>
        </w:tc>
        <w:tc>
          <w:tcPr>
            <w:tcW w:type="dxa" w:w="644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Інструмент технічної допомоги й обміну інформацією для короткострокової експертної підтримки</w:t>
            </w:r>
          </w:p>
        </w:tc>
      </w:tr>
      <w:tr>
        <w:trPr>
          <w:tblHeader w:val="false"/>
        </w:trPr>
        <w:tc>
          <w:tcPr>
            <w:tcW w:type="dxa" w:w="318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Twinning</w:t>
            </w:r>
          </w:p>
        </w:tc>
        <w:tc>
          <w:tcPr>
            <w:tcW w:type="dxa" w:w="644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Інструмент інституційної співпраці між органами влади держав-членів і країн-партнерів</w:t>
            </w:r>
          </w:p>
        </w:tc>
      </w:tr>
      <w:tr>
        <w:trPr>
          <w:tblHeader w:val="false"/>
        </w:trPr>
        <w:tc>
          <w:tcPr>
            <w:tcW w:type="dxa" w:w="318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«Команда Європа»</w:t>
            </w:r>
          </w:p>
        </w:tc>
        <w:tc>
          <w:tcPr>
            <w:tcW w:type="dxa" w:w="644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Підхід спільного планування і реалізації зовнішньої допомоги ЄС, держав-членів і фінансових установ</w:t>
            </w:r>
          </w:p>
        </w:tc>
      </w:tr>
    </w:tbl>
    <w:p>
      <w:pPr>
        <w:spacing w:after="60" w:before="0" w:line="240"/>
      </w:pPr>
    </w:p>
    <w:p>
      <w:pPr>
        <w:pStyle w:val="Heading1"/>
        <w:keepNext/>
        <w:spacing w:after="160" w:before="300" w:line="300"/>
        <w:jc w:val="center"/>
      </w:pPr>
      <w:r>
        <w:rPr>
          <w:rFonts w:ascii="Times New Roman" w:cs="Times New Roman" w:eastAsia="Times New Roman" w:hAnsi="Times New Roman"/>
          <w:b/>
          <w:bCs/>
          <w:color w:val="1F3864"/>
          <w:sz w:val="30"/>
          <w:szCs w:val="30"/>
        </w:rPr>
        <w:t xml:space="preserve">Список використаних джерел</w:t>
      </w:r>
    </w:p>
    <w:p>
      <w:pPr>
        <w:spacing w:after="60" w:line="300"/>
        <w:ind w:left="567" w:hanging="567"/>
        <w:jc w:val="both"/>
      </w:pPr>
      <w:r>
        <w:rPr>
          <w:rFonts w:ascii="Times New Roman" w:cs="Times New Roman" w:eastAsia="Times New Roman" w:hAnsi="Times New Roman"/>
          <w:sz w:val="26"/>
          <w:szCs w:val="26"/>
        </w:rPr>
        <w:t xml:space="preserve">1. Основи зовнішньої політики Європейського Союзу : навч. посіб. / Н. А. Вінникова та ін. ; за заг. ред. Л. В. Новікової. Харків : ХНУ імені В. Н. Каразіна, 2022. 144 с.</w:t>
      </w:r>
    </w:p>
    <w:p>
      <w:pPr>
        <w:spacing w:after="60" w:line="300"/>
        <w:ind w:left="567" w:hanging="567"/>
        <w:jc w:val="both"/>
      </w:pPr>
      <w:r>
        <w:rPr>
          <w:rFonts w:ascii="Times New Roman" w:cs="Times New Roman" w:eastAsia="Times New Roman" w:hAnsi="Times New Roman"/>
          <w:sz w:val="26"/>
          <w:szCs w:val="26"/>
        </w:rPr>
        <w:t xml:space="preserve">2. Європейська інтеграція : навч.-метод. посіб. / уклад. Н. В. Кузьминчук, Т. П. Шуба, В. І. Ляшевська. Харків : ХНУ імені В. Н. Каразіна, 2023. 48 с.</w:t>
      </w:r>
    </w:p>
    <w:p>
      <w:pPr>
        <w:spacing w:after="60" w:line="300"/>
        <w:ind w:left="567" w:hanging="567"/>
        <w:jc w:val="both"/>
      </w:pPr>
      <w:r>
        <w:rPr>
          <w:rFonts w:ascii="Times New Roman" w:cs="Times New Roman" w:eastAsia="Times New Roman" w:hAnsi="Times New Roman"/>
          <w:sz w:val="26"/>
          <w:szCs w:val="26"/>
        </w:rPr>
        <w:t xml:space="preserve">3. Кобеля-Звір М. Я. Грантові програми транскордонного співробітництва: можливості, перспективи, перепони. </w:t>
      </w:r>
      <w:r>
        <w:rPr>
          <w:rFonts w:ascii="Times New Roman" w:cs="Times New Roman" w:eastAsia="Times New Roman" w:hAnsi="Times New Roman"/>
          <w:i/>
          <w:iCs/>
          <w:sz w:val="26"/>
          <w:szCs w:val="26"/>
        </w:rPr>
        <w:t xml:space="preserve">Економічний простір</w:t>
      </w:r>
      <w:r>
        <w:rPr>
          <w:rFonts w:ascii="Times New Roman" w:cs="Times New Roman" w:eastAsia="Times New Roman" w:hAnsi="Times New Roman"/>
          <w:sz w:val="26"/>
          <w:szCs w:val="26"/>
        </w:rPr>
        <w:t xml:space="preserve">. 2023. № 186. С. 44–48. DOI: https://doi.org/10.32782/2224-6282/186-8</w:t>
      </w:r>
    </w:p>
    <w:p>
      <w:pPr>
        <w:spacing w:after="60" w:line="300"/>
        <w:ind w:left="567" w:hanging="567"/>
        <w:jc w:val="both"/>
      </w:pPr>
      <w:r>
        <w:rPr>
          <w:rFonts w:ascii="Times New Roman" w:cs="Times New Roman" w:eastAsia="Times New Roman" w:hAnsi="Times New Roman"/>
          <w:sz w:val="26"/>
          <w:szCs w:val="26"/>
        </w:rPr>
        <w:t xml:space="preserve">4. Підвищення конкурентоспроможності ЄС: циркулярна економіка : монографія / за ред. О. Є. Кузьміна, О. Г. Мельник, Н. І. Горбаль. Львів : Міські інформаційні системи, 2021. 190 с.</w:t>
      </w:r>
    </w:p>
    <w:p>
      <w:pPr>
        <w:spacing w:after="60" w:line="300"/>
        <w:ind w:left="567" w:hanging="567"/>
        <w:jc w:val="both"/>
      </w:pPr>
      <w:r>
        <w:rPr>
          <w:rFonts w:ascii="Times New Roman" w:cs="Times New Roman" w:eastAsia="Times New Roman" w:hAnsi="Times New Roman"/>
          <w:sz w:val="26"/>
          <w:szCs w:val="26"/>
        </w:rPr>
        <w:t xml:space="preserve">5. Абрамова І. В. Євроінтеграційні імперативи трансформації фінансового забезпечення сталого розвитку сільських територіальних громад : монографія. Житомир : БукДрук, 2024. 290 с. DOI: https://doi.org/10.5281/zenodo.15663514</w:t>
      </w:r>
    </w:p>
    <w:p>
      <w:pPr>
        <w:spacing w:after="60" w:line="300"/>
        <w:ind w:left="567" w:hanging="567"/>
        <w:jc w:val="both"/>
      </w:pPr>
      <w:r>
        <w:rPr>
          <w:rFonts w:ascii="Times New Roman" w:cs="Times New Roman" w:eastAsia="Times New Roman" w:hAnsi="Times New Roman"/>
          <w:sz w:val="26"/>
          <w:szCs w:val="26"/>
        </w:rPr>
        <w:t xml:space="preserve">6. Romanchuk L., Abramova I., Moroz Yu., Poplavskyi P., Svitlyshyn I. Funding for sustainable development of rural communities: European experience. </w:t>
      </w:r>
      <w:r>
        <w:rPr>
          <w:rFonts w:ascii="Times New Roman" w:cs="Times New Roman" w:eastAsia="Times New Roman" w:hAnsi="Times New Roman"/>
          <w:i/>
          <w:iCs/>
          <w:sz w:val="26"/>
          <w:szCs w:val="26"/>
        </w:rPr>
        <w:t xml:space="preserve">Agricultural and Resource Economics</w:t>
      </w:r>
      <w:r>
        <w:rPr>
          <w:rFonts w:ascii="Times New Roman" w:cs="Times New Roman" w:eastAsia="Times New Roman" w:hAnsi="Times New Roman"/>
          <w:sz w:val="26"/>
          <w:szCs w:val="26"/>
        </w:rPr>
        <w:t xml:space="preserve">. 2024. Vol. 10, No. 4. P. 203–234. DOI: https://doi.org/10.51599/are.2024.10.04.09</w:t>
      </w:r>
    </w:p>
    <w:p>
      <w:pPr>
        <w:spacing w:after="60" w:line="300"/>
        <w:ind w:left="567" w:hanging="567"/>
        <w:jc w:val="both"/>
      </w:pPr>
      <w:r>
        <w:rPr>
          <w:rFonts w:ascii="Times New Roman" w:cs="Times New Roman" w:eastAsia="Times New Roman" w:hAnsi="Times New Roman"/>
          <w:sz w:val="26"/>
          <w:szCs w:val="26"/>
        </w:rPr>
        <w:t xml:space="preserve">7. Абрамова І., Тарасюк Г. Імперативи розвитку вищої освіти в ЄС: фінансово-економічні детермінанти. </w:t>
      </w:r>
      <w:r>
        <w:rPr>
          <w:rFonts w:ascii="Times New Roman" w:cs="Times New Roman" w:eastAsia="Times New Roman" w:hAnsi="Times New Roman"/>
          <w:i/>
          <w:iCs/>
          <w:sz w:val="26"/>
          <w:szCs w:val="26"/>
        </w:rPr>
        <w:t xml:space="preserve">Society and Security</w:t>
      </w:r>
      <w:r>
        <w:rPr>
          <w:rFonts w:ascii="Times New Roman" w:cs="Times New Roman" w:eastAsia="Times New Roman" w:hAnsi="Times New Roman"/>
          <w:sz w:val="26"/>
          <w:szCs w:val="26"/>
        </w:rPr>
        <w:t xml:space="preserve">. 2025. № 6(12). С. 108–113. DOI: https://doi.org/10.26642/sas-2025-6(12)-108-113</w:t>
      </w:r>
    </w:p>
    <w:p>
      <w:pPr>
        <w:spacing w:after="60" w:line="300"/>
        <w:ind w:left="567" w:hanging="567"/>
        <w:jc w:val="both"/>
      </w:pPr>
      <w:r>
        <w:rPr>
          <w:rFonts w:ascii="Times New Roman" w:cs="Times New Roman" w:eastAsia="Times New Roman" w:hAnsi="Times New Roman"/>
          <w:sz w:val="26"/>
          <w:szCs w:val="26"/>
        </w:rPr>
        <w:t xml:space="preserve">8. European Commission. 2025 Enlargement Package. Brussels, 4 November 2025. URL: https://enlargement.ec.europa.eu</w:t>
      </w:r>
    </w:p>
    <w:p>
      <w:pPr>
        <w:spacing w:after="60" w:line="300"/>
        <w:ind w:left="567" w:hanging="567"/>
        <w:jc w:val="both"/>
      </w:pPr>
      <w:r>
        <w:rPr>
          <w:rFonts w:ascii="Times New Roman" w:cs="Times New Roman" w:eastAsia="Times New Roman" w:hAnsi="Times New Roman"/>
          <w:sz w:val="26"/>
          <w:szCs w:val="26"/>
        </w:rPr>
        <w:t xml:space="preserve">9. Council of the EU. EU financial assistance to Ukraine. URL: https://www.consilium.europa.eu/en/policies/ukraine-solidarity-financial-support/</w:t>
      </w:r>
    </w:p>
    <w:p>
      <w:pPr>
        <w:spacing w:after="60" w:line="300"/>
        <w:ind w:left="567" w:hanging="567"/>
        <w:jc w:val="both"/>
      </w:pPr>
      <w:r>
        <w:rPr>
          <w:rFonts w:ascii="Times New Roman" w:cs="Times New Roman" w:eastAsia="Times New Roman" w:hAnsi="Times New Roman"/>
          <w:sz w:val="26"/>
          <w:szCs w:val="26"/>
        </w:rPr>
        <w:t xml:space="preserve">10. Wallace H., Pollack M. A., Roederer-Rynning C., Young A. R. (eds.). Policy-Making in the European Union. 8th ed. Oxford : Oxford University Press, 2020. 592 p.</w:t>
      </w:r>
    </w:p>
    <w:p>
      <w:pPr>
        <w:spacing w:after="60" w:line="300"/>
        <w:ind w:left="567" w:hanging="567"/>
        <w:jc w:val="both"/>
      </w:pPr>
      <w:r>
        <w:rPr>
          <w:rFonts w:ascii="Times New Roman" w:cs="Times New Roman" w:eastAsia="Times New Roman" w:hAnsi="Times New Roman"/>
          <w:sz w:val="26"/>
          <w:szCs w:val="26"/>
        </w:rPr>
        <w:t xml:space="preserve">11. Bradford A. The Brussels Effect: How the European Union Rules the World. New York : Oxford University Press, 2020. 424 p.</w:t>
      </w:r>
    </w:p>
    <w:p>
      <w:pPr>
        <w:spacing w:after="60" w:line="300"/>
        <w:ind w:left="567" w:hanging="567"/>
        <w:jc w:val="both"/>
      </w:pPr>
      <w:r>
        <w:rPr>
          <w:rFonts w:ascii="Times New Roman" w:cs="Times New Roman" w:eastAsia="Times New Roman" w:hAnsi="Times New Roman"/>
          <w:sz w:val="26"/>
          <w:szCs w:val="26"/>
        </w:rPr>
        <w:t xml:space="preserve">12. Consolidated version of the Treaty on the Functioning of the European Union. </w:t>
      </w:r>
      <w:r>
        <w:rPr>
          <w:rFonts w:ascii="Times New Roman" w:cs="Times New Roman" w:eastAsia="Times New Roman" w:hAnsi="Times New Roman"/>
          <w:i/>
          <w:iCs/>
          <w:sz w:val="26"/>
          <w:szCs w:val="26"/>
        </w:rPr>
        <w:t xml:space="preserve">Official Journal of the European Union</w:t>
      </w:r>
      <w:r>
        <w:rPr>
          <w:rFonts w:ascii="Times New Roman" w:cs="Times New Roman" w:eastAsia="Times New Roman" w:hAnsi="Times New Roman"/>
          <w:sz w:val="26"/>
          <w:szCs w:val="26"/>
        </w:rPr>
        <w:t xml:space="preserve">. C 202. 07.06.2016. P. 47–199.</w:t>
      </w:r>
    </w:p>
    <w:p>
      <w:pPr>
        <w:spacing w:after="60" w:line="300"/>
        <w:ind w:left="567" w:hanging="567"/>
        <w:jc w:val="both"/>
      </w:pPr>
      <w:r>
        <w:rPr>
          <w:rFonts w:ascii="Times New Roman" w:cs="Times New Roman" w:eastAsia="Times New Roman" w:hAnsi="Times New Roman"/>
          <w:sz w:val="26"/>
          <w:szCs w:val="26"/>
        </w:rPr>
        <w:t xml:space="preserve">13. European Commission. A Competitiveness Compass for the EU : COM(2025) 30 final. Brussels, 29.01.2025.</w:t>
      </w:r>
    </w:p>
    <w:p>
      <w:pPr>
        <w:spacing w:after="60" w:line="300"/>
        <w:ind w:left="567" w:hanging="567"/>
        <w:jc w:val="both"/>
      </w:pPr>
      <w:r>
        <w:rPr>
          <w:rFonts w:ascii="Times New Roman" w:cs="Times New Roman" w:eastAsia="Times New Roman" w:hAnsi="Times New Roman"/>
          <w:sz w:val="26"/>
          <w:szCs w:val="26"/>
        </w:rPr>
        <w:t xml:space="preserve">14. European Commission. Trade Policy Review – An Open, Sustainable and Assertive Trade Policy : COM(2021) 66 final. Brussels, 18.02.2021.</w:t>
      </w:r>
    </w:p>
    <w:p>
      <w:pPr>
        <w:spacing w:after="60" w:line="300"/>
        <w:ind w:left="567" w:hanging="567"/>
        <w:jc w:val="both"/>
      </w:pPr>
      <w:r>
        <w:rPr>
          <w:rFonts w:ascii="Times New Roman" w:cs="Times New Roman" w:eastAsia="Times New Roman" w:hAnsi="Times New Roman"/>
          <w:sz w:val="26"/>
          <w:szCs w:val="26"/>
        </w:rPr>
        <w:t xml:space="preserve">15. White &amp; Case. EU to provisionally apply EU–Mercosur Interim Trade Agreement pending CJEU opinion. 2026. URL: https://www.whitecase.com/insight-alert/eu-provisionally-apply-eu-mercosur-interim-trade-agreement-pending-cjeu-opinion</w:t>
      </w:r>
    </w:p>
    <w:p>
      <w:pPr>
        <w:spacing w:after="60" w:line="300"/>
        <w:ind w:left="567" w:hanging="567"/>
        <w:jc w:val="both"/>
      </w:pPr>
      <w:r>
        <w:rPr>
          <w:rFonts w:ascii="Times New Roman" w:cs="Times New Roman" w:eastAsia="Times New Roman" w:hAnsi="Times New Roman"/>
          <w:sz w:val="26"/>
          <w:szCs w:val="26"/>
        </w:rPr>
        <w:t xml:space="preserve">16. Council of the EU. EU-US trade: Council and Parliament strike a deal to implement the tariff elements of the Joint Statement : press release, 20 May 2026. URL: https://www.consilium.europa.eu</w:t>
      </w:r>
    </w:p>
    <w:p>
      <w:pPr>
        <w:spacing w:after="60" w:line="300"/>
        <w:ind w:left="567" w:hanging="567"/>
        <w:jc w:val="both"/>
      </w:pPr>
      <w:r>
        <w:rPr>
          <w:rFonts w:ascii="Times New Roman" w:cs="Times New Roman" w:eastAsia="Times New Roman" w:hAnsi="Times New Roman"/>
          <w:sz w:val="26"/>
          <w:szCs w:val="26"/>
        </w:rPr>
        <w:t xml:space="preserve">17. European Commission. Inforegio: Available budget of Cohesion Policy 2021–2027. URL: https://ec.europa.eu/regional_policy/funding/available-budget_en</w:t>
      </w:r>
    </w:p>
    <w:p>
      <w:pPr>
        <w:spacing w:after="60" w:line="300"/>
        <w:ind w:left="567" w:hanging="567"/>
        <w:jc w:val="both"/>
      </w:pPr>
      <w:r>
        <w:rPr>
          <w:rFonts w:ascii="Times New Roman" w:cs="Times New Roman" w:eastAsia="Times New Roman" w:hAnsi="Times New Roman"/>
          <w:sz w:val="26"/>
          <w:szCs w:val="26"/>
        </w:rPr>
        <w:t xml:space="preserve">18. Regulation (EU) 2021/1060 of the European Parliament and of the Council of 24 June 2021 laying down common provisions on the European Regional Development Fund, the European Social Fund Plus, the Cohesion Fund, the Just Transition Fund and the European Maritime, Fisheries and Aquaculture Fund… </w:t>
      </w:r>
      <w:r>
        <w:rPr>
          <w:rFonts w:ascii="Times New Roman" w:cs="Times New Roman" w:eastAsia="Times New Roman" w:hAnsi="Times New Roman"/>
          <w:i/>
          <w:iCs/>
          <w:sz w:val="26"/>
          <w:szCs w:val="26"/>
        </w:rPr>
        <w:t xml:space="preserve">Official Journal of the European Union</w:t>
      </w:r>
      <w:r>
        <w:rPr>
          <w:rFonts w:ascii="Times New Roman" w:cs="Times New Roman" w:eastAsia="Times New Roman" w:hAnsi="Times New Roman"/>
          <w:sz w:val="26"/>
          <w:szCs w:val="26"/>
        </w:rPr>
        <w:t xml:space="preserve">. L 231. 30.06.2021.</w:t>
      </w:r>
    </w:p>
    <w:p>
      <w:pPr>
        <w:spacing w:after="60" w:line="300"/>
        <w:ind w:left="567" w:hanging="567"/>
        <w:jc w:val="both"/>
      </w:pPr>
      <w:r>
        <w:rPr>
          <w:rFonts w:ascii="Times New Roman" w:cs="Times New Roman" w:eastAsia="Times New Roman" w:hAnsi="Times New Roman"/>
          <w:sz w:val="26"/>
          <w:szCs w:val="26"/>
        </w:rPr>
        <w:t xml:space="preserve">19. European Commission. Horizon Europe 2026–2027 work programme adopted: €14 billion : news, 12 December 2025. URL: https://research-and-innovation.ec.europa.eu</w:t>
      </w:r>
    </w:p>
    <w:p>
      <w:pPr>
        <w:spacing w:after="60" w:line="300"/>
        <w:ind w:left="567" w:hanging="567"/>
        <w:jc w:val="both"/>
      </w:pPr>
      <w:r>
        <w:rPr>
          <w:rFonts w:ascii="Times New Roman" w:cs="Times New Roman" w:eastAsia="Times New Roman" w:hAnsi="Times New Roman"/>
          <w:sz w:val="26"/>
          <w:szCs w:val="26"/>
        </w:rPr>
        <w:t xml:space="preserve">20. European Commission. The Union of Skills : Communication. Brussels, 5.03.2025.</w:t>
      </w:r>
    </w:p>
    <w:p>
      <w:pPr>
        <w:spacing w:after="60" w:line="300"/>
        <w:ind w:left="567" w:hanging="567"/>
        <w:jc w:val="both"/>
      </w:pPr>
      <w:r>
        <w:rPr>
          <w:rFonts w:ascii="Times New Roman" w:cs="Times New Roman" w:eastAsia="Times New Roman" w:hAnsi="Times New Roman"/>
          <w:sz w:val="26"/>
          <w:szCs w:val="26"/>
        </w:rPr>
        <w:t xml:space="preserve">21. European Commission. Erasmus+ Programme Guide 2026. URL: https://erasmus-plus.ec.europa.eu/erasmus-programme-guide</w:t>
      </w:r>
    </w:p>
    <w:p>
      <w:pPr>
        <w:spacing w:after="60" w:line="300"/>
        <w:ind w:left="567" w:hanging="567"/>
        <w:jc w:val="both"/>
      </w:pPr>
      <w:r>
        <w:rPr>
          <w:rFonts w:ascii="Times New Roman" w:cs="Times New Roman" w:eastAsia="Times New Roman" w:hAnsi="Times New Roman"/>
          <w:sz w:val="26"/>
          <w:szCs w:val="26"/>
        </w:rPr>
        <w:t xml:space="preserve">22. Decision (EU) 2022/2481 of the European Parliament and of the Council of 14 December 2022 establishing the Digital Decade Policy Programme 2030. </w:t>
      </w:r>
      <w:r>
        <w:rPr>
          <w:rFonts w:ascii="Times New Roman" w:cs="Times New Roman" w:eastAsia="Times New Roman" w:hAnsi="Times New Roman"/>
          <w:i/>
          <w:iCs/>
          <w:sz w:val="26"/>
          <w:szCs w:val="26"/>
        </w:rPr>
        <w:t xml:space="preserve">Official Journal of the European Union</w:t>
      </w:r>
      <w:r>
        <w:rPr>
          <w:rFonts w:ascii="Times New Roman" w:cs="Times New Roman" w:eastAsia="Times New Roman" w:hAnsi="Times New Roman"/>
          <w:sz w:val="26"/>
          <w:szCs w:val="26"/>
        </w:rPr>
        <w:t xml:space="preserve">. L 323. 19.12.2022.</w:t>
      </w:r>
    </w:p>
    <w:p>
      <w:pPr>
        <w:spacing w:after="60" w:line="300"/>
        <w:ind w:left="567" w:hanging="567"/>
        <w:jc w:val="both"/>
      </w:pPr>
      <w:r>
        <w:rPr>
          <w:rFonts w:ascii="Times New Roman" w:cs="Times New Roman" w:eastAsia="Times New Roman" w:hAnsi="Times New Roman"/>
          <w:sz w:val="26"/>
          <w:szCs w:val="26"/>
        </w:rPr>
        <w:t xml:space="preserve">23. European Commission. The European Green Deal : COM(2019) 640 final. Brussels, 11.12.2019.</w:t>
      </w:r>
    </w:p>
    <w:p>
      <w:pPr>
        <w:spacing w:after="60" w:line="300"/>
        <w:ind w:left="567" w:hanging="567"/>
        <w:jc w:val="both"/>
      </w:pPr>
      <w:r>
        <w:rPr>
          <w:rFonts w:ascii="Times New Roman" w:cs="Times New Roman" w:eastAsia="Times New Roman" w:hAnsi="Times New Roman"/>
          <w:sz w:val="26"/>
          <w:szCs w:val="26"/>
        </w:rPr>
        <w:t xml:space="preserve">24. CINEA. LIFE Calls for proposals 2026: €601.5 million for a greener, more competitive Europe : news, 22 April 2026. URL: https://cinea.ec.europa.eu</w:t>
      </w:r>
    </w:p>
    <w:p>
      <w:pPr>
        <w:spacing w:after="60" w:line="300"/>
        <w:ind w:left="567" w:hanging="567"/>
        <w:jc w:val="both"/>
      </w:pPr>
      <w:r>
        <w:rPr>
          <w:rFonts w:ascii="Times New Roman" w:cs="Times New Roman" w:eastAsia="Times New Roman" w:hAnsi="Times New Roman"/>
          <w:sz w:val="26"/>
          <w:szCs w:val="26"/>
        </w:rPr>
        <w:t xml:space="preserve">25. Council of the EU. Enlargement: EU and Montenegro close accession negotiations on competition policy and customs union : press release, 14 July 2026. URL: https://www.consilium.europa.eu</w:t>
      </w:r>
    </w:p>
    <w:p>
      <w:pPr>
        <w:spacing w:after="60" w:line="300"/>
        <w:ind w:left="567" w:hanging="567"/>
        <w:jc w:val="both"/>
      </w:pPr>
      <w:r>
        <w:rPr>
          <w:rFonts w:ascii="Times New Roman" w:cs="Times New Roman" w:eastAsia="Times New Roman" w:hAnsi="Times New Roman"/>
          <w:sz w:val="26"/>
          <w:szCs w:val="26"/>
        </w:rPr>
        <w:t xml:space="preserve">26. European Commission. Global Gateway: Team Europe reaches €300 billion target ahead of time : news, 9 October 2025. URL: https://commission.europa.eu/topics/international-partnerships/global-gateway_en</w:t>
      </w:r>
    </w:p>
    <w:p>
      <w:pPr>
        <w:spacing w:after="60" w:line="300"/>
        <w:ind w:left="567" w:hanging="567"/>
        <w:jc w:val="both"/>
      </w:pPr>
      <w:r>
        <w:rPr>
          <w:rFonts w:ascii="Times New Roman" w:cs="Times New Roman" w:eastAsia="Times New Roman" w:hAnsi="Times New Roman"/>
          <w:sz w:val="26"/>
          <w:szCs w:val="26"/>
        </w:rPr>
        <w:t xml:space="preserve">27. Regulation (EU) 2021/947 of the European Parliament and of the Council of 9 June 2021 establishing the Neighbourhood, Development and International Cooperation Instrument – Global Europe. </w:t>
      </w:r>
      <w:r>
        <w:rPr>
          <w:rFonts w:ascii="Times New Roman" w:cs="Times New Roman" w:eastAsia="Times New Roman" w:hAnsi="Times New Roman"/>
          <w:i/>
          <w:iCs/>
          <w:sz w:val="26"/>
          <w:szCs w:val="26"/>
        </w:rPr>
        <w:t xml:space="preserve">Official Journal of the European Union</w:t>
      </w:r>
      <w:r>
        <w:rPr>
          <w:rFonts w:ascii="Times New Roman" w:cs="Times New Roman" w:eastAsia="Times New Roman" w:hAnsi="Times New Roman"/>
          <w:sz w:val="26"/>
          <w:szCs w:val="26"/>
        </w:rPr>
        <w:t xml:space="preserve">. L 209. 14.06.2021.</w:t>
      </w:r>
    </w:p>
    <w:sectPr>
      <w:headerReference w:type="default" r:id="rId7"/>
      <w:footerReference w:type="default" r:id="rId8"/>
      <w:pgSz w:w="11906" w:h="16838" w:orient="portrait"/>
      <w:pgMar w:top="1134" w:right="850" w:bottom="1134"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8EA9DB" w:sz="4" w:space="2"/>
      </w:pBdr>
      <w:jc w:val="right"/>
    </w:pPr>
    <w:r>
      <w:rPr>
        <w:rFonts w:ascii="Times New Roman" w:cs="Times New Roman" w:eastAsia="Times New Roman" w:hAnsi="Times New Roman"/>
        <w:i/>
        <w:iCs/>
        <w:color w:val="595959"/>
        <w:sz w:val="18"/>
        <w:szCs w:val="18"/>
      </w:rPr>
      <w:t xml:space="preserve">Європейські інституції та грантово-проєктна політика ЄС · Лекція 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09" w:hanging="284"/>
      </w:pPr>
    </w:lvl>
    <w:lvl w:ilvl="1" w15:tentative="1">
      <w:start w:val="1"/>
      <w:numFmt w:val="bullet"/>
      <w:lvlText w:val="•"/>
      <w:lvlJc w:val="left"/>
      <w:pPr>
        <w:ind w:left="1134" w:hanging="284"/>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Times New Roman" w:cs="Times New Roman" w:eastAsia="Times New Roman" w:hAnsi="Times New Roman"/>
      <w:b/>
      <w:bCs/>
      <w:color w:val="1F3864"/>
      <w:sz w:val="30"/>
      <w:szCs w:val="30"/>
    </w:rPr>
  </w:style>
  <w:style w:type="paragraph" w:styleId="Heading2">
    <w:name w:val="Heading 2"/>
    <w:basedOn w:val="Normal"/>
    <w:next w:val="Normal"/>
    <w:qFormat/>
    <w:pPr>
      <w:outlineLvl w:val="1"/>
    </w:pPr>
    <w:rPr>
      <w:rFonts w:ascii="Times New Roman" w:cs="Times New Roman" w:eastAsia="Times New Roman" w:hAnsi="Times New Roman"/>
      <w:b/>
      <w:bCs/>
      <w:color w:val="1F3864"/>
      <w:sz w:val="28"/>
      <w:szCs w:val="28"/>
    </w:rPr>
  </w:style>
  <w:style w:type="paragraph" w:styleId="Heading3">
    <w:name w:val="Heading 3"/>
    <w:basedOn w:val="Normal"/>
    <w:next w:val="Normal"/>
    <w:qFormat/>
    <w:pPr>
      <w:outlineLvl w:val="2"/>
    </w:pPr>
    <w:rPr>
      <w:rFonts w:ascii="Times New Roman" w:cs="Times New Roman" w:eastAsia="Times New Roman" w:hAnsi="Times New Roman"/>
      <w:b/>
      <w:bCs/>
      <w:i/>
      <w:iCs/>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Європейські інституції та грантово-проєктна політика ЄС · Лекція 4</dc:title>
  <dc:creator>ЖПУ, кафедра МЕВ і ПМ</dc:creator>
  <cp:lastModifiedBy>Un-named</cp:lastModifiedBy>
  <cp:revision>1</cp:revision>
  <dcterms:created xsi:type="dcterms:W3CDTF">2026-09-11T19:05:20.935Z</dcterms:created>
  <dcterms:modified xsi:type="dcterms:W3CDTF">2026-09-11T19:05:20.935Z</dcterms:modified>
</cp:coreProperties>
</file>

<file path=docProps/custom.xml><?xml version="1.0" encoding="utf-8"?>
<Properties xmlns="http://schemas.openxmlformats.org/officeDocument/2006/custom-properties" xmlns:vt="http://schemas.openxmlformats.org/officeDocument/2006/docPropsVTypes"/>
</file>