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2"/>
          <w:szCs w:val="32"/>
        </w:rPr>
        <w:t xml:space="preserve">ЛЕКЦІЯ 5</w:t>
      </w:r>
    </w:p>
    <w:p>
      <w:pPr>
        <w:spacing w:after="12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2"/>
          <w:szCs w:val="32"/>
        </w:rPr>
        <w:t xml:space="preserve">Бюджет ЄС, багаторічне фінансове планування та інструменти підтримки розвитку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Навчальна дисципліна «Європейські інституції та грантово-проєктна політика ЄС»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Змістовий модуль 2. Грантово-проєктна політика ЄС як інструмент європейської інтеграції та міжнародного співробітництва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Освітній ступінь «магістр» · спеціальність С1 «Економіка та міжнародні економічні відносини» · спеціалізація С1.02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Обсяг: 3 академічні години · Компетентності та результати навчання: ЗК5, СК1, РН5, РН6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6"/>
        <w:gridCol w:w="7642"/>
      </w:tblGrid>
      <w:tr>
        <w:trPr>
          <w:tblHeader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Елемент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Мета лекції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Розкрити структуру, джерела формування і напрями використання бюджету ЄС, механізм багаторічного фінансового планування, принципи фінансування політик, систему фондів і фінансових інструментів ЄС, а також масштаби і механізми фінансової підтримки України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1. Бюджет ЄС: структура, джерела формування та напрями використання.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2. Багаторічна фінансова рамка ЄС як основа планування програм і фондів.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3. Принципи фінансування політик ЄС: доданість, результативність, партнерство та підзвітність.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4. Основні фонди та фінансові інструменти ЄС.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5. Інструменти підтримки держав-членів, країн-кандидатів і партнерських країн.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6. Фінансова допомога ЄС Україні в умовах європейської інтеграції та повоєнного відновлення.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7. Взаємозв’язок бюджету ЄС, стратегічних пріоритетів і грантово-проєктної політики.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Ключові поняття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власні ресурси; багаторічна фінансова рамка (БФР); зобов’язання і платежі; маржа; NextGenerationEU; спільне, пряме і непряме управління; гранти; фінансові інструменти; бюджетна гарантія; blending; обумовленість; Ukraine Facility; Ukraine Support Loan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Базові джерела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ст. 310–325 ДФЄС; Регламент Ради (ЄС, Євратом) 2020/2093; Рішення (ЄС, Євратом) 2020/2053; Фінансовий регламент (ЄС, Євратом) 2024/2509; [1–8; 12–22]</w:t>
            </w:r>
          </w:p>
        </w:tc>
      </w:tr>
    </w:tbl>
    <w:p>
      <w:pPr>
        <w:spacing w:after="60" w:before="0" w:line="240"/>
      </w:pPr>
    </w:p>
    <w:p>
      <w:pPr>
        <w:pBdr>
          <w:left w:val="single" w:color="2E5597" w:sz="24" w:space="6"/>
        </w:pBdr>
        <w:shd w:fill="EEF3FA" w:color="auto" w:val="clear"/>
        <w:spacing w:after="80" w:before="80" w:line="300"/>
        <w:ind w:left="284" w:right="142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Методологічне застереження.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Бюджетні показники наведено в поточних цінах, якщо не зазначено інше. Для БФР 2021–2027 рр. офіційні агреговані обсяги визначені в цінах 2018 р., для пропозиції БФР 2028–2034 рр. — у цінах 2025 р. Дані — станом на вересень 2026 р.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Вступ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Бюджет ЄС — це не лише фінансовий документ, а й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політичний інструмент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реалізації стратегічних пріоритетів. Попри порівняно невеликий обсяг (близько 1 % валового національного доходу ЄС проти 40–50 % ВВП, які перерозподіляють бюджети держав-членів), бюджет ЄС має значний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мультиплікативний ефект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він зосереджений на інвестиціях, співфінансуванні та фінансових інструментах, що залучають національні й приватні кошти. Саме бюджет визначає масштаби грантово-проєктної політики: обсяг кожної програми — Erasmus+, Horizon Europe, LIFE, Interreg — закладається в БФР, а щорічні бюджети розподіляють ці ресурси в часі [1; 2].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1. Бюджет ЄС: структура, джерела формування та напрями використання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Правові засади.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Фінансові положення ЄС закріплено у ст. 310–325 ДФЄС. Бюджет має бути збалансованим за доходами і видатками (ст. 310(1)), фінансується повністю за рахунок власних ресурсів (ст. 311), ухвалюється щорічно в межах БФР (ст. 312–314) та виконується Комісією у співпраці з державами-членами відповідно до принципу належного фінансового управління (ст. 317).</w:t>
      </w:r>
    </w:p>
    <w:p>
      <w:pPr>
        <w:pStyle w:val="Heading2"/>
        <w:keepNext/>
        <w:spacing w:after="120" w:before="240" w:line="300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1.1. Доходи: система власних ресурсів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Відповідно до Рішення Ради (ЄС, Євратом) 2020/2053 про систему власних ресурсів, доходи бюджету ЄС формуються з чотирьох власних ресурсів (табл. 5.1).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5.1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Власні ресурси бюджету ЄС (Рішення (ЄС, Євратом) 2020/2053)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9"/>
        <w:gridCol w:w="4064"/>
        <w:gridCol w:w="3265"/>
      </w:tblGrid>
      <w:tr>
        <w:trPr>
          <w:tblHeader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Ресурс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Механізм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Особливості</w:t>
            </w:r>
          </w:p>
        </w:tc>
      </w:tr>
      <w:tr>
        <w:trPr>
          <w:tblHeader w:val="false"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Традиційні власні ресурси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Мита за спільним митним тарифом, що стягуються на зовнішньому кордоні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Держави-члени утримують 25 % як компенсацію витрат на збирання</w:t>
            </w:r>
          </w:p>
        </w:tc>
      </w:tr>
      <w:tr>
        <w:trPr>
          <w:tblHeader w:val="false"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Ресурс на основі ПДВ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Єдина ставка виклику 0,3 % від гармонізованої бази ПДВ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База обмежена 50 % ВНД держави</w:t>
            </w:r>
          </w:p>
        </w:tc>
      </w:tr>
      <w:tr>
        <w:trPr>
          <w:tblHeader w:val="false"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Ресурс на основі непереробленого пластику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0,80 євро за кг непереробленої пластикової упаковки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Запроваджено з 2021 р.; поєднує фіскальну та екологічну функції</w:t>
            </w:r>
          </w:p>
        </w:tc>
      </w:tr>
      <w:tr>
        <w:trPr>
          <w:tblHeader w:val="false"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Ресурс на основі ВНД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Пропорційний внесок держав залежно від їхнього ВНД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«Балансуючий» ресурс; найбільша частка доходів — 61,5 % власних ресурсів у 2024 р.</w:t>
            </w:r>
          </w:p>
        </w:tc>
      </w:tr>
      <w:tr>
        <w:trPr>
          <w:tblHeader w:val="false"/>
        </w:trPr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Інші надходження</w:t>
            </w:r>
          </w:p>
        </w:tc>
        <w:tc>
          <w:tcPr>
            <w:tcW w:type="dxa" w:w="40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Податки з доходів персоналу ЄС, штрафи за порушення правил конкуренції, внески третіх країн до програм, внески Великої Британії</w:t>
            </w:r>
          </w:p>
        </w:tc>
        <w:tc>
          <w:tcPr>
            <w:tcW w:type="dxa" w:w="3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Близько 7 % доходів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[12; 13].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Стеля власних ресурсів становить 1,40 % ВНД ЄС для платежів, а для погашення запозичень NextGenerationEU її тимчасово підвищено на 0,6 % ВНД. Для фінансування нових пріоритетів і погашення боргу NextGenerationEU Комісія запропонувала нові власні ресурси: у пакеті БФР 2028–2034 рр. — п’ять ресурсів (на основі EU ETS, CBAM, неперероблених електронних відходів, акцизів на тютюнові вироби та корпоративного ресурсу для компаній з обігом понад 100 млн євро) з орієнтовним надходженням близько 44 млрд євро на рік.</w:t>
      </w:r>
    </w:p>
    <w:p>
      <w:pPr>
        <w:pStyle w:val="Heading2"/>
        <w:keepNext/>
        <w:spacing w:after="120" w:before="240" w:line="300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1.2. Видатки і щорічний бюджет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Щорічний бюджет ухвалюється за спеціальною законодавчою процедурою (ст. 314 ДФЄС): Комісія вносить проєкт; Рада ухвалює позицію; Парламент протягом 42 днів схвалює її або вносить поправки; у разі розбіжностей скликається Погоджувальний комітет (21 день). Бюджет розрізняє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зобов’язання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(правові зобов’язання, які можуть бути взяті протягом року, зокрема підписання грантових угод) і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платежі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(фактичні виплати в поточному році за зобов’язаннями поточного і попередніх років).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5.2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Бюджет ЄС на 2026 р.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85"/>
        <w:gridCol w:w="5553"/>
      </w:tblGrid>
      <w:tr>
        <w:trPr>
          <w:tblHeader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Показник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Значення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Зобов’язання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192,8 млрд євро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Платежі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190,1 млрд євро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Маржа в межах стель БФР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715,7 млн євро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Політична угода Ради і Парламенту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 листопада 2025 р.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Остаточне ухвалення Радою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24 листопада 2025 р.</w:t>
            </w:r>
          </w:p>
        </w:tc>
      </w:tr>
      <w:tr>
        <w:trPr>
          <w:tblHeader w:val="false"/>
        </w:trPr>
        <w:tc>
          <w:tcPr>
            <w:tcW w:type="dxa" w:w="40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Пріоритети</w:t>
            </w:r>
          </w:p>
        </w:tc>
        <w:tc>
          <w:tcPr>
            <w:tcW w:type="dxa" w:w="555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Оборона, міграція, конкурентоспроможність, готовність до криз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Рада ЄС [14].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Розрив між зобов’язаннями і платежами пояснює феномен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невиконаних зобов’язань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(RAL — reste à liquider): через багаторічний характер проєктів платежі за програмами 2021–2027 рр. здійснюватимуться і після 2027 р. Для учасника проєкту це означає, що фінансування надходить траншами (попереднє фінансування, проміжні та остаточний платежі) відповідно до графіка грантової угоди.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2. Багаторічна фінансова рамка ЄС як основа планування програм і фондів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Сутність.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Відповідно до ст. 312 ДФЄС, БФР визначає річні стелі зобов’язань за категоріями видатків і річну стелю платежів на період щонайменше п’ять років (на практиці — сім). Регламент про БФР ухвалює Рада одностайно після згоди Європейського Парламенту. БФР виконує функції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фінансової дисципліни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(стелі),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передбачуваності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(довгострокове планування програм) та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політичного компромісу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між пріоритетами і державами-членами.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5.3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БФР 2021–2027 рр. за категоріями (Регламент Ради (ЄС, Євратом) 2020/2093; млрд євро в цінах 2018 р.)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6"/>
        <w:gridCol w:w="4660"/>
        <w:gridCol w:w="1612"/>
      </w:tblGrid>
      <w:tr>
        <w:trPr>
          <w:tblHeader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Категорія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Обсяг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1. Єдиний ринок, інновації та цифрові технології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Horizon Europe, InvestEU, CEF, Digital Europe, Single Market Programme, космічна програма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132,8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2. Згуртованість, стійкість і цінності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Політика згуртованості, RRF (NextGenerationEU), Erasmus+, Creative Europe, EU4Health, rescEU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377,8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3. Природні ресурси та довкілля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Спільна аграрна політика, політика рибальства, LIFE, Фонд справедливого переходу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356,4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4. Міграція та управління кордонами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Фонд притулку, міграції та інтеграції; Фонд інтегрованого управління кордонами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22,7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5. Безпека та оборона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Фонд внутрішньої безпеки, Європейський оборонний фонд, військова мобільність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13,2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6. Сусідство та світ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NDICI — Global Europe, IPA III, гуманітарна допомога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98,4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7. Європейське публічне адміністрування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Адміністративні видатки інституцій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73,1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Разом БФР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1 074,3</w:t>
            </w:r>
          </w:p>
        </w:tc>
      </w:tr>
      <w:tr>
        <w:trPr>
          <w:tblHeader w:val="false"/>
        </w:trPr>
        <w:tc>
          <w:tcPr>
            <w:tcW w:type="dxa" w:w="33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NextGenerationEU (поза БФР)</w:t>
            </w:r>
          </w:p>
        </w:tc>
        <w:tc>
          <w:tcPr>
            <w:tcW w:type="dxa" w:w="46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Позики на ринках капіталу для відновлення</w:t>
            </w:r>
          </w:p>
        </w:tc>
        <w:tc>
          <w:tcPr>
            <w:tcW w:type="dxa" w:w="161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750,0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Регламент Ради (ЄС, Євратом) 2020/2093 [15]. У поточних цінах: БФР — близько 1,21 трлн євро, NextGenerationEU — 806,9 млрд євро.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Переговорний процес щодо БФР.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Переговори щодо кожної БФР тривають близько двох-трьох років і мають виразно міждержавний характер (див. теорію ліберального інтерговерменталізму, лекція 1). Традиційно формуються коаліції: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нетто-платники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(держави, чиї внески перевищують надходження з бюджету ЄС), які наполягають на обмеженні загального обсягу;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«Друзі згуртованості»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(переважно держави Центральної, Східної та Південної Європи), що обстоюють збереження політики згуртованості й аграрної політики; окремі держави з особливими інтересами (корекції внесків, аграрні субсидії). Головування в Раді готує «переговорну рамку» (negotiating box) — документ із варіантами цифр і умов, остаточний компроміс щодо якої досягається на рівні Європейської Ради. Парламент, не маючи права вето на окремі цифри до завершення переговорів, використовує право згоди для посилення позицій щодо програм з високою доданою європейською вартістю (Horizon Europe, Erasmus+) і верховенства права.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Перегляди БФР 2021–2027 рр.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Проміжний перегляд (лютий 2024 р.) збільшив рамку на 64,6 млрд євро: Ukraine Facility — 50 млрд євро (17 млрд грантів і 33 млрд позик), сусідство і міжнародне партнерство — 7,6 млрд, міграція — 2 млрд, Платформа стратегічних технологій (STEP) — 1,5 млрд, інструмент гнучкості — 2 млрд, резерв солідарності та екстреної допомоги — 1,5 млрд євро. У квітні 2026 р. Рада ухвалила зміни до Регламенту про БФР, що забезпечили використання бюджетного «запасу» (headroom) для гарантування позики Україні обсягом 90 млрд євро.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БФР 2028–2034 рр.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Пропозиція Комісії від 16 липня 2025 р. є найбільш радикальною реформою бюджетної архітектури ЄС за останні десятиліття (табл. 5.4).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5.4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Пропозиція БФР 2028–2034 рр.: ключові параметри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6"/>
        <w:gridCol w:w="6362"/>
      </w:tblGrid>
      <w:tr>
        <w:trPr>
          <w:tblHeader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Пропозиція Комісії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Загальний обсяг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1,763 трлн євро (ціни 2025 р.); близько 1,98 трлн євро в поточних цінах; 1,26 % ВНД ЄС + 0,11 % ВНД на погашення боргу NextGenerationEU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Національні та регіональні партнерські плани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865 млрд євро: об’єднання аграрної політики, політики згуртованості, рибальства, частини соціальних і міграційних фондів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Конкурентоспроможність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Європейський фонд конкурентоспроможності (234 млрд євро) + Horizon Europe (175 млрд євро) = 409 млрд євро (21 % бюджету); оборона і космос — 131 млрд євро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Освіта і культура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Erasmus+ (разом з European Solidarity Corps) — 40,8 млрд євро; AgoraEU (культура, медіа, цінності) — 8,6 млрд євро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Зовнішня дія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Global Europe — 200 млрд євро; до 100 млрд євро для України з можливістю мобілізації поза стелями БФР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Кризова спроможність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Кризовий механізм: 10,7 млрд євро спільного фінансування та до 400 млрд євро позик державам-членам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Нові власні ресурси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П’ять ресурсів, близько 44 млрд євро на рік</w:t>
            </w:r>
          </w:p>
        </w:tc>
      </w:tr>
      <w:tr>
        <w:trPr>
          <w:tblHeader w:val="false"/>
        </w:trPr>
        <w:tc>
          <w:tcPr>
            <w:tcW w:type="dxa" w:w="32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Стан переговорів</w:t>
            </w:r>
          </w:p>
        </w:tc>
        <w:tc>
          <w:tcPr>
            <w:tcW w:type="dxa" w:w="636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Проміжна доповідь Парламенту — травень 2026 р.; часткові позиції Ради (зокрема щодо Horizon Europe) — червень 2026 р.; остаточне ухвалення очікується до кінця 2027 р.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[16–18].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грантово-проєктної політики ключовими наслідками реформи можуть стати: концентрація коштів у меншій кількості більших програм; посилення ролі національних планів і обумовленості реформами (за моделлю RRF); зростання ролі фінансових інструментів; збільшення обсягів Horizon Europe та Erasmus+; інтеграція підтримки України в Global Europe.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3. Принципи фінансування політик ЄС: доданість, результативність, партнерство та підзвітність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Фінансування політик ЄС ґрунтується на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бюджетних принципах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Фінансового регламенту та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принципах реалізації політик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закріплених у галузевих регламентах.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5.5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Принципи фінансування політик ЄС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3756"/>
        <w:gridCol w:w="3532"/>
      </w:tblGrid>
      <w:tr>
        <w:trPr>
          <w:tblHeader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Принцип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Правове закріплення і практичний прояв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Бюджетні принципи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Єдність, бюджетна точність, щорічність, збалансованість, розрахункова одиниця (євро), універсальність, специфікація, прозорість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Фінансовий регламент (ЄС, Євратом) 2024/2509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Належне фінансове управління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Економність (мінімальні витрати), ефективність (найкраще співвідношення ресурсів і результатів), результативність (досягнення цілей)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ст. 317 ДФЄС; Фінансовий регламент; оцінювання «вартості за гроші» в проєктах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Доданість (additionality)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Кошти ЄС доповнюють, а не заміщують національні видатки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Ст. 9 Регламенту (ЄС) 2021/241 про RRF; вимога неподвійного фінансування та заборона заміщення поточних бюджетних видатків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Результативність (performance)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Орієнтація на результати: цілі, індикатори продукту та результату, рамка результативності, виплати за досягнення етапів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Рамка результативності політики згуртованості; «фінансування, не пов’язане з витратами» в RRF і Ukraine Facility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Партнерство і багаторівневе врядування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Залучення регіональних і місцевих органів влади, соціальних партнерів, громадянського суспільства до підготовки і реалізації програм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Ст. 8 Регламенту (ЄС) 2021/1060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Співфінансування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Кошти ЄС покривають лише частину витрат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Ставки співфінансування залежно від категорії регіону або типу дії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Підзвітність і захист фінансових інтересів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Звітність, аудит, боротьба з шахрайством, обумовленість верховенством права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Ст. 318–319, 325 ДФЄС; Рахункова палата, OLAF, Європейська прокуратура; Регламент 2020/2092</w:t>
            </w:r>
          </w:p>
        </w:tc>
      </w:tr>
      <w:tr>
        <w:trPr>
          <w:tblHeader w:val="false"/>
        </w:trPr>
        <w:tc>
          <w:tcPr>
            <w:tcW w:type="dxa" w:w="23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Принципи надання грантів</w:t>
            </w:r>
          </w:p>
        </w:tc>
        <w:tc>
          <w:tcPr>
            <w:tcW w:type="dxa" w:w="37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Рівне ставлення, прозорість, співфінансування, заборона кумулятивного (подвійного) фінансування, заборона ретроактивності, неприбутковість</w:t>
            </w:r>
          </w:p>
        </w:tc>
        <w:tc>
          <w:tcPr>
            <w:tcW w:type="dxa" w:w="353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Фінансовий регламент (розділ про гранти)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[12; 19; 20].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Принцип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доданої європейської вартості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є інтегруючим для всіх зазначених принципів: фінансування на рівні ЄС є обґрунтованим лише тоді, коли воно створює цінність, додаткову до тієї, яку держави могли б забезпечити самостійно (транскордонні ефекти, економія на масштабі, мережеві ефекти, спільні блага). Цей принцип безпосередньо переходить у критерії оцінювання проєктів (тема 8).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4. Основні фонди та фінансові інструменти ЄС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Фінансовий регламент розрізняє три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способи виконання бюджету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(табл. 5.6), від яких залежить, хто оголошує конкурс і укладає угоду з одержувачем.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5.6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Способи виконання бюджету ЄС і приклади програм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73"/>
        <w:gridCol w:w="2740"/>
        <w:gridCol w:w="3055"/>
        <w:gridCol w:w="2270"/>
      </w:tblGrid>
      <w:tr>
        <w:trPr>
          <w:tblHeader/>
        </w:trPr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Спосіб управління</w:t>
            </w:r>
          </w:p>
        </w:tc>
        <w:tc>
          <w:tcPr>
            <w:tcW w:type="dxa" w:w="27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Хто управляє</w:t>
            </w:r>
          </w:p>
        </w:tc>
        <w:tc>
          <w:tcPr>
            <w:tcW w:type="dxa" w:w="3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Приклади</w:t>
            </w:r>
          </w:p>
        </w:tc>
        <w:tc>
          <w:tcPr>
            <w:tcW w:type="dxa" w:w="2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Де шукати можливості</w:t>
            </w:r>
          </w:p>
        </w:tc>
      </w:tr>
      <w:tr>
        <w:trPr>
          <w:tblHeader w:val="false"/>
        </w:trPr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Пряме</w:t>
            </w:r>
          </w:p>
        </w:tc>
        <w:tc>
          <w:tcPr>
            <w:tcW w:type="dxa" w:w="27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Комісія, виконавчі агенції</w:t>
            </w:r>
          </w:p>
        </w:tc>
        <w:tc>
          <w:tcPr>
            <w:tcW w:type="dxa" w:w="3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Horizon Europe, централізовані дії Erasmus+, LIFE, Creative Europe, Digital Europe, CEF</w:t>
            </w:r>
          </w:p>
        </w:tc>
        <w:tc>
          <w:tcPr>
            <w:tcW w:type="dxa" w:w="2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EU Funding &amp; Tenders Portal</w:t>
            </w:r>
          </w:p>
        </w:tc>
      </w:tr>
      <w:tr>
        <w:trPr>
          <w:tblHeader w:val="false"/>
        </w:trPr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Спільне</w:t>
            </w:r>
          </w:p>
        </w:tc>
        <w:tc>
          <w:tcPr>
            <w:tcW w:type="dxa" w:w="27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Комісія + органи управління держав-членів</w:t>
            </w:r>
          </w:p>
        </w:tc>
        <w:tc>
          <w:tcPr>
            <w:tcW w:type="dxa" w:w="3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Політика згуртованості (ERDF, CF, ESF+, JTF), Interreg, аграрна політика</w:t>
            </w:r>
          </w:p>
        </w:tc>
        <w:tc>
          <w:tcPr>
            <w:tcW w:type="dxa" w:w="2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Сайти програм і національних органів управління</w:t>
            </w:r>
          </w:p>
        </w:tc>
      </w:tr>
      <w:tr>
        <w:trPr>
          <w:tblHeader w:val="false"/>
        </w:trPr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Непряме</w:t>
            </w:r>
          </w:p>
        </w:tc>
        <w:tc>
          <w:tcPr>
            <w:tcW w:type="dxa" w:w="27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Міжнародні організації, ЄІБ, ЄБРР, національні агентства, третя країна</w:t>
            </w:r>
          </w:p>
        </w:tc>
        <w:tc>
          <w:tcPr>
            <w:tcW w:type="dxa" w:w="30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Децентралізовані дії Erasmus+ (національні агентства), InvestEU, частина NDICI та IPA</w:t>
            </w:r>
          </w:p>
        </w:tc>
        <w:tc>
          <w:tcPr>
            <w:tcW w:type="dxa" w:w="2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Сайти національних агентств і фінансових установ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Фінансового регламенту [12].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 формою фінансування виокремлюють: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гранти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безповоротне фінансування діяльності або дій, що сприяють досягненню цілей політик ЄС (засновані на реальних витратах, одиничних витратах, одноразових виплатах або фінансуванні, не пов’язаному з витратами);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державні закупівлі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придбання послуг, товарів чи робіт для потреб інституцій ЄС;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фінансові інструменти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позики, гарантії, інвестиції в капітал; найбільший приклад — InvestEU (бюджетна гарантія ЄС 26,2 млрд євро з метою мобілізації понад 372 млрд євро інвестицій);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бюджетні гарантії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зокрема Європейський фонд сталого розвитку плюс (EFSD+) для зовнішніх інвестицій;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змішане фінансування (blending)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поєднання грантів ЄС із позиками фінансових установ;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бюджетна підтримка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перерахування коштів до бюджету країни-партнера за умови виконання погоджених умов;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премії (prizes)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нагороди за досягнення, наприклад інноваційні премії Horizon Europe.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5.7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Основні фонди і програми ЄС 2021–2027 рр. за сферами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96"/>
        <w:gridCol w:w="6242"/>
      </w:tblGrid>
      <w:tr>
        <w:trPr>
          <w:tblHeader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Сфера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Фонди і програми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Згуртованість і регіональний розвиток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ERDF, Cohesion Fund, ESF+, Just Transition Fund, Interreg (392 млрд євро разом)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Відновлення і стійкість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Механізм відновлення та стійкості (у складі NextGenerationEU; завершення — 2026 р.)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Дослідження та інновації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Horizon Europe (95,5 млрд євро), Euratom R&amp;T, ITER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Освіта, молодь, культура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Erasmus+ (26,2 млрд євро з урахуванням додаткового фінансування), European Solidarity Corps, Creative Europe (2,44 млрд євро)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Цифровізація та інфраструктура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Digital Europe (8,1 млрд євро), Connecting Europe Facility (транспорт, енергетика, цифрові мережі)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Довкілля і клімат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LIFE (5,43 млрд євро), Innovation Fund (з доходів EU ETS)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Бізнес та інвестиції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Single Market Programme, InvestEU, EIC</w:t>
            </w:r>
          </w:p>
        </w:tc>
      </w:tr>
      <w:tr>
        <w:trPr>
          <w:tblHeader w:val="false"/>
        </w:trPr>
        <w:tc>
          <w:tcPr>
            <w:tcW w:type="dxa" w:w="33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Зовнішня дія</w:t>
            </w:r>
          </w:p>
        </w:tc>
        <w:tc>
          <w:tcPr>
            <w:tcW w:type="dxa" w:w="62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NDICI — Global Europe (79,5 млрд євро), IPA III (14,16 млрд євро), гуманітарна допомога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[4; 16; 21].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одержувачів грантів принципове значення має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модель визначення суми гранту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(табл. 5.8). Тенденцією 2021–2027 рр. є перехід від відшкодування фактичних витрат до спрощених форм (одиничні витрати, одноразові виплати, фіксовані ставки), що зменшує адміністративне навантаження, але посилює вимоги до досягнення заявлених результатів.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5.8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Моделі визначення суми гранту ЄС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8"/>
        <w:gridCol w:w="2227"/>
        <w:gridCol w:w="3070"/>
        <w:gridCol w:w="2393"/>
      </w:tblGrid>
      <w:tr>
        <w:trPr>
          <w:tblHeader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Сутність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Приклади застосування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Наслідки для учасника</w:t>
            </w:r>
          </w:p>
        </w:tc>
      </w:tr>
      <w:tr>
        <w:trPr>
          <w:tblHeader w:val="false"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Фактичні витрати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Відшкодування реально понесених прийнятних витрат відповідно до бюджету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Традиційні проєкти Horizon Europe, Interreg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Детальний облік і підтвердження витрат; ризик неприйнятності витрат під час аудиту</w:t>
            </w:r>
          </w:p>
        </w:tc>
      </w:tr>
      <w:tr>
        <w:trPr>
          <w:tblHeader w:val="false"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Одиничні витрати (unit costs)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Фіксована сума на одиницю діяльності (день, особу, кілометр)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Мобільність Erasmus+ (індивідуальна підтримка, подорожі), персональні витрати в Horizon Europe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Звітність про кількість одиниць, а не про фактичні витрати</w:t>
            </w:r>
          </w:p>
        </w:tc>
      </w:tr>
      <w:tr>
        <w:trPr>
          <w:tblHeader w:val="false"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Одноразові виплати (lump sums)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Фіксована загальна сума за виконання робочих пакетів або проєкту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Партнерства для співпраці Erasmus+ (гранти 120, 250 або 400 тис. євро); близько половини бюджету конкурсів Horizon Europe 2026–2027 рр.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Фокус на результатах; виплата за повне виконання робочих пакетів</w:t>
            </w:r>
          </w:p>
        </w:tc>
      </w:tr>
      <w:tr>
        <w:trPr>
          <w:tblHeader w:val="false"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Фіксовані ставки (flat rates)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Відсоток від інших категорій витрат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Непрямі витрати (наприклад, 25 % у Horizon Europe, 7 % у зовнішніх програмах)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Спрощення обліку накладних витрат</w:t>
            </w:r>
          </w:p>
        </w:tc>
      </w:tr>
      <w:tr>
        <w:trPr>
          <w:tblHeader w:val="false"/>
        </w:trPr>
        <w:tc>
          <w:tcPr>
            <w:tcW w:type="dxa" w:w="19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Фінансування, не пов’язане з витратами</w:t>
            </w:r>
          </w:p>
        </w:tc>
        <w:tc>
          <w:tcPr>
            <w:tcW w:type="dxa" w:w="222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Виплата за виконання умов або досягнення результатів</w:t>
            </w:r>
          </w:p>
        </w:tc>
        <w:tc>
          <w:tcPr>
            <w:tcW w:type="dxa" w:w="30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RRF; Ukraine Facility (Стовп I); окремі дії програм</w:t>
            </w:r>
          </w:p>
        </w:tc>
        <w:tc>
          <w:tcPr>
            <w:tcW w:type="dxa" w:w="23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Фокус на індикаторах і етапах реформ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Фінансового регламенту та програмних настанов [12; 21].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5. Інструменти підтримки держав-членів, країн-кандидатів і партнерських країн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Логіка фінансової підтримки ЄС диференціюється залежно від статусу одержувача (табл. 5.9). Спільною тенденцією останніх років є перехід від фінансування «витрат» до фінансування «результатів і реформ», а також поєднання грантів з позиками і гарантіями.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5.9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Інструменти фінансової підтримки ЄС за категоріями одержувачів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9"/>
        <w:gridCol w:w="3915"/>
        <w:gridCol w:w="3304"/>
      </w:tblGrid>
      <w:tr>
        <w:trPr>
          <w:tblHeader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Категорія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Основні інструменти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Логіка фінансування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Держави-члени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Фонди згуртованості; аграрна політика; RRF; SAFE (позики на оборону до 150 млрд євро); InvestEU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Спільне управління; фінансування за результатами (RRF); співфінансування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Країни-кандидати (Західні Балкани, Туреччина)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IPA III (14,16 млрд євро); Механізм реформ і зростання для Західних Балкан (6 млрд євро, 2024–2027)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Передвступна допомога; виплати за виконання реформ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IPA III / NDICI; План зростання (1,9 млрд євро)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Гранти і пільгові позики за реформи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Україна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Ukraine Facility (до 50 млрд євро, 2024–2027); Ukraine Support Loan (90 млрд євро, 2026–2027); макрофінансова допомога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Бюджетна підтримка за виконання Плану для України; інвестиційна рамка; обумовленість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Країни сусідства і світу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NDICI — Global Europe; EFSD+; Global Gateway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Географічні програми; гарантії; «Команда Європа»</w:t>
            </w:r>
          </w:p>
        </w:tc>
      </w:tr>
      <w:tr>
        <w:trPr>
          <w:tblHeader w:val="false"/>
        </w:trPr>
        <w:tc>
          <w:tcPr>
            <w:tcW w:type="dxa" w:w="24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Усі категорії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ЄІБ, ЄБРР (за участі ЄС як акціонера); програми ЄС для асоційованих країн</w:t>
            </w:r>
          </w:p>
        </w:tc>
        <w:tc>
          <w:tcPr>
            <w:tcW w:type="dxa" w:w="33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Позики, гарантії, blending; гранти через конкурси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[8; 16; 22].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6. Фінансова допомога ЄС Україні в умовах європейської інтеграції та повоєнного відновлення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 даними Ради ЄС, загальна підтримка України з боку ЄС і держав-членів становить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220,2 млрд євро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включно з військовою допомогою, доходами від іммобілізованих активів РФ і підтримкою біженців. Бюджет ЄС мобілізував близько 107 млрд євро (табл. 5.10).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5.10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Фінансова підтримка України через бюджет ЄС (станом на червень–липень 2026 р.)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0"/>
        <w:gridCol w:w="2631"/>
        <w:gridCol w:w="4957"/>
      </w:tblGrid>
      <w:tr>
        <w:trPr>
          <w:tblHeader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Інструмент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Обсяг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Характеристика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Макрофінансова допомога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43,3 млрд євро (2022–2026)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Позики і гранти на макрофінансову стабільність, зокрема MFA+ та позика в межах ініціативи G7 (ERA), що погашається з доходів від іммобілізованих активів РФ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Ukraine Facility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42 млрд євро мобілізовано (з до 50 млрд євро на 2024–2027 рр.)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Стовп I — бюджетна підтримка за виконання Плану для України; стовп II — Інвестиційна рамка для України (гарантії та гранти для залучення інвестицій); стовп III — допомога у вступі, технічна допомога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Ukraine Support Loan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11,6 млрд євро виплачено з 90 млрд євро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30 млрд євро — макрофінансова підтримка, 60 млрд євро — оборонно-промислова спроможність і закупівлі; посилена співпраця 24 держав-членів; запозичення ЄС під гарантію бюджетного запасу; погашення очікується за рахунок репарацій РФ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ЄІБ і ЄБРР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2,8 млрд євро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Позики і гарантії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Гуманітарна допомога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1,4 млрд євро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Через DG ECHO</w:t>
            </w:r>
          </w:p>
        </w:tc>
      </w:tr>
      <w:tr>
        <w:trPr>
          <w:tblHeader w:val="false"/>
        </w:trPr>
        <w:tc>
          <w:tcPr>
            <w:tcW w:type="dxa" w:w="20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Інша підтримка ЄС</w:t>
            </w:r>
          </w:p>
        </w:tc>
        <w:tc>
          <w:tcPr>
            <w:tcW w:type="dxa" w:w="26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5,9 млрд євро</w:t>
            </w:r>
          </w:p>
        </w:tc>
        <w:tc>
          <w:tcPr>
            <w:tcW w:type="dxa" w:w="49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Зокрема програми ЄС, цивільний захист, освіта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Рада ЄС [22]. Додатково держави-члени надали 15,5 млрд євро фінансової та гуманітарної допомоги.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Масштаб потреб.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П’ята спільна оцінка збитків і потреб (RDNA5, лютий 2026 р.; Світовий банк, ЄС, ООН, Уряд України) оцінює потреби у відновленні та відбудові України в 588 млрд дол. США на наступні десять років, прямі збитки — понад 195 млрд дол. США; найбільші потреби — транспорт, енергетика, житло, промисловість і торгівля, сільське господарство [23]. Отже, навіть масштабна допомога ЄС покриває лише частину потреб, що зумовлює критичну роль приватних інвестицій, фінансових інструментів (Інвестиційна рамка для України) та грантово-проєктної діяльності громад, університетів і бізнесу.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Перспектива 2028–2034 рр.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Пропозиція БФР передбачає можливість мобілізації до 100 млрд євро для України в межах Global Europe (грантами і гарантіями) поза стелями БФР — фактично подвоєння масштабу Ukraine Facility, за умови продовження реформ у сферах верховенства права, боротьби з корупцією, державного управління та наближення законодавства.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7. Взаємозв’язок бюджету ЄС, стратегічних пріоритетів і грантово-проєктної політики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Взаємозв’язок бюджету, пріоритетів і проєктів можна подати як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каскад фінансового планування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стратегічні пріоритети (Стратегічний порядок денний) → політичний компроміс щодо БФР (Європейська Рада) → регламент БФР і регламенти програм (Рада і Парламент) → щорічні бюджети (розподіл у часі) → робочі програми (пріоритети конкурсів) → конкурси → грантові угоди → платежі та звітність.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5.11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Каскад фінансового планування: від пріоритету до гранту (на прикладі досліджень та інновацій)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44"/>
        <w:gridCol w:w="2858"/>
        <w:gridCol w:w="2273"/>
        <w:gridCol w:w="2663"/>
      </w:tblGrid>
      <w:tr>
        <w:trPr>
          <w:tblHeader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Рівень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Що визначає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Стратегічний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Стратегічний порядок денний 2024–2029; Компас конкурентоспроможності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Пріоритет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«Процвітаюча і конкурентоспроможна Європа»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Багаторічний фінансовий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про БФР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Стелю категорії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Категорія 1 «Єдиний ринок, інновації та цифрові технології»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Програмний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про Horizon Europe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Обсяг і структуру програми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95,5 млрд євро; три стовпи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Щорічний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Щорічний бюджет ЄС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Зобов’язання на рік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Бюджет 2026 р.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Робочий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Робоча програма Horizon Europe 2026–2027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Обсяги конкурсів і теми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 млрд євро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Конкурсний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Тематичний запит (topic)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Бюджет на проєкт, очікувані результати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Наприклад, 3–5 млн євро на проєкт</w:t>
            </w:r>
          </w:p>
        </w:tc>
      </w:tr>
      <w:tr>
        <w:trPr>
          <w:tblHeader w:val="false"/>
        </w:trPr>
        <w:tc>
          <w:tcPr>
            <w:tcW w:type="dxa" w:w="18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Проєктний</w:t>
            </w:r>
          </w:p>
        </w:tc>
        <w:tc>
          <w:tcPr>
            <w:tcW w:type="dxa" w:w="285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Грантова угода</w:t>
            </w:r>
          </w:p>
        </w:tc>
        <w:tc>
          <w:tcPr>
            <w:tcW w:type="dxa" w:w="22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Бюджет консорціуму, частку кожного партнера</w:t>
            </w:r>
          </w:p>
        </w:tc>
        <w:tc>
          <w:tcPr>
            <w:tcW w:type="dxa" w:w="266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Виплати траншами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автором на основі [9; 10; 18].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Аналіз бюджету ЄС на дослідження та інновації засвідчує, що зростання його частки в структурі БФР відображає переорієнтацію ЄС на конкурентоспроможність і технологічний суверенітет [9], а декомпозиційний підхід до фінансування міжнародних грантових угод дає змогу простежити, як агреговані бюджетні рішення трансформуються в бюджети конкретних консорціумів і партнерів [10]. Для українських суб’єктів з цього випливає практичний висновок: планування участі в програмах ЄС має спиратися на аналіз бюджетних трендів (які програми зростатимуть у 2028–2034 рр.) і робочих програм (які теми фінансуватимуться найближчими роками).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Висновки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Бюджет ЄС (2026 р.: 192,8 млрд євро зобов’язань) — порівняно невеликий за обсягом, але високоінвестиційний інструмент реалізації політик, що фінансується з власних ресурсів, серед яких домінує ресурс на основі ВНД.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БФР визначає стелі видатків на сім років і обсяги всіх програм; БФР 2021–2027 рр. (1 074,3 млрд євро в цінах 2018 р.) доповнено NextGenerationEU та переглянуто у 2024 р. для створення Ukraine Facility.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Пропозиція БФР 2028–2034 рр. (1,763 трлн євро в цінах 2025 р.) передбачає консолідацію фондів у національні та регіональні партнерські плани, створення Європейського фонду конкурентоспроможності, суттєве збільшення Horizon Europe і Erasmus+ та до 100 млрд євро для України.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Фінансування ЄС ґрунтується на принципах належного фінансового управління, доданості, результативності, партнерства, співфінансування і підзвітності, які трансформуються в правила грантів.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ЄС використовує широкий спектр форм фінансування — гранти, фінансові інструменти, гарантії, blending, бюджетну підтримку — у прямому, спільному та непрямому управлінні.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Україна є найбільшим одержувачем фінансової підтримки ЄС (220,2 млрд євро разом із державами-членами), яка дедалі більше ґрунтується на обумовленості реформами.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Грантово-проєктна діяльність є кінцевою ланкою каскаду фінансового планування ЄС, тому ефективна участь у програмах вимагає розуміння бюджетних рішень на всіх рівнях.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Питання для самоконтролю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Які власні ресурси формують доходи бюджету ЄС і який із них є найбільшим?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Чим зобов’язання відрізняються від платежів і чому виникають невиконані зобов’язання?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Опишіть процедуру ухвалення щорічного бюджету ЄС.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Яку роль виконує БФР і за якою процедурою ухвалюється регламент про БФР?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 Охарактеризуйте структуру БФР 2021–2027 рр. та зміни, внесені у 2024 р.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 Які ключові новації передбачає пропозиція БФР 2028–2034 рр.?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 Розкрийте зміст принципів доданості, результативності, партнерства та підзвітності.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 Порівняйте пряме, спільне та непряме управління бюджетом ЄС.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9. Чим гранти відрізняються від фінансових інструментів? Наведіть приклади.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10. Які інструменти використовує ЄС для підтримки країн-кандидатів?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11. Охарактеризуйте структуру фінансової підтримки України з боку ЄС.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12. Поясніть каскад фінансового планування від стратегічного пріоритету до гранту.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Глосарій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0"/>
        <w:gridCol w:w="6018"/>
      </w:tblGrid>
      <w:tr>
        <w:trPr>
          <w:tblHeader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Термін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Визначення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Власні ресурси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Доходи, що належать бюджету ЄС відповідно до Рішення про власні ресурси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БФР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Багаторічна фінансова рамка — регламент, що встановлює стелі видатків ЄС на період щонайменше п’ять років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Зобов’язання / платежі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Правові зобов’язання, які можуть бути взяті в році / фактичні грошові виплати в році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NextGenerationEU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Тимчасовий інструмент відновлення, що фінансується запозиченнями ЄС на ринках капіталу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Спільне управління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Виконання бюджету Комісією спільно з державами-членами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Фінансові інструменти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Позики, гарантії, інвестиції в капітал, що фінансуються з бюджету ЄС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Blending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Поєднання грантів ЄС із позиковими ресурсами фінансових установ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Доданість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Принцип, за яким кошти ЄС не заміщують національні видатки</w:t>
            </w:r>
          </w:p>
        </w:tc>
      </w:tr>
      <w:tr>
        <w:trPr>
          <w:tblHeader w:val="false"/>
        </w:trPr>
        <w:tc>
          <w:tcPr>
            <w:tcW w:type="dxa" w:w="36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Фінансування, не пов’язане з витратами</w:t>
            </w:r>
          </w:p>
        </w:tc>
        <w:tc>
          <w:tcPr>
            <w:tcW w:type="dxa" w:w="60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Виплати за досягнення умов або результатів, а не за фактичні витрати</w:t>
            </w:r>
          </w:p>
        </w:tc>
      </w:tr>
    </w:tbl>
    <w:p>
      <w:pPr>
        <w:spacing w:after="60" w:before="0" w:line="240"/>
      </w:pP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Список використаних джерел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Карлін М. І., Івашко О. А. Фінансові системи країн Європейського Союзу : підручник. Луцьк : Вежа-Друк, 2022. 384 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Грицишен Д. О., Абрамова І. В. Формування та реалізації фінансових механізмів ЄС щодо сталого розвитку сільських громад.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Таврійський науковий вісник. Серія: Економіка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20. С. 67–78. DOI: https://doi.org/10.32782/2708-0366/2024.20.8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Мороз Ю., Романчук Л., Абрамова І. Особливості фінансування розвитку сільських громад та територій коштом спільного бюджету ЄС.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Society and Security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2–3(3). С. 9–18. DOI: https://doi.org/10.26642/sas-2024-2-3(3)-9-18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Кобеля-Звір М. Я. Грантові програми Європейського Союзу для України в умовах війни.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Підприємництво і торгівля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40. С. 56–66. DOI: https://doi.org/10.32782/2522-1256-2024-40-08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 Абрамова І. В. Євроінтеграційні імперативи трансформації фінансового забезпечення сталого розвитку сільських територіальних громад : монографія. Житомир : БукДрук, 2024. 290 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 Grytsyshen D., Abramova I., Islamli J. Institutional and legal framework for the functioning of the EU tax systems.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Public Policy and Accounting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2025. No. 1(11). P. 3–9. DOI: https://doi.org/10.26642/ppa-2025-1(11)-3-9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 Грант: керівництво до дії : посібник / О. Ващук та ін. ; за заг. ред. В. Лемещенко-Лагоди, А. Сухіх. Запоріжжя : ФОП Однорог Т. В., 2024. 114 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 Romanchuk L., Abramova I., Moroz Yu., Poplavskyi P., Svitlyshyn I. Funding for sustainable development of rural communities: European experience.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Agricultural and Resource Economics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Vol. 10, No. 4. P. 203–234. DOI: https://doi.org/10.51599/are.2024.10.04.09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9. Грицишен Д. О., Поплавський П. Г. Аналіз бюджету ЄС для фінансування досліджень та інновацій.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Таврійський науковий вісник. Серія: Економіка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20. С. 79–85. DOI: https://doi.org/10.32782/2708-0366/2024.20.9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10. Абрамова І. В., Поплавський П. Г. Фінансування міжнародних грантових угод у сферах науки та інновацій через призму декомпозиційної моделі.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Бізнес Інформ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4. С. 26–31. DOI: https://doi.org/10.32983/2222-4459-2024-4-26-31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11. Consolidated version of the Treaty on the Functioning of the European Union.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C 202. 07.06.2016. P. 47–199.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12. Regulation (EU, Euratom) 2024/2509 of the European Parliament and of the Council of 23 September 2024 on the financial rules applicable to the general budget of the Union (recast).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series. 26.09.2024.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13. Council Decision (EU, Euratom) 2020/2053 of 14 December 2020 on the system of own resources of the European Union.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424. 15.12.2020.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14. Council of the EU. Council gives green light to the EU’s annual budget for 2026 : press release, 24 November 2025. URL: https://www.consilium.europa.eu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15. Council Regulation (EU, Euratom) 2020/2093 of 17 December 2020 laying down the multiannual financial framework for the years 2021 to 2027.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433I. 22.12.2020.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16. European Commission. EU budget 2028–2034. URL: https://commission.europa.eu/strategy-and-policy/eu-budget/long-term-eu-budget/eu-budget-2028-2034_en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17. European Parliamentary Research Service. The 2028–2034 multiannual financial framework. 9 January 2026. URL: https://epthinktank.eu/2026/01/09/the-2028-2034-multiannual-financial-framework/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18. European Commission. European Competitiveness Fund. URL: https://single-market-economy.ec.europa.eu/access-finance/european-competitiveness-fund_en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19. Regulation (EU) 2021/241 of the European Parliament and of the Council of 12 February 2021 establishing the Recovery and Resilience Facility.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57. 18.02.2021.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20. Regulation (EU) 2021/1060 of the European Parliament and of the Council of 24 June 2021 (Common Provisions Regulation).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231. 30.06.2021.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21. Council of the EU. Mid-term revision of the EU long-term budget 2021–2027. URL: https://www.consilium.europa.eu/en/policies/mid-term-revision-of-the-eu-long-term-budget-2021-2027/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22. Council of the EU. EU financial assistance to Ukraine ; Council finalises €90 billion support loan to Ukraine : press release, 23 April 2026. URL: https://www.consilium.europa.eu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23. World Bank. Updated Ukraine Recovery and Reconstruction Needs Assessment Released (RDNA5) : press release, 23 February 2026. URL: https://www.worldbank.org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9DB" w:sz="4" w:space="2"/>
      </w:pBdr>
      <w:jc w:val="right"/>
    </w:pPr>
    <w:r>
      <w:rPr>
        <w:rFonts w:ascii="Times New Roman" w:cs="Times New Roman" w:eastAsia="Times New Roman" w:hAnsi="Times New Roman"/>
        <w:i/>
        <w:iCs/>
        <w:color w:val="595959"/>
        <w:sz w:val="18"/>
        <w:szCs w:val="18"/>
      </w:rPr>
      <w:t xml:space="preserve">Європейські інституції та грантово-проєктна політика ЄС · Лекція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4"/>
      </w:pPr>
    </w:lvl>
    <w:lvl w:ilvl="1" w15:tentative="1">
      <w:start w:val="1"/>
      <w:numFmt w:val="bullet"/>
      <w:lvlText w:val="•"/>
      <w:lvlJc w:val="left"/>
      <w:pPr>
        <w:ind w:left="1134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color w:val="1F3864"/>
      <w:sz w:val="28"/>
      <w:szCs w:val="28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Times New Roman" w:cs="Times New Roman" w:eastAsia="Times New Roman" w:hAnsi="Times New Roman"/>
      <w:b/>
      <w:bCs/>
      <w:i/>
      <w:i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Європейські інституції та грантово-проєктна політика ЄС · Лекція 5</dc:title>
  <dc:creator>ЖПУ, кафедра МЕВ і ПМ</dc:creator>
  <cp:lastModifiedBy>Un-named</cp:lastModifiedBy>
  <cp:revision>1</cp:revision>
  <dcterms:created xsi:type="dcterms:W3CDTF">2026-09-11T19:10:24.647Z</dcterms:created>
  <dcterms:modified xsi:type="dcterms:W3CDTF">2026-09-11T19:10:24.647Z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