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jc w:val="left"/>
      </w:pPr>
      <w:r>
        <w:rPr>
          <w:rFonts w:ascii="Calibri" w:cs="Calibri" w:eastAsia="Calibri" w:hAnsi="Calibri"/>
          <w:b/>
          <w:bCs/>
          <w:caps/>
          <w:color w:val="A8841A"/>
          <w:spacing w:val="30"/>
          <w:sz w:val="18"/>
          <w:szCs w:val="18"/>
        </w:rPr>
        <w:t xml:space="preserve">Міжнародна проєктна діяльність  ·  Магістерська програма</w:t>
      </w:r>
    </w:p>
    <w:p>
      <w:pPr>
        <w:spacing w:after="120"/>
        <w:jc w:val="left"/>
      </w:pPr>
      <w:r>
        <w:rPr>
          <w:rFonts w:ascii="Times New Roman" w:cs="Times New Roman" w:eastAsia="Times New Roman" w:hAnsi="Times New Roman"/>
          <w:i/>
          <w:iCs/>
          <w:color w:val="A8841A"/>
          <w:sz w:val="30"/>
          <w:szCs w:val="30"/>
        </w:rPr>
        <w:t xml:space="preserve">Лекція 1</w:t>
      </w:r>
    </w:p>
    <w:p>
      <w:pPr>
        <w:spacing w:after="240"/>
      </w:pPr>
      <w:r>
        <w:rPr>
          <w:rFonts w:ascii="Times New Roman" w:cs="Times New Roman" w:eastAsia="Times New Roman" w:hAnsi="Times New Roman"/>
          <w:b/>
          <w:bCs/>
          <w:color w:val="1B2A4A"/>
          <w:sz w:val="40"/>
          <w:szCs w:val="40"/>
        </w:rPr>
        <w:t xml:space="preserve">Теоретико-методологічні засади управління міжнародними проєктами</w:t>
      </w:r>
    </w:p>
    <w:p>
      <w:pPr>
        <w:spacing w:after="60"/>
        <w:jc w:val="left"/>
      </w:pPr>
      <w:r>
        <w:rPr>
          <w:rFonts w:ascii="Times New Roman" w:cs="Times New Roman" w:eastAsia="Times New Roman" w:hAnsi="Times New Roman"/>
          <w:i/>
          <w:iCs/>
          <w:color w:val="5F6B85"/>
          <w:sz w:val="22"/>
          <w:szCs w:val="22"/>
        </w:rPr>
        <w:t xml:space="preserve">Змістовий модуль 1 · Проєктування та підготовка міжнародних проєктів</w:t>
      </w:r>
    </w:p>
    <w:p>
      <w:pPr>
        <w:spacing w:after="360"/>
        <w:jc w:val="left"/>
      </w:pPr>
      <w:r>
        <w:rPr>
          <w:rFonts w:ascii="Times New Roman" w:cs="Times New Roman" w:eastAsia="Times New Roman" w:hAnsi="Times New Roman"/>
          <w:i/>
          <w:iCs/>
          <w:color w:val="5F6B85"/>
          <w:sz w:val="22"/>
          <w:szCs w:val="22"/>
        </w:rPr>
        <w:t xml:space="preserve">Повний текст лекції до презентації (кількість слайдів: 34)</w:t>
      </w:r>
    </w:p>
    <w:p>
      <w:pPr>
        <w:pBdr>
          <w:bottom w:val="single" w:color="C9D3E6" w:sz="6" w:space="4"/>
        </w:pBdr>
        <w:spacing w:after="240"/>
      </w:pPr>
    </w:p>
    <w:p>
      <w:pPr>
        <w:spacing w:after="120"/>
      </w:pPr>
      <w:r>
        <w:rPr>
          <w:rFonts w:ascii="Times New Roman" w:cs="Times New Roman" w:eastAsia="Times New Roman" w:hAnsi="Times New Roman"/>
          <w:b/>
          <w:bCs/>
          <w:color w:val="1B2A4A"/>
          <w:sz w:val="26"/>
          <w:szCs w:val="26"/>
        </w:rPr>
        <w:t xml:space="preserve">Зміст</w:t>
      </w:r>
    </w:p>
    <w:p>
      <w:pPr>
        <w:spacing w:after="60"/>
        <w:ind w:left="284"/>
      </w:pPr>
      <w:r>
        <w:rPr>
          <w:sz w:val="22"/>
          <w:szCs w:val="22"/>
        </w:rPr>
        <w:t xml:space="preserve">Вступ</w:t>
      </w:r>
    </w:p>
    <w:p>
      <w:pPr>
        <w:spacing w:after="60"/>
        <w:ind w:left="284"/>
      </w:pPr>
      <w:r>
        <w:rPr>
          <w:sz w:val="22"/>
          <w:szCs w:val="22"/>
        </w:rPr>
        <w:t xml:space="preserve">1. Сутність, ознаки та типологія міжнародних проєктів</w:t>
      </w:r>
    </w:p>
    <w:p>
      <w:pPr>
        <w:spacing w:after="60"/>
        <w:ind w:left="284"/>
      </w:pPr>
      <w:r>
        <w:rPr>
          <w:sz w:val="22"/>
          <w:szCs w:val="22"/>
        </w:rPr>
        <w:t xml:space="preserve">2. Проєкт, програма, портфель проєктів: співвідношення понять у міжнародному менеджменті</w:t>
      </w:r>
    </w:p>
    <w:p>
      <w:pPr>
        <w:spacing w:after="60"/>
        <w:ind w:left="284"/>
      </w:pPr>
      <w:r>
        <w:rPr>
          <w:sz w:val="22"/>
          <w:szCs w:val="22"/>
        </w:rPr>
        <w:t xml:space="preserve">3. Життєвий цикл міжнародного проєкту</w:t>
      </w:r>
    </w:p>
    <w:p>
      <w:pPr>
        <w:spacing w:after="60"/>
        <w:ind w:left="284"/>
      </w:pPr>
      <w:r>
        <w:rPr>
          <w:sz w:val="22"/>
          <w:szCs w:val="22"/>
        </w:rPr>
        <w:t xml:space="preserve">4. Міжнародне проєктне середовище: донори, партнери, бенефіціари, цільові групи, стейкхолдери</w:t>
      </w:r>
    </w:p>
    <w:p>
      <w:pPr>
        <w:spacing w:after="60"/>
        <w:ind w:left="284"/>
      </w:pPr>
      <w:r>
        <w:rPr>
          <w:sz w:val="22"/>
          <w:szCs w:val="22"/>
        </w:rPr>
        <w:t xml:space="preserve">5. Методології управління проєктами: PMBOK, PM², управління проєктним циклом, логіко-структурний підхід</w:t>
      </w:r>
    </w:p>
    <w:p>
      <w:pPr>
        <w:spacing w:after="60"/>
        <w:ind w:left="284"/>
      </w:pPr>
      <w:r>
        <w:rPr>
          <w:sz w:val="22"/>
          <w:szCs w:val="22"/>
        </w:rPr>
        <w:t xml:space="preserve">6. Особливості управління міжнародними проєктами в умовах невизначеності, міжкультурної взаємодії та обмежених ресурсів</w:t>
      </w:r>
    </w:p>
    <w:p>
      <w:pPr>
        <w:spacing w:after="60"/>
        <w:ind w:left="284"/>
      </w:pPr>
      <w:r>
        <w:rPr>
          <w:sz w:val="22"/>
          <w:szCs w:val="22"/>
        </w:rPr>
        <w:t xml:space="preserve">Висновки</w:t>
      </w:r>
    </w:p>
    <w:p>
      <w:pPr>
        <w:spacing w:after="60"/>
        <w:ind w:left="284"/>
      </w:pPr>
      <w:r>
        <w:rPr>
          <w:sz w:val="22"/>
          <w:szCs w:val="22"/>
        </w:rPr>
        <w:t xml:space="preserve">Питання для самоконтролю</w:t>
      </w:r>
    </w:p>
    <w:p>
      <w:pPr>
        <w:spacing w:after="60"/>
        <w:ind w:left="284"/>
      </w:pPr>
      <w:r>
        <w:rPr>
          <w:sz w:val="22"/>
          <w:szCs w:val="22"/>
        </w:rPr>
        <w:t xml:space="preserve">Рекомендована література</w:t>
      </w:r>
    </w:p>
    <w:p>
      <w:pPr>
        <w:spacing w:after="60"/>
        <w:ind w:left="284"/>
      </w:pPr>
      <w:r>
        <w:rPr>
          <w:sz w:val="22"/>
          <w:szCs w:val="22"/>
        </w:rPr>
        <w:t xml:space="preserve">Глосарій ключових термінів</w:t>
      </w:r>
    </w:p>
    <w:p>
      <w:pPr>
        <w:spacing w:after="60"/>
        <w:ind w:left="284"/>
      </w:pPr>
      <w:r>
        <w:rPr>
          <w:sz w:val="22"/>
          <w:szCs w:val="22"/>
        </w:rPr>
        <w:t xml:space="preserve">Джерела актуальних даних</w:t>
      </w:r>
    </w:p>
    <w:p>
      <w:pPr>
        <w:spacing w:after="200"/>
      </w:pPr>
    </w:p>
    <w:p>
      <w:pPr>
        <w:spacing w:after="120"/>
      </w:pPr>
      <w:r>
        <w:rPr>
          <w:rFonts w:ascii="Times New Roman" w:cs="Times New Roman" w:eastAsia="Times New Roman" w:hAnsi="Times New Roman"/>
          <w:b/>
          <w:bCs/>
          <w:color w:val="1B2A4A"/>
          <w:sz w:val="21"/>
          <w:szCs w:val="21"/>
        </w:rPr>
        <w:t xml:space="preserve">Як користуватися текстом. </w:t>
      </w:r>
      <w:r>
        <w:rPr>
          <w:rFonts w:ascii="Times New Roman" w:cs="Times New Roman" w:eastAsia="Times New Roman" w:hAnsi="Times New Roman"/>
          <w:i/>
          <w:iCs/>
          <w:color w:val="5F6B85"/>
          <w:sz w:val="21"/>
          <w:szCs w:val="21"/>
        </w:rPr>
        <w:t xml:space="preserve">Текст повторює послідовність презентації. Золоті позначки (▸ СЛАЙД n) вказують, який слайд слід показувати під час викладу наступного фрагмента.</w:t>
      </w:r>
    </w:p>
    <w:p>
      <w:r>
        <w:br w:type="page"/>
      </w:r>
    </w:p>
    <w:p>
      <w:pPr>
        <w:pStyle w:val="Heading1"/>
        <w:keepNext/>
      </w:pPr>
      <w:r>
        <w:t xml:space="preserve">Вступ</w:t>
      </w:r>
    </w:p>
    <w:p>
      <w:pPr>
        <w:keepNext/>
        <w:spacing w:after="40" w:before="120"/>
      </w:pPr>
      <w:r>
        <w:rPr>
          <w:rFonts w:ascii="Calibri" w:cs="Calibri" w:eastAsia="Calibri" w:hAnsi="Calibri"/>
          <w:b/>
          <w:bCs/>
          <w:caps/>
          <w:color w:val="A8841A"/>
          <w:spacing w:val="20"/>
          <w:sz w:val="17"/>
          <w:szCs w:val="17"/>
        </w:rPr>
        <w:t xml:space="preserve">▸ Слайд 1</w:t>
      </w:r>
    </w:p>
    <w:p>
      <w:pPr>
        <w:spacing w:after="140" w:line="288"/>
        <w:ind w:firstLine="0"/>
        <w:jc w:val="both"/>
      </w:pPr>
      <w:r>
        <w:t xml:space="preserve">Ця лекція відкриває курс «Міжнародна проєктна діяльність». Курс готує здобувачів магістерського рівня до проєктування, фінансування, реалізації та оцінювання проєктів, які фінансуються міжнародними донорами й виконуються партнерами з більш ніж однієї країни. Він структурований у два змістові модулі. Змістовий модуль 1 «Проєктування та підготовка міжнародних проєктів» охоплює роботу, що передує підписанню грантової угоди: теоретичні засади галузі (ця лекція), дизайн проєкту та логіку втручання (лекція 2), підготовку проєктної пропозиції та грантової заявки (лекція 3), а також грантове фінансування, донорські програми та формування міжнародного консорціуму (лекція 4). Змістовий модуль 2 «Реалізація, адміністрування та оцінювання міжнародних проєктів» супроводжує проєкт після його схвалення: планування реалізації та управління командою (лекція 5), фінансове управління й адміністрування (лекція 6), управління ризиками, комунікаціями та якістю (лекція 7), а також моніторинг, оцінювання, звітування та сталість результатів (лекція 8).</w:t>
      </w:r>
    </w:p>
    <w:p>
      <w:pPr>
        <w:spacing w:after="140" w:line="288"/>
        <w:ind w:firstLine="0"/>
        <w:jc w:val="both"/>
      </w:pPr>
      <w:r>
        <w:t xml:space="preserve">Мета лекції 1 — сформувати концептуальне та методологічне підґрунтя, на якому ґрунтуються всі подальші теми. Міжнародна проєктна діяльність має власну професійну мову. Донори, експерти-оцінювачі та партнерські організації послуговуються такими термінами, як «програма», «цільова група», «асоційований партнер» чи «формулювання», у точно визначених значеннях, і заявник, який вживає їх недбало, виказує брак досвіду ще до того, як буде прочитано зміст пропозиції. Пропозицію, у якій бенефіціарів сплутано з цільовими групами або набір непов'язаних заходів подано як програму, оцінювачі, ймовірно, оцінять нижче, а менеджер, який не розуміє логіки проєктного циклу, матиме труднощі з виконанням вимог щодо звітності, що настають після схвалення. Тому в лекції ретельно визначено основні поняття та показано, як вони пов'язані між собою.</w:t>
      </w:r>
    </w:p>
    <w:p>
      <w:pPr>
        <w:keepNext/>
        <w:spacing w:after="40" w:before="120"/>
      </w:pPr>
      <w:r>
        <w:rPr>
          <w:rFonts w:ascii="Calibri" w:cs="Calibri" w:eastAsia="Calibri" w:hAnsi="Calibri"/>
          <w:b/>
          <w:bCs/>
          <w:caps/>
          <w:color w:val="A8841A"/>
          <w:spacing w:val="20"/>
          <w:sz w:val="17"/>
          <w:szCs w:val="17"/>
        </w:rPr>
        <w:t xml:space="preserve">▸ Слайд 2</w:t>
      </w:r>
    </w:p>
    <w:p>
      <w:pPr>
        <w:spacing w:after="140" w:line="288"/>
        <w:ind w:firstLine="0"/>
        <w:jc w:val="both"/>
      </w:pPr>
      <w:r>
        <w:t xml:space="preserve">Лекцію структуровано в шість розділів, які відповідають плану на слайді:</w:t>
      </w:r>
    </w:p>
    <w:p>
      <w:pPr>
        <w:pStyle w:val="ListParagraph"/>
        <w:numPr>
          <w:ilvl w:val="0"/>
          <w:numId w:val="2"/>
        </w:numPr>
        <w:spacing w:after="80" w:line="276"/>
        <w:jc w:val="both"/>
      </w:pPr>
      <w:r>
        <w:t xml:space="preserve">Сутність, ознаки та типологія міжнародних проєктів.</w:t>
      </w:r>
    </w:p>
    <w:p>
      <w:pPr>
        <w:pStyle w:val="ListParagraph"/>
        <w:numPr>
          <w:ilvl w:val="0"/>
          <w:numId w:val="2"/>
        </w:numPr>
        <w:spacing w:after="80" w:line="276"/>
        <w:jc w:val="both"/>
      </w:pPr>
      <w:r>
        <w:t xml:space="preserve">Проєкт, програма, портфель проєктів: співвідношення понять у міжнародному менеджменті.</w:t>
      </w:r>
    </w:p>
    <w:p>
      <w:pPr>
        <w:pStyle w:val="ListParagraph"/>
        <w:numPr>
          <w:ilvl w:val="0"/>
          <w:numId w:val="2"/>
        </w:numPr>
        <w:spacing w:after="80" w:line="276"/>
        <w:jc w:val="both"/>
      </w:pPr>
      <w:r>
        <w:t xml:space="preserve">Життєвий цикл міжнародного проєкту.</w:t>
      </w:r>
    </w:p>
    <w:p>
      <w:pPr>
        <w:pStyle w:val="ListParagraph"/>
        <w:numPr>
          <w:ilvl w:val="0"/>
          <w:numId w:val="2"/>
        </w:numPr>
        <w:spacing w:after="80" w:line="276"/>
        <w:jc w:val="both"/>
      </w:pPr>
      <w:r>
        <w:t xml:space="preserve">Міжнародне проєктне середовище: донори, партнери, бенефіціари, цільові групи, стейкхолдери.</w:t>
      </w:r>
    </w:p>
    <w:p>
      <w:pPr>
        <w:pStyle w:val="ListParagraph"/>
        <w:numPr>
          <w:ilvl w:val="0"/>
          <w:numId w:val="2"/>
        </w:numPr>
        <w:spacing w:after="80" w:line="276"/>
        <w:jc w:val="both"/>
      </w:pPr>
      <w:r>
        <w:t xml:space="preserve">Методології управління проєктами: PMBOK, PM², управління проєктним циклом, логіко-структурний підхід.</w:t>
      </w:r>
    </w:p>
    <w:p>
      <w:pPr>
        <w:pStyle w:val="ListParagraph"/>
        <w:numPr>
          <w:ilvl w:val="0"/>
          <w:numId w:val="2"/>
        </w:numPr>
        <w:spacing w:after="80" w:line="276"/>
        <w:jc w:val="both"/>
      </w:pPr>
      <w:r>
        <w:t xml:space="preserve">Особливості управління міжнародними проєктами в умовах невизначеності, міжкультурної взаємодії та обмежених ресурсів.</w:t>
      </w:r>
    </w:p>
    <w:p>
      <w:pPr>
        <w:spacing w:after="140" w:line="288"/>
        <w:ind w:firstLine="0"/>
        <w:jc w:val="both"/>
      </w:pPr>
      <w:r>
        <w:t xml:space="preserve">Послідовність рухається від базового поняття проєкту до специфічних умов, у яких управляють міжнародними проєктами. Перші чотири розділи формують концептуальний словник: що таке проєкт, як він співвідноситься з більшими управлінськими одиницями, як розгортається в часі та які актори його оточують. П'ятий розділ знайомить із методологічним інструментарієм, за допомогою якого практики планують і контролюють свою роботу. Шостий пояснює, чому міжнародні проєкти вимагають управлінських компетентностей, що виходять за межі потрібних для національної ініціативи подібного масштабу.</w:t>
      </w:r>
    </w:p>
    <w:p>
      <w:pPr>
        <w:spacing w:after="140" w:line="288"/>
        <w:ind w:firstLine="0"/>
        <w:jc w:val="both"/>
      </w:pPr>
      <w:r>
        <w:t xml:space="preserve">Після опрацювання лекції здобувачі вищої освіти повинні вміти:</w:t>
      </w:r>
    </w:p>
    <w:p>
      <w:pPr>
        <w:pStyle w:val="ListParagraph"/>
        <w:numPr>
          <w:ilvl w:val="0"/>
          <w:numId w:val="3"/>
        </w:numPr>
        <w:spacing w:after="80" w:line="276"/>
        <w:jc w:val="both"/>
      </w:pPr>
      <w:r>
        <w:t xml:space="preserve">визначати проєкт з посиланням на PMBOK Guide та ISO 21500:2021 і пояснювати критерії та специфічні ознаки, що роблять проєкт міжнародним;</w:t>
      </w:r>
    </w:p>
    <w:p>
      <w:pPr>
        <w:pStyle w:val="ListParagraph"/>
        <w:numPr>
          <w:ilvl w:val="0"/>
          <w:numId w:val="3"/>
        </w:numPr>
        <w:spacing w:after="80" w:line="276"/>
        <w:jc w:val="both"/>
      </w:pPr>
      <w:r>
        <w:t xml:space="preserve">класифікувати міжнародні проєкти за п'ятьма критеріями та розрізняти проєкт, програму й портфель за рівнем управління;</w:t>
      </w:r>
    </w:p>
    <w:p>
      <w:pPr>
        <w:pStyle w:val="ListParagraph"/>
        <w:numPr>
          <w:ilvl w:val="0"/>
          <w:numId w:val="3"/>
        </w:numPr>
        <w:spacing w:after="80" w:line="276"/>
        <w:jc w:val="both"/>
      </w:pPr>
      <w:r>
        <w:t xml:space="preserve">описувати шість фаз життєвого циклу міжнародного проєкту, співвідносити їх з управлінням проєктним циклом (PCM) і пояснювати, чому моніторинг є наскрізним процесом, а управління — ітеративним;</w:t>
      </w:r>
    </w:p>
    <w:p>
      <w:pPr>
        <w:pStyle w:val="ListParagraph"/>
        <w:numPr>
          <w:ilvl w:val="0"/>
          <w:numId w:val="3"/>
        </w:numPr>
        <w:spacing w:after="80" w:line="276"/>
        <w:jc w:val="both"/>
      </w:pPr>
      <w:r>
        <w:t xml:space="preserve">розрізняти ролі донора, координатора, партнерів і асоційованих партнерів, а також категорії бенефіціарів, цільових груп і стейкхолдерів;</w:t>
      </w:r>
    </w:p>
    <w:p>
      <w:pPr>
        <w:pStyle w:val="ListParagraph"/>
        <w:numPr>
          <w:ilvl w:val="0"/>
          <w:numId w:val="3"/>
        </w:numPr>
        <w:spacing w:after="80" w:line="276"/>
        <w:jc w:val="both"/>
      </w:pPr>
      <w:r>
        <w:t xml:space="preserve">порівнювати PMBOK, PM², управління проєктним циклом і логіко-структурний підхід (ЛСП) та обґрунтовувати вибір методології для конкретного донора, галузі й типу проєкту;</w:t>
      </w:r>
    </w:p>
    <w:p>
      <w:pPr>
        <w:pStyle w:val="ListParagraph"/>
        <w:numPr>
          <w:ilvl w:val="0"/>
          <w:numId w:val="3"/>
        </w:numPr>
        <w:spacing w:after="80" w:line="276"/>
        <w:jc w:val="both"/>
      </w:pPr>
      <w:r>
        <w:t xml:space="preserve">аналізувати чинники невизначеності, міжкультурної взаємодії, обмеженості ресурсів, асиметрії між донором і реципієнтом та підзвітності, що впливають на управління міжнародними проєктами, зокрема тими, які реалізуються в Україні.</w:t>
      </w:r>
    </w:p>
    <w:p>
      <w:pPr>
        <w:pStyle w:val="Heading1"/>
        <w:keepNext/>
      </w:pPr>
      <w:r>
        <w:t xml:space="preserve">1. Сутність, ознаки та типологія міжнародних проєктів</w:t>
      </w:r>
    </w:p>
    <w:p>
      <w:pPr>
        <w:keepNext/>
        <w:spacing w:after="40" w:before="120"/>
      </w:pPr>
      <w:r>
        <w:rPr>
          <w:rFonts w:ascii="Calibri" w:cs="Calibri" w:eastAsia="Calibri" w:hAnsi="Calibri"/>
          <w:b/>
          <w:bCs/>
          <w:caps/>
          <w:color w:val="A8841A"/>
          <w:spacing w:val="20"/>
          <w:sz w:val="17"/>
          <w:szCs w:val="17"/>
        </w:rPr>
        <w:t xml:space="preserve">▸ Слайд 3</w:t>
      </w:r>
    </w:p>
    <w:p>
      <w:pPr>
        <w:spacing w:after="140" w:line="288"/>
        <w:ind w:firstLine="0"/>
        <w:jc w:val="both"/>
      </w:pPr>
      <w:r>
        <w:t xml:space="preserve">Перший розділ фіксує предмет курсу: перш ніж обговорювати пропозиції, бюджети чи оцінювання, необхідно з'ясувати, що саме пропонується, бюджетується й оцінюється. Розділ побудовано навколо трьох запитань розділового слайда. Що таке проєкт відповідно до міжнародних стандартів? Що робить проєкт міжнародним? І як можна класифікувати міжнародні проєкти, щоб менеджер міг обрати придатні інструменти та знайти застосовні донорські правила? Відповіді викладено на слайдах 4–9.</w:t>
      </w:r>
    </w:p>
    <w:p>
      <w:pPr>
        <w:pStyle w:val="Heading2"/>
        <w:keepNext/>
      </w:pPr>
      <w:r>
        <w:t xml:space="preserve">Що таке проєкт? Два стандартні визначення</w:t>
      </w:r>
    </w:p>
    <w:p>
      <w:pPr>
        <w:keepNext/>
        <w:spacing w:after="40" w:before="120"/>
      </w:pPr>
      <w:r>
        <w:rPr>
          <w:rFonts w:ascii="Calibri" w:cs="Calibri" w:eastAsia="Calibri" w:hAnsi="Calibri"/>
          <w:b/>
          <w:bCs/>
          <w:caps/>
          <w:color w:val="A8841A"/>
          <w:spacing w:val="20"/>
          <w:sz w:val="17"/>
          <w:szCs w:val="17"/>
        </w:rPr>
        <w:t xml:space="preserve">▸ Слайд 4</w:t>
      </w:r>
    </w:p>
    <w:p>
      <w:pPr>
        <w:spacing w:after="140" w:line="288"/>
        <w:ind w:firstLine="0"/>
        <w:jc w:val="both"/>
      </w:pPr>
      <w:r>
        <w:t xml:space="preserve">Два документи містять визначення, які найчастіше цитують у професійній практиці та в настановах донорів. Перший — </w:t>
      </w:r>
      <w:r>
        <w:rPr>
          <w:i/>
          <w:iCs/>
        </w:rPr>
        <w:t xml:space="preserve">A Guide to the Project Management Body of Knowledge</w:t>
      </w:r>
      <w:r>
        <w:t xml:space="preserve">, виданий Інститутом управління проєктами (Project Management Institute, PMI) і відомий як PMBOK Guide. Другий — міжнародний стандарт ISO 21500:2021 «Project, programme and portfolio management — Context and concepts», виданий Міжнародною організацією зі стандартизації (International Organization for Standardization).</w:t>
      </w:r>
    </w:p>
    <w:p>
      <w:pPr>
        <w:pBdr>
          <w:left w:val="single" w:color="1B2A4A" w:sz="18" w:space="10"/>
        </w:pBdr>
        <w:spacing w:after="60" w:before="120" w:line="276"/>
        <w:ind w:left="454" w:right="340"/>
        <w:jc w:val="both"/>
      </w:pPr>
      <w:r>
        <w:rPr>
          <w:rFonts w:ascii="Times New Roman" w:cs="Times New Roman" w:eastAsia="Times New Roman" w:hAnsi="Times New Roman"/>
          <w:b/>
          <w:bCs/>
          <w:i/>
          <w:iCs/>
          <w:color w:val="1B2A4A"/>
          <w:sz w:val="24"/>
          <w:szCs w:val="24"/>
        </w:rPr>
        <w:t xml:space="preserve">PMBOK Guide (PMI):</w:t>
      </w:r>
      <w:r>
        <w:rPr>
          <w:rFonts w:ascii="Times New Roman" w:cs="Times New Roman" w:eastAsia="Times New Roman" w:hAnsi="Times New Roman"/>
          <w:i/>
          <w:iCs/>
          <w:color w:val="1B2A4A"/>
          <w:sz w:val="24"/>
          <w:szCs w:val="24"/>
        </w:rPr>
        <w:t xml:space="preserve"> проєкт — це «тимчасове зусилля, що докладається для створення унікального продукту, послуги або результату».</w:t>
      </w:r>
    </w:p>
    <w:p>
      <w:pPr>
        <w:pBdr>
          <w:left w:val="single" w:color="1B2A4A" w:sz="18" w:space="10"/>
        </w:pBdr>
        <w:spacing w:after="200" w:before="0" w:line="276"/>
        <w:ind w:left="454" w:right="340"/>
        <w:jc w:val="both"/>
      </w:pPr>
      <w:r>
        <w:rPr>
          <w:rFonts w:ascii="Times New Roman" w:cs="Times New Roman" w:eastAsia="Times New Roman" w:hAnsi="Times New Roman"/>
          <w:b/>
          <w:bCs/>
          <w:i/>
          <w:iCs/>
          <w:color w:val="1B2A4A"/>
          <w:sz w:val="24"/>
          <w:szCs w:val="24"/>
        </w:rPr>
        <w:t xml:space="preserve">ISO 21500:2021:</w:t>
      </w:r>
      <w:r>
        <w:rPr>
          <w:rFonts w:ascii="Times New Roman" w:cs="Times New Roman" w:eastAsia="Times New Roman" w:hAnsi="Times New Roman"/>
          <w:i/>
          <w:iCs/>
          <w:color w:val="1B2A4A"/>
          <w:sz w:val="24"/>
          <w:szCs w:val="24"/>
        </w:rPr>
        <w:t xml:space="preserve"> проєкт — це «унікальний набір процесів, що складаються з узгоджених і контрольованих завдань із датами початку та завершення, які виконуються для досягнення мети, що відповідає певним вимогам, включно з обмеженнями щодо часу, вартості та ресурсів».</w:t>
      </w:r>
    </w:p>
    <w:p>
      <w:pPr>
        <w:spacing w:after="160" w:before="40"/>
        <w:jc w:val="left"/>
      </w:pPr>
      <w:r>
        <w:rPr>
          <w:rFonts w:ascii="Times New Roman" w:cs="Times New Roman" w:eastAsia="Times New Roman" w:hAnsi="Times New Roman"/>
          <w:i/>
          <w:iCs/>
          <w:color w:val="5F6B85"/>
          <w:sz w:val="19"/>
          <w:szCs w:val="19"/>
        </w:rPr>
        <w:t xml:space="preserve">Project Management Institute, A Guide to the Project Management Body of Knowledge (PMBOK Guide); ISO 21500:2021, Project, programme and portfolio management — Context and concepts.</w:t>
      </w:r>
    </w:p>
    <w:p>
      <w:pPr>
        <w:spacing w:after="140" w:line="288"/>
        <w:ind w:firstLine="0"/>
        <w:jc w:val="both"/>
      </w:pPr>
      <w:r>
        <w:t xml:space="preserve">Ці два визначення доповнюють одне одного. Визначення PMBOK виокремлює дві ознаки, на яких ґрунтується дисципліна. </w:t>
      </w:r>
      <w:r>
        <w:rPr>
          <w:b/>
          <w:bCs/>
        </w:rPr>
        <w:t xml:space="preserve">Тимчасовість</w:t>
      </w:r>
      <w:r>
        <w:t xml:space="preserve"> означає, що кожен проєкт має чітко визначені початок і завершення. Це не означає, що проєкт є коротким: чотирирічна програма інституційної реформи так само тимчасова, як і тримісячне дослідження. Це означає, що зусилля заздалегідь планується як таке, що має завершитися: або тому, що його мету досягнуто, або тому, що вичерпано відведений час чи кошти. </w:t>
      </w:r>
      <w:r>
        <w:rPr>
          <w:b/>
          <w:bCs/>
        </w:rPr>
        <w:t xml:space="preserve">Унікальність</w:t>
      </w:r>
      <w:r>
        <w:t xml:space="preserve"> означає, що продукт, послуга чи результат чимось відрізняються від усіх подібних: університет міг і раніше модернізувати навчальні плани, але не з цими партнерами, не в цьому контексті й не з цим бюджетом. Разом обидві ознаки відрізняють проєкт від операційної діяльності — безперервної діяльності, що повторює ті самі процеси, як-от робота приймальної комісії.</w:t>
      </w:r>
    </w:p>
    <w:p>
      <w:pPr>
        <w:spacing w:after="140" w:line="288"/>
        <w:ind w:firstLine="0"/>
        <w:jc w:val="both"/>
      </w:pPr>
      <w:r>
        <w:t xml:space="preserve">Визначення ISO додає два виміри. Воно описує проєкт як набір </w:t>
      </w:r>
      <w:r>
        <w:rPr>
          <w:i/>
          <w:iCs/>
        </w:rPr>
        <w:t xml:space="preserve">процесів</w:t>
      </w:r>
      <w:r>
        <w:t xml:space="preserve">, тобто узгоджених і контрольованих завдань, а не як одиничну дію, і називає обмеження, у межах яких слід досягти мети: час, вартість і ресурси. Це мова донорів: грант надається на визначений строк, у визначеному розмірі та для досягнення визначених цілей, а заявник має показати, що завдання узгоджені й контрольовані достатньо добре, щоб їх реалізувати. Отже, перше визначення вказує, чим проєкт </w:t>
      </w:r>
      <w:r>
        <w:rPr>
          <w:i/>
          <w:iCs/>
        </w:rPr>
        <w:t xml:space="preserve">є</w:t>
      </w:r>
      <w:r>
        <w:t xml:space="preserve">, а друге — що менеджер має з ним </w:t>
      </w:r>
      <w:r>
        <w:rPr>
          <w:i/>
          <w:iCs/>
        </w:rPr>
        <w:t xml:space="preserve">робити</w:t>
      </w:r>
      <w:r>
        <w:t xml:space="preserve">.</w:t>
      </w:r>
    </w:p>
    <w:p>
      <w:pPr>
        <w:spacing w:after="140" w:line="288"/>
        <w:ind w:firstLine="0"/>
        <w:jc w:val="both"/>
      </w:pPr>
      <w:r>
        <w:t xml:space="preserve">Тимчасовість має практичний наслідок. Оскільки проєкт завершується, питання про те, що залишиться після нього, не можна відкладати на останній місяць: обладнання, навчальні плани, мережі та навички мають пережити команду, яка їх створила. До цього питання повертаються розділ 3 та лекція 8.</w:t>
      </w:r>
    </w:p>
    <w:p>
      <w:pPr>
        <w:pStyle w:val="Heading2"/>
        <w:keepNext/>
      </w:pPr>
      <w:r>
        <w:t xml:space="preserve">Що робить проєкт міжнародним?</w:t>
      </w:r>
    </w:p>
    <w:p>
      <w:pPr>
        <w:keepNext/>
        <w:spacing w:after="40" w:before="120"/>
      </w:pPr>
      <w:r>
        <w:rPr>
          <w:rFonts w:ascii="Calibri" w:cs="Calibri" w:eastAsia="Calibri" w:hAnsi="Calibri"/>
          <w:b/>
          <w:bCs/>
          <w:caps/>
          <w:color w:val="A8841A"/>
          <w:spacing w:val="20"/>
          <w:sz w:val="17"/>
          <w:szCs w:val="17"/>
        </w:rPr>
        <w:t xml:space="preserve">▸ Слайд 5</w:t>
      </w:r>
    </w:p>
    <w:p>
      <w:pPr>
        <w:spacing w:after="140" w:line="288"/>
        <w:ind w:firstLine="0"/>
        <w:jc w:val="both"/>
      </w:pPr>
      <w:r>
        <w:t xml:space="preserve">Курс визначає міжнародний проєкт одним щільним реченням, яке слайд розгортає в чотири критерії.</w:t>
      </w:r>
    </w:p>
    <w:p>
      <w:pPr>
        <w:pBdr>
          <w:left w:val="single" w:color="1B2A4A" w:sz="18" w:space="10"/>
        </w:pBdr>
        <w:spacing w:after="200" w:before="120" w:line="276"/>
        <w:ind w:left="454" w:right="340"/>
        <w:jc w:val="both"/>
      </w:pPr>
      <w:r>
        <w:rPr>
          <w:rFonts w:ascii="Times New Roman" w:cs="Times New Roman" w:eastAsia="Times New Roman" w:hAnsi="Times New Roman"/>
          <w:i/>
          <w:iCs/>
          <w:color w:val="1B2A4A"/>
          <w:sz w:val="24"/>
          <w:szCs w:val="24"/>
        </w:rPr>
        <w:t xml:space="preserve">Міжнародний проєкт — це проєкт, що реалізується за участю акторів (донорів, виконавців, партнерів, бенефіціарів), які належать до різних національних юрисдикцій, повністю або частково фінансується із зовнішніх чи наднаціональних джерел і спрямований на розв'язання проблем транскордонного, регіонального або глобального виміру чи на розвиток спроможності країни-реципієнта відповідно до пріоритетів донора.</w:t>
      </w:r>
    </w:p>
    <w:p>
      <w:pPr>
        <w:spacing w:after="140" w:line="288"/>
        <w:ind w:firstLine="0"/>
        <w:jc w:val="both"/>
      </w:pPr>
      <w:r>
        <w:t xml:space="preserve">Першим критерієм є наявність </w:t>
      </w:r>
      <w:r>
        <w:rPr>
          <w:b/>
          <w:bCs/>
        </w:rPr>
        <w:t xml:space="preserve">багатонаціональних акторів</w:t>
      </w:r>
      <w:r>
        <w:t xml:space="preserve">: донор, виконавці, їхні партнери та бенефіціари належать до різних національних юрисдикцій і тому підпорядковані різним правовим системам, адміністративним правилам і професійним конвенціям. Другим є </w:t>
      </w:r>
      <w:r>
        <w:rPr>
          <w:b/>
          <w:bCs/>
        </w:rPr>
        <w:t xml:space="preserve">зовнішнє фінансування</w:t>
      </w:r>
      <w:r>
        <w:t xml:space="preserve">: кошти надходять повністю або частково із зовнішніх чи наднаціональних джерел, як-от бюджет ЄС, міжнародна фінансова інституція, донорський фонд або дипломатична місія. Третім є </w:t>
      </w:r>
      <w:r>
        <w:rPr>
          <w:b/>
          <w:bCs/>
        </w:rPr>
        <w:t xml:space="preserve">транснаціональна проблема</w:t>
      </w:r>
      <w:r>
        <w:t xml:space="preserve">: проєкт розв'язує питання транскордонного, регіонального або глобального виміру. Четвертим є </w:t>
      </w:r>
      <w:r>
        <w:rPr>
          <w:b/>
          <w:bCs/>
        </w:rPr>
        <w:t xml:space="preserve">розвиток спроможності</w:t>
      </w:r>
      <w:r>
        <w:t xml:space="preserve">: проєкт зміцнює спроможність країни-реципієнта відповідно до пріоритетів донора. У визначенні два останні критерії поєднано сполучником «або», оскільки одні проєкти зумовлені передусім спільною проблемою, а інші — передусім розвитком інституцій однієї країни. Слайд подає ці чотири критерії як взаємопов'язані, а еталонним є випадок, у якому наявні всі вони.</w:t>
      </w:r>
    </w:p>
    <w:p>
      <w:pPr>
        <w:spacing w:after="140" w:line="288"/>
        <w:ind w:firstLine="0"/>
        <w:jc w:val="both"/>
      </w:pPr>
      <w:r>
        <w:t xml:space="preserve">Приклад на слайді ілюструє такий випадок. Консорціум Erasmus+ Capacity Building за участі українських університетів та університетів ЄС об'єднує акторів із кількох країн і фінансується з бюджету ЄС — наднаціонального джерела. Його мета, модернізація вищої освіти, подається як виклик, спільний для кількох країн, а не для окремої установи, і розвиває спроможність університетів-партнерів відповідно до пріоритетів, визначених програмою.</w:t>
      </w:r>
    </w:p>
    <w:p>
      <w:pPr>
        <w:spacing w:after="140" w:line="288"/>
        <w:ind w:firstLine="0"/>
        <w:jc w:val="both"/>
      </w:pPr>
      <w:r>
        <w:t xml:space="preserve">Слід пам'ятати про дві межі. Проєкт не є міжнародним лише тому, що залучено іноземного консультанта чи імпортовано обладнання: якщо донор, виконавці та бенефіціари належать до однієї юрисдикції, а кошти надходять з одного національного бюджету, проєкт є національним у розумінні, яке тут застосовується. І навпаки, невеликий проєкт може бути міжнародним. Ці межі відповідають на перше запитання для самоконтролю: міжнародний проєкт відрізняється від національного своїми акторами, які належать до різних юрисдикцій, і джерелами фінансування, які є зовнішніми або наднаціональними.</w:t>
      </w:r>
    </w:p>
    <w:p>
      <w:pPr>
        <w:pBdr>
          <w:top w:val="single" w:color="C9D3E6" w:sz="6" w:space="6"/>
          <w:bottom w:val="single" w:color="C9D3E6" w:sz="6" w:space="6"/>
          <w:left w:val="single" w:color="C9D3E6" w:sz="6" w:space="6"/>
          <w:right w:val="single" w:color="C9D3E6" w:sz="6" w:space="6"/>
        </w:pBdr>
        <w:shd w:fill="F2F5FB" w:color="auto" w:val="clear"/>
        <w:spacing w:after="200" w:before="120" w:line="276"/>
        <w:ind w:left="170" w:right="170"/>
        <w:jc w:val="both"/>
      </w:pPr>
      <w:r>
        <w:rPr>
          <w:rFonts w:ascii="Times New Roman" w:cs="Times New Roman" w:eastAsia="Times New Roman" w:hAnsi="Times New Roman"/>
          <w:b/>
          <w:bCs/>
          <w:sz w:val="22"/>
          <w:szCs w:val="22"/>
        </w:rPr>
        <w:t xml:space="preserve">Ілюстративний приклад.</w:t>
      </w:r>
      <w:r>
        <w:rPr>
          <w:rFonts w:ascii="Times New Roman" w:cs="Times New Roman" w:eastAsia="Times New Roman" w:hAnsi="Times New Roman"/>
          <w:sz w:val="22"/>
          <w:szCs w:val="22"/>
        </w:rPr>
        <w:t xml:space="preserve"> Розгляньмо три гіпотетичні проєкти. Українська обласна рада ремонтує комунальну школу за рахунок власного бюджету із залученням українського підрядника: усі актори та джерело коштів є національними, тож проєкт не є міжнародним. Український університет і університети двох держав — членів ЄС отримують грант від програми ЄС на розроблення спільної освітньої програми: виконано всі чотири критерії. Українська неурядова організація отримує невеликий грант посольства на навчання місцевих посадовців: донор і виконавець належать до різних юрисдикцій, кошти є зовнішніми, а місцева спроможність розвивається, але проблема може бути суто локальною, тож проєкт є міжнародним у слабшому значенні.</w:t>
      </w:r>
    </w:p>
    <w:p>
      <w:pPr>
        <w:pStyle w:val="Heading2"/>
        <w:keepNext/>
      </w:pPr>
      <w:r>
        <w:t xml:space="preserve">Сім загальних ознак будь-якого проєкту</w:t>
      </w:r>
    </w:p>
    <w:p>
      <w:pPr>
        <w:keepNext/>
        <w:spacing w:after="40" w:before="120"/>
      </w:pPr>
      <w:r>
        <w:rPr>
          <w:rFonts w:ascii="Calibri" w:cs="Calibri" w:eastAsia="Calibri" w:hAnsi="Calibri"/>
          <w:b/>
          <w:bCs/>
          <w:caps/>
          <w:color w:val="A8841A"/>
          <w:spacing w:val="20"/>
          <w:sz w:val="17"/>
          <w:szCs w:val="17"/>
        </w:rPr>
        <w:t xml:space="preserve">▸ Слайд 6</w:t>
      </w:r>
    </w:p>
    <w:p>
      <w:pPr>
        <w:spacing w:after="140" w:line="288"/>
        <w:ind w:firstLine="0"/>
        <w:jc w:val="both"/>
      </w:pPr>
      <w:r>
        <w:t xml:space="preserve">Незалежно від галузі та джерела фінансування, проєкт має сім загальних ознак. Слайд завершується позначкою «+ 4», яка вказує на ознаки, що з'являються завдяки міжнародності; ми розглянемо сім ознак у логічному порядку, а не в порядку слайда.</w:t>
      </w:r>
    </w:p>
    <w:p>
      <w:pPr>
        <w:spacing w:after="140" w:line="288"/>
        <w:ind w:firstLine="0"/>
        <w:jc w:val="both"/>
      </w:pPr>
      <w:r>
        <w:t xml:space="preserve">Дві ознаки випливають із наведених вище визначень. </w:t>
      </w:r>
      <w:r>
        <w:rPr>
          <w:b/>
          <w:bCs/>
        </w:rPr>
        <w:t xml:space="preserve">Тимчасовість</w:t>
      </w:r>
      <w:r>
        <w:t xml:space="preserve"> — наявність визначених дат початку й завершення. </w:t>
      </w:r>
      <w:r>
        <w:rPr>
          <w:b/>
          <w:bCs/>
        </w:rPr>
        <w:t xml:space="preserve">Поетапність реалізації</w:t>
      </w:r>
      <w:r>
        <w:t xml:space="preserve"> — проходження кожним проєктом етапів життєвого циклу, описаного в розділі 3: проєкт не може розпочатися з реалізації, бо їй мають передувати ідея, аналіз і план, і не може завершитися без закриття. Третя ознака, </w:t>
      </w:r>
      <w:r>
        <w:rPr>
          <w:b/>
          <w:bCs/>
        </w:rPr>
        <w:t xml:space="preserve">унікальність результату</w:t>
      </w:r>
      <w:r>
        <w:t xml:space="preserve">, вже розглядалася: навіть у межах стандартної донорської програми кожен проєкт є неповторною комбінацією цілей, контексту, команди та ресурсів.</w:t>
      </w:r>
    </w:p>
    <w:p>
      <w:pPr>
        <w:spacing w:after="140" w:line="288"/>
        <w:ind w:firstLine="0"/>
        <w:jc w:val="both"/>
      </w:pPr>
      <w:r>
        <w:rPr>
          <w:b/>
          <w:bCs/>
        </w:rPr>
        <w:t xml:space="preserve">Цілеспрямованість</w:t>
      </w:r>
      <w:r>
        <w:t xml:space="preserve"> означає, що всі дії підпорядковано наперед визначеній меті та системі індикаторів для вимірювання її досягнення. Саме тому інструменти планування, яких навчатимуть далі, побудовано навколо цілей та індикаторів: захід, який не можна пов'язати з ціллю, не має місця в робочому плані, а ціль, яку не можна виміряти, не може бути предметом звітності. </w:t>
      </w:r>
      <w:r>
        <w:rPr>
          <w:b/>
          <w:bCs/>
        </w:rPr>
        <w:t xml:space="preserve">Обмеженість ресурсів</w:t>
      </w:r>
      <w:r>
        <w:t xml:space="preserve"> означає фіксований бюджет, обмежений персонал і фіксовані часові рамки, які в грантовій роботі, як правило, встановлюються умовами надання гранту.</w:t>
      </w:r>
    </w:p>
    <w:p>
      <w:pPr>
        <w:spacing w:after="140" w:line="288"/>
        <w:ind w:firstLine="0"/>
        <w:jc w:val="both"/>
      </w:pPr>
      <w:r>
        <w:t xml:space="preserve">Дві останні ознаки описують складність роботи. </w:t>
      </w:r>
      <w:r>
        <w:rPr>
          <w:b/>
          <w:bCs/>
        </w:rPr>
        <w:t xml:space="preserve">Складність і міждисциплінарність</w:t>
      </w:r>
      <w:r>
        <w:t xml:space="preserve"> виникають тому, що проєкт потребує компетентностей із кількох галузей: проєкт із цифрових навичок учителів вимагає педагогічної, інформаційно-технологічної, фінансово-адміністративної та комунікаційної експертизи, і хтось має їх поєднати. </w:t>
      </w:r>
      <w:r>
        <w:rPr>
          <w:b/>
          <w:bCs/>
        </w:rPr>
        <w:t xml:space="preserve">Ризикованість і невизначеність</w:t>
      </w:r>
      <w:r>
        <w:t xml:space="preserve"> виникають тому, що деякі детермінанти результату, як-от рішення органів публічної влади чи поведінка цільових груп, не повністю контролюються проєктною командою.</w:t>
      </w:r>
    </w:p>
    <w:p>
      <w:pPr>
        <w:spacing w:after="140" w:line="288"/>
        <w:ind w:firstLine="0"/>
        <w:jc w:val="both"/>
      </w:pPr>
      <w:r>
        <w:t xml:space="preserve">Студенти можуть перевірити цей перелік на добре знайомому проєкті: строк і бюджет видно з самого початку, тоді як невизначеність зазвичай усвідомлюють лише тоді, коли щось іде не так.</w:t>
      </w:r>
    </w:p>
    <w:p>
      <w:pPr>
        <w:pStyle w:val="Heading2"/>
        <w:keepNext/>
      </w:pPr>
      <w:r>
        <w:t xml:space="preserve">Що міжнародні проєкти додають до загальних ознак</w:t>
      </w:r>
    </w:p>
    <w:p>
      <w:pPr>
        <w:keepNext/>
        <w:spacing w:after="40" w:before="120"/>
      </w:pPr>
      <w:r>
        <w:rPr>
          <w:rFonts w:ascii="Calibri" w:cs="Calibri" w:eastAsia="Calibri" w:hAnsi="Calibri"/>
          <w:b/>
          <w:bCs/>
          <w:caps/>
          <w:color w:val="A8841A"/>
          <w:spacing w:val="20"/>
          <w:sz w:val="17"/>
          <w:szCs w:val="17"/>
        </w:rPr>
        <w:t xml:space="preserve">▸ Слайд 7</w:t>
      </w:r>
    </w:p>
    <w:p>
      <w:pPr>
        <w:spacing w:after="140" w:line="288"/>
        <w:ind w:firstLine="0"/>
        <w:jc w:val="both"/>
      </w:pPr>
      <w:r>
        <w:t xml:space="preserve">Міжнародний проєкт додає до семи загальних ознак ще чотири. Слайд виражає це формулою 7 + 4, а разом одинадцять ознак визначають управлінський профіль міжнародного проєкту.</w:t>
      </w:r>
    </w:p>
    <w:p>
      <w:pPr>
        <w:spacing w:after="140" w:line="288"/>
        <w:ind w:firstLine="0"/>
        <w:jc w:val="both"/>
      </w:pPr>
      <w:r>
        <w:rPr>
          <w:b/>
          <w:bCs/>
        </w:rPr>
        <w:t xml:space="preserve">Транснаціональність</w:t>
      </w:r>
      <w:r>
        <w:t xml:space="preserve"> — залучення акторів із різних країн; вона породжує решту ознак, оскільки партнери мають працювати через кордони, часові пояси та правові системи й водночас задовольняти кілька наборів правил. </w:t>
      </w:r>
      <w:r>
        <w:rPr>
          <w:b/>
          <w:bCs/>
        </w:rPr>
        <w:t xml:space="preserve">Донорська орієнтованість</w:t>
      </w:r>
      <w:r>
        <w:t xml:space="preserve"> — підпорядкованість вимогам і процедурам донора. Донор вирішує, які пріоритети фінансуються, як оцінюються заявки, які витрати є допустимими та як звітують про прогрес, і проєкт, який ігнорує ці рішення, не буде профінансований або, якщо його профінансовано, не буде оплачений повністю. Наслідки розглядають лекції 3 і 4.</w:t>
      </w:r>
    </w:p>
    <w:p>
      <w:pPr>
        <w:spacing w:after="140" w:line="288"/>
        <w:ind w:firstLine="0"/>
        <w:jc w:val="both"/>
      </w:pPr>
      <w:r>
        <w:rPr>
          <w:b/>
          <w:bCs/>
        </w:rPr>
        <w:t xml:space="preserve">Підзвітність за міжнародними стандартами</w:t>
      </w:r>
      <w:r>
        <w:t xml:space="preserve"> означає фінансове та змістове звітування відповідно до правил ЄС або інших донорів: проєкт має звітувати про те, що він витратив і чого досяг, у встановленому форматі та у встановлені строки. Лекції 6 і 8 розглядають її дві складові. </w:t>
      </w:r>
      <w:r>
        <w:rPr>
          <w:b/>
          <w:bCs/>
        </w:rPr>
        <w:t xml:space="preserve">Міжкультурний характер</w:t>
      </w:r>
      <w:r>
        <w:t xml:space="preserve"> комунікації й управління відображає різні управлінські традиції та очікування, які привносять партнери; розділ 6 повертається до цього питання на основі даних.</w:t>
      </w:r>
    </w:p>
    <w:p>
      <w:pPr>
        <w:spacing w:after="140" w:line="288"/>
        <w:ind w:firstLine="0"/>
        <w:jc w:val="both"/>
      </w:pPr>
      <w:r>
        <w:t xml:space="preserve">Ці ознаки випливають із критеріїв, наведених у визначенні: зовнішнє фінансування породжує донорську орієнтованість і підзвітність, а багатонаціональні актори — транснаціональність і міжкультурний характер.</w:t>
      </w:r>
    </w:p>
    <w:p>
      <w:pPr>
        <w:pStyle w:val="Heading2"/>
        <w:keepNext/>
      </w:pPr>
      <w:r>
        <w:t xml:space="preserve">Класифікація міжнародних проєктів: п'ять критеріїв</w:t>
      </w:r>
    </w:p>
    <w:p>
      <w:pPr>
        <w:keepNext/>
        <w:spacing w:after="40" w:before="120"/>
      </w:pPr>
      <w:r>
        <w:rPr>
          <w:rFonts w:ascii="Calibri" w:cs="Calibri" w:eastAsia="Calibri" w:hAnsi="Calibri"/>
          <w:b/>
          <w:bCs/>
          <w:caps/>
          <w:color w:val="A8841A"/>
          <w:spacing w:val="20"/>
          <w:sz w:val="17"/>
          <w:szCs w:val="17"/>
        </w:rPr>
        <w:t xml:space="preserve">▸ Слайд 8</w:t>
      </w:r>
    </w:p>
    <w:p>
      <w:pPr>
        <w:spacing w:after="140" w:line="288"/>
        <w:ind w:firstLine="0"/>
        <w:jc w:val="both"/>
      </w:pPr>
      <w:r>
        <w:t xml:space="preserve">Міжнародні проєкти настільки різноманітні, що потрібна певна класифікація. Її мета практична: класифікація допомагає обрати відповідні інструменти управління та виявити застосовні донорські правила. Використовують п'ять критеріїв.</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3634"/>
        <w:gridCol w:w="5436"/>
      </w:tblGrid>
      <w:tr>
        <w:trPr>
          <w:cantSplit/>
          <w:tblHeader/>
        </w:trPr>
        <w:tc>
          <w:tcPr>
            <w:tcW w:type="dxa" w:w="3634"/>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20"/>
                <w:szCs w:val="20"/>
              </w:rPr>
              <w:t xml:space="preserve">Критерій</w:t>
            </w:r>
          </w:p>
        </w:tc>
        <w:tc>
          <w:tcPr>
            <w:tcW w:type="dxa" w:w="5436"/>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20"/>
                <w:szCs w:val="20"/>
              </w:rPr>
              <w:t xml:space="preserve">Типи міжнародних проєктів</w:t>
            </w:r>
          </w:p>
        </w:tc>
      </w:tr>
      <w:tr>
        <w:trPr>
          <w:cantSplit/>
          <w:tblHeader w:val="false"/>
        </w:trPr>
        <w:tc>
          <w:tcPr>
            <w:tcW w:type="dxa" w:w="363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Джерело фінансування</w:t>
            </w:r>
          </w:p>
        </w:tc>
        <w:tc>
          <w:tcPr>
            <w:tcW w:type="dxa" w:w="543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Програми ЄС; міжнародні фінансові інституції; агенції розвитку та донорські фонди; дипломатичні місії та посольства; міжнародні неурядові організації</w:t>
            </w:r>
          </w:p>
        </w:tc>
      </w:tr>
      <w:tr>
        <w:trPr>
          <w:cantSplit/>
          <w:tblHeader w:val="false"/>
        </w:trPr>
        <w:tc>
          <w:tcPr>
            <w:tcW w:type="dxa" w:w="363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Сфера реалізації</w:t>
            </w:r>
          </w:p>
        </w:tc>
        <w:tc>
          <w:tcPr>
            <w:tcW w:type="dxa" w:w="543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Економічні; освітні та наукові; інфраструктурні; гуманітарні; екологічні; врядування та розбудова інституційної спроможності; транскордонне співробітництво</w:t>
            </w:r>
          </w:p>
        </w:tc>
      </w:tr>
      <w:tr>
        <w:trPr>
          <w:cantSplit/>
          <w:tblHeader w:val="false"/>
        </w:trPr>
        <w:tc>
          <w:tcPr>
            <w:tcW w:type="dxa" w:w="363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Масштаб і територіальне охоплення</w:t>
            </w:r>
          </w:p>
        </w:tc>
        <w:tc>
          <w:tcPr>
            <w:tcW w:type="dxa" w:w="543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Локальні; регіональні; національні; транскордонні; транснаціональні; глобальні</w:t>
            </w:r>
          </w:p>
        </w:tc>
      </w:tr>
      <w:tr>
        <w:trPr>
          <w:cantSplit/>
          <w:tblHeader w:val="false"/>
        </w:trPr>
        <w:tc>
          <w:tcPr>
            <w:tcW w:type="dxa" w:w="363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Характер результату</w:t>
            </w:r>
          </w:p>
        </w:tc>
        <w:tc>
          <w:tcPr>
            <w:tcW w:type="dxa" w:w="543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Інвестиційні (капітальні); дослідницькі; консультаційні; технічна допомога; розбудова спроможності</w:t>
            </w:r>
          </w:p>
        </w:tc>
      </w:tr>
      <w:tr>
        <w:trPr>
          <w:cantSplit/>
          <w:tblHeader w:val="false"/>
        </w:trPr>
        <w:tc>
          <w:tcPr>
            <w:tcW w:type="dxa" w:w="363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Кількість учасників</w:t>
            </w:r>
          </w:p>
        </w:tc>
        <w:tc>
          <w:tcPr>
            <w:tcW w:type="dxa" w:w="543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Двосторонні (за участі двох партнерів); багатосторонні (консорціумні)</w:t>
            </w:r>
          </w:p>
        </w:tc>
      </w:tr>
    </w:tbl>
    <w:p>
      <w:pPr>
        <w:spacing w:after="120" w:before="0"/>
      </w:pPr>
    </w:p>
    <w:p>
      <w:pPr>
        <w:spacing w:after="140" w:line="288"/>
        <w:ind w:firstLine="0"/>
        <w:jc w:val="both"/>
      </w:pPr>
      <w:r>
        <w:t xml:space="preserve">Критерії незалежні один від одного, і один проєкт можна одночасно класифікувати за всіма п'ятьма. Проєкт Erasmus+ Capacity Building, використаний як приклад, фінансується ЄС (джерело фінансування), є освітнім (сфера), транснаціональним (масштаб), спрямованим на розбудову спроможності (характер результату) та консорціумним (кількість учасників).</w:t>
      </w:r>
    </w:p>
    <w:p>
      <w:pPr>
        <w:spacing w:after="140" w:line="288"/>
        <w:ind w:firstLine="0"/>
        <w:jc w:val="both"/>
      </w:pPr>
      <w:r>
        <w:t xml:space="preserve">Кожен критерій привертає увагу до окремого управлінського питання. Джерело фінансування вказує, чиї правила застосовуються, сфера реалізації — яка галузева експертиза та технічні стандарти потрібні, а масштаб і територіальне охоплення — скільки юрисдикцій і рівнів влади задіяно. Характер результату вказує, що саме проєкт створює і, відповідно, як верифікується успіх: капітальна інвестиція дає фізичні активи, дослідження — нові знання, консультування — аналіз і поради, технічна допомога передає експертизу, а розбудова спроможності зміцнює здатність інституцій і людей діяти. Останній критерій розрізняє двосторонні та багатосторонні проєкти, у яких консорціум має координувати партнерів із різних країн; другий тип є вимогливішим і становить головний предмет лекції 4.</w:t>
      </w:r>
    </w:p>
    <w:p>
      <w:pPr>
        <w:pStyle w:val="Heading2"/>
        <w:keepNext/>
      </w:pPr>
      <w:r>
        <w:t xml:space="preserve">Хто фінансує міжнародні проєкти?</w:t>
      </w:r>
    </w:p>
    <w:p>
      <w:pPr>
        <w:keepNext/>
        <w:spacing w:after="40" w:before="120"/>
      </w:pPr>
      <w:r>
        <w:rPr>
          <w:rFonts w:ascii="Calibri" w:cs="Calibri" w:eastAsia="Calibri" w:hAnsi="Calibri"/>
          <w:b/>
          <w:bCs/>
          <w:caps/>
          <w:color w:val="A8841A"/>
          <w:spacing w:val="20"/>
          <w:sz w:val="17"/>
          <w:szCs w:val="17"/>
        </w:rPr>
        <w:t xml:space="preserve">▸ Слайд 9</w:t>
      </w:r>
    </w:p>
    <w:p>
      <w:pPr>
        <w:spacing w:after="140" w:line="288"/>
        <w:ind w:firstLine="0"/>
        <w:jc w:val="both"/>
      </w:pPr>
      <w:r>
        <w:t xml:space="preserve">Перший критерій, джерело фінансування, найбільше безпосередньо визначає, що має робити заявник, тому слайд називає п'ять категорій джерел фінансування із прикладами.</w:t>
      </w:r>
    </w:p>
    <w:p>
      <w:pPr>
        <w:spacing w:after="140" w:line="288"/>
        <w:ind w:firstLine="0"/>
        <w:jc w:val="both"/>
      </w:pPr>
      <w:r>
        <w:t xml:space="preserve">Першу категорію становлять </w:t>
      </w:r>
      <w:r>
        <w:rPr>
          <w:b/>
          <w:bCs/>
        </w:rPr>
        <w:t xml:space="preserve">програми ЄС</w:t>
      </w:r>
      <w:r>
        <w:t xml:space="preserve">, наприклад «Горизонт Європа», Erasmus+, Interreg та EU4Business. Другу — </w:t>
      </w:r>
      <w:r>
        <w:rPr>
          <w:b/>
          <w:bCs/>
        </w:rPr>
        <w:t xml:space="preserve">міжнародні фінансові інституції</w:t>
      </w:r>
      <w:r>
        <w:t xml:space="preserve">, як-от Світовий банк, ЄБРР і ЄІБ. Третю — </w:t>
      </w:r>
      <w:r>
        <w:rPr>
          <w:b/>
          <w:bCs/>
        </w:rPr>
        <w:t xml:space="preserve">агенції розвитку та донорські фонди</w:t>
      </w:r>
      <w:r>
        <w:t xml:space="preserve">, наприклад USAID, GIZ, SIDA та Європейський фонд за демократію. Четверту — </w:t>
      </w:r>
      <w:r>
        <w:rPr>
          <w:b/>
          <w:bCs/>
        </w:rPr>
        <w:t xml:space="preserve">дипломатичні місії</w:t>
      </w:r>
      <w:r>
        <w:t xml:space="preserve">, чиї посольства реалізують проєкти малих грантів. П'яту — </w:t>
      </w:r>
      <w:r>
        <w:rPr>
          <w:b/>
          <w:bCs/>
        </w:rPr>
        <w:t xml:space="preserve">міжнародні неурядові організації</w:t>
      </w:r>
      <w:r>
        <w:t xml:space="preserve">, проєкти яких утворюють окрему категорію.</w:t>
      </w:r>
    </w:p>
    <w:p>
      <w:pPr>
        <w:spacing w:after="140" w:line="288"/>
        <w:ind w:firstLine="0"/>
        <w:jc w:val="both"/>
      </w:pPr>
      <w:r>
        <w:t xml:space="preserve">Зауваження щодо актуальності інформації стосується одного з цих прикладів. USAID припинило діяльність 1 липня 2025 р., коли решту програм зовнішньої допомоги США було передано Державному департаменту США; Конгрес агенцію формально не ліквідував, але вона більше не функціонує як донор. Її збережено тут як приклад двосторонньої агенції розвитку, тому що значна частина проєктної документації, з якою зустрічатимуться студенти, створена за її правилами; щодо актуальних можливостей студентам слід завжди звертатися до офіційного сайту відповідного донора.</w:t>
      </w:r>
    </w:p>
    <w:p>
      <w:pPr>
        <w:spacing w:after="160" w:before="40"/>
        <w:jc w:val="left"/>
      </w:pPr>
      <w:r>
        <w:rPr>
          <w:rFonts w:ascii="Times New Roman" w:cs="Times New Roman" w:eastAsia="Times New Roman" w:hAnsi="Times New Roman"/>
          <w:i/>
          <w:iCs/>
          <w:color w:val="5F6B85"/>
          <w:sz w:val="19"/>
          <w:szCs w:val="19"/>
        </w:rPr>
        <w:t xml:space="preserve">Джерела: ABC News, “USAID programs now being run by State Department as agency ends operations” (липень 2025 р.); Donor Tracker, “US government announces official closure of USAID” (2025); “United States Agency for International Development”, Wikipedia (дата звернення: вересень 2026 р.).</w:t>
      </w:r>
    </w:p>
    <w:p>
      <w:pPr>
        <w:spacing w:after="140" w:line="288"/>
        <w:ind w:firstLine="0"/>
        <w:jc w:val="both"/>
      </w:pPr>
      <w:r>
        <w:t xml:space="preserve">Кожна категорія має власні пріоритети, процедури та обсяги фінансування. Заявник, який знає, до якої категорії належить донор, може багато що передбачити: якого розміру ймовірно буде проєкт, чи очікується консорціум, яку методологію застосовує донор і скільки звітності настане після схвалення. Малий грант посольства й рамкова програма ЄС однаково є «міжнародними» у визначеному вище розумінні, але суттєво відрізняються розміром консорціуму та складністю заявки й супровідної документації. Лекція 4 систематично розглядає спектр донорів; вибір донора є першим стратегічним рішенням у міжнародній проєктній діяльності й передує використанню інструментів планування, описаних у наступних розділах.</w:t>
      </w:r>
    </w:p>
    <w:p>
      <w:pPr>
        <w:pStyle w:val="Heading1"/>
        <w:keepNext/>
      </w:pPr>
      <w:r>
        <w:t xml:space="preserve">2. Проєкт, програма, портфель проєктів: співвідношення понять у міжнародному менеджменті</w:t>
      </w:r>
    </w:p>
    <w:p>
      <w:pPr>
        <w:keepNext/>
        <w:spacing w:after="40" w:before="120"/>
      </w:pPr>
      <w:r>
        <w:rPr>
          <w:rFonts w:ascii="Calibri" w:cs="Calibri" w:eastAsia="Calibri" w:hAnsi="Calibri"/>
          <w:b/>
          <w:bCs/>
          <w:caps/>
          <w:color w:val="A8841A"/>
          <w:spacing w:val="20"/>
          <w:sz w:val="17"/>
          <w:szCs w:val="17"/>
        </w:rPr>
        <w:t xml:space="preserve">▸ Слайд 10</w:t>
      </w:r>
    </w:p>
    <w:p>
      <w:pPr>
        <w:spacing w:after="140" w:line="288"/>
        <w:ind w:firstLine="0"/>
        <w:jc w:val="both"/>
      </w:pPr>
      <w:r>
        <w:t xml:space="preserve">Слова «проєкт», «програма» й «портфель» у повсякденному мовленні вживають вільно, а донорські документи можуть називати конкурс програмою, грант — проєктом, а набір грантів — портфелем без додаткових пояснень. В управлінні проєктами вони позначають три різні рівні. Розділовий слайд ставить запитання, що обґрунтовують це розмежування: чому воно важливе для інструментів, рішень і звітності; чим скоординовані вигоди відрізняються від стратегічного узгодження; і що означає розрізняти «робити роботу правильно» та «робити правильну роботу».</w:t>
      </w:r>
    </w:p>
    <w:p>
      <w:pPr>
        <w:pStyle w:val="Heading2"/>
        <w:keepNext/>
      </w:pPr>
      <w:r>
        <w:t xml:space="preserve">Три рівні управління в міжнародній проєктній діяльності</w:t>
      </w:r>
    </w:p>
    <w:p>
      <w:pPr>
        <w:keepNext/>
        <w:spacing w:after="40" w:before="120"/>
      </w:pPr>
      <w:r>
        <w:rPr>
          <w:rFonts w:ascii="Calibri" w:cs="Calibri" w:eastAsia="Calibri" w:hAnsi="Calibri"/>
          <w:b/>
          <w:bCs/>
          <w:caps/>
          <w:color w:val="A8841A"/>
          <w:spacing w:val="20"/>
          <w:sz w:val="17"/>
          <w:szCs w:val="17"/>
        </w:rPr>
        <w:t xml:space="preserve">▸ Слайд 11</w:t>
      </w:r>
    </w:p>
    <w:p>
      <w:pPr>
        <w:spacing w:after="140" w:line="288"/>
        <w:ind w:firstLine="0"/>
        <w:jc w:val="both"/>
      </w:pPr>
      <w:r>
        <w:t xml:space="preserve">Слайд розміщує три поняття ієрархічно: портфель — угорі, проєкт — в основі.</w:t>
      </w:r>
    </w:p>
    <w:p>
      <w:pPr>
        <w:pBdr>
          <w:left w:val="single" w:color="1B2A4A" w:sz="18" w:space="10"/>
        </w:pBdr>
        <w:spacing w:after="60" w:before="120" w:line="276"/>
        <w:ind w:left="454" w:right="340"/>
        <w:jc w:val="both"/>
      </w:pPr>
      <w:r>
        <w:rPr>
          <w:rFonts w:ascii="Times New Roman" w:cs="Times New Roman" w:eastAsia="Times New Roman" w:hAnsi="Times New Roman"/>
          <w:b/>
          <w:bCs/>
          <w:i/>
          <w:iCs/>
          <w:color w:val="1B2A4A"/>
          <w:sz w:val="24"/>
          <w:szCs w:val="24"/>
        </w:rPr>
        <w:t xml:space="preserve">Проєкт:</w:t>
      </w:r>
      <w:r>
        <w:rPr>
          <w:rFonts w:ascii="Times New Roman" w:cs="Times New Roman" w:eastAsia="Times New Roman" w:hAnsi="Times New Roman"/>
          <w:i/>
          <w:iCs/>
          <w:color w:val="1B2A4A"/>
          <w:sz w:val="24"/>
          <w:szCs w:val="24"/>
        </w:rPr>
        <w:t xml:space="preserve"> тимчасове зусилля, що докладається для досягнення конкретного, вимірюваного результату в межах визначених часових рамок і бюджету.</w:t>
      </w:r>
    </w:p>
    <w:p>
      <w:pPr>
        <w:pBdr>
          <w:left w:val="single" w:color="1B2A4A" w:sz="18" w:space="10"/>
        </w:pBdr>
        <w:spacing w:after="60" w:before="0" w:line="276"/>
        <w:ind w:left="454" w:right="340"/>
        <w:jc w:val="both"/>
      </w:pPr>
      <w:r>
        <w:rPr>
          <w:rFonts w:ascii="Times New Roman" w:cs="Times New Roman" w:eastAsia="Times New Roman" w:hAnsi="Times New Roman"/>
          <w:b/>
          <w:bCs/>
          <w:i/>
          <w:iCs/>
          <w:color w:val="1B2A4A"/>
          <w:sz w:val="24"/>
          <w:szCs w:val="24"/>
        </w:rPr>
        <w:t xml:space="preserve">Програма:</w:t>
      </w:r>
      <w:r>
        <w:rPr>
          <w:rFonts w:ascii="Times New Roman" w:cs="Times New Roman" w:eastAsia="Times New Roman" w:hAnsi="Times New Roman"/>
          <w:i/>
          <w:iCs/>
          <w:color w:val="1B2A4A"/>
          <w:sz w:val="24"/>
          <w:szCs w:val="24"/>
        </w:rPr>
        <w:t xml:space="preserve"> група взаємопов'язаних проєктів, підпроєктів і програмних заходів, якими управляють скоординовано, щоб отримати вигоди, недоступні за окремого управління ними.</w:t>
      </w:r>
    </w:p>
    <w:p>
      <w:pPr>
        <w:pBdr>
          <w:left w:val="single" w:color="1B2A4A" w:sz="18" w:space="10"/>
        </w:pBdr>
        <w:spacing w:after="200" w:before="0" w:line="276"/>
        <w:ind w:left="454" w:right="340"/>
        <w:jc w:val="both"/>
      </w:pPr>
      <w:r>
        <w:rPr>
          <w:rFonts w:ascii="Times New Roman" w:cs="Times New Roman" w:eastAsia="Times New Roman" w:hAnsi="Times New Roman"/>
          <w:b/>
          <w:bCs/>
          <w:i/>
          <w:iCs/>
          <w:color w:val="1B2A4A"/>
          <w:sz w:val="24"/>
          <w:szCs w:val="24"/>
        </w:rPr>
        <w:t xml:space="preserve">Портфель:</w:t>
      </w:r>
      <w:r>
        <w:rPr>
          <w:rFonts w:ascii="Times New Roman" w:cs="Times New Roman" w:eastAsia="Times New Roman" w:hAnsi="Times New Roman"/>
          <w:i/>
          <w:iCs/>
          <w:color w:val="1B2A4A"/>
          <w:sz w:val="24"/>
          <w:szCs w:val="24"/>
        </w:rPr>
        <w:t xml:space="preserve"> сукупність проєктів, програм, підпортфелів і операційної діяльності, якими управляють як групою для досягнення стратегічних цілей організації.</w:t>
      </w:r>
    </w:p>
    <w:p>
      <w:pPr>
        <w:spacing w:after="140" w:line="288"/>
        <w:ind w:firstLine="0"/>
        <w:jc w:val="both"/>
      </w:pPr>
      <w:r>
        <w:t xml:space="preserve">На рівні </w:t>
      </w:r>
      <w:r>
        <w:rPr>
          <w:b/>
          <w:bCs/>
        </w:rPr>
        <w:t xml:space="preserve">проєкту</w:t>
      </w:r>
      <w:r>
        <w:t xml:space="preserve"> менеджер запитує, чи роботу виконують правильно: чи дотримуються строків, чи витримується бюджет і чи забезпечується зміст проєкту (scope), тобто узгоджений обсяг робіт. Слайд підсумовує цю орієнтацію як «робити роботу правильно».</w:t>
      </w:r>
    </w:p>
    <w:p>
      <w:pPr>
        <w:spacing w:after="140" w:line="288"/>
        <w:ind w:firstLine="0"/>
        <w:jc w:val="both"/>
      </w:pPr>
      <w:r>
        <w:rPr>
          <w:b/>
          <w:bCs/>
        </w:rPr>
        <w:t xml:space="preserve">Програма</w:t>
      </w:r>
      <w:r>
        <w:t xml:space="preserve"> об'єднує взаємопов'язані проєкти так, щоб вони створювали те, чого жоден із них не міг би створити самостійно. Приклад, що використовується в цьому курсі, — «Горизонт Європа», рамкова програма, у межах якої фінансується дуже велика кількість окремих дослідницьких та інноваційних проєктів, об'єднаних метою посилення наукового й інноваційного потенціалу Європи. Тому управління програмою узгоджує цілі окремих проєктів зі стратегічними пріоритетами, розподіляє між ними ресурси та керує залежностями між ними, наприклад коли результати одного проєкту є вхідними даними для іншого. Ключове слово на слайді — </w:t>
      </w:r>
      <w:r>
        <w:rPr>
          <w:i/>
          <w:iCs/>
        </w:rPr>
        <w:t xml:space="preserve">синергія</w:t>
      </w:r>
      <w:r>
        <w:t xml:space="preserve">.</w:t>
      </w:r>
    </w:p>
    <w:p>
      <w:pPr>
        <w:spacing w:after="140" w:line="288"/>
        <w:ind w:firstLine="0"/>
        <w:jc w:val="both"/>
      </w:pPr>
      <w:r>
        <w:rPr>
          <w:b/>
          <w:bCs/>
        </w:rPr>
        <w:t xml:space="preserve">Портфель</w:t>
      </w:r>
      <w:r>
        <w:t xml:space="preserve"> визначається стратегією, а не функціональним зв'язком. Його складниками можуть бути проєкти, програми, підпортфелі та операційна діяльність, які не мають нічого спільного, окрім того, що обслуговують стратегію однієї організації: портфель міжнародних проєктів університету може містити освітні, дослідницькі та інфраструктурні проєкти, що фінансуються різними донорами. Менеджер портфеля запитує, чи береться організація взагалі за правильні ініціативи і як слід розподілити дефіцитний персонал і співфінансування: «робити правильну роботу».</w:t>
      </w:r>
    </w:p>
    <w:p>
      <w:pPr>
        <w:spacing w:after="140" w:line="288"/>
        <w:ind w:firstLine="0"/>
        <w:jc w:val="both"/>
      </w:pPr>
      <w:r>
        <w:t xml:space="preserve">Три рівні залежать від точки зору. Та сама ініціатива є проєктом для своєї команди, складником програми для донора, який її фінансує, і позицією в портфелі університету, який її реалізує. Тому заявнику слід запитати, на якому рівні говорить конкурс, і показати в пропозиції, як проєкт сприяє досягненню цілей програми.</w:t>
      </w:r>
    </w:p>
    <w:p>
      <w:pPr>
        <w:pStyle w:val="Heading2"/>
        <w:keepNext/>
      </w:pPr>
      <w:r>
        <w:t xml:space="preserve">Проєкт, програма та портфель: порівняння</w:t>
      </w:r>
    </w:p>
    <w:p>
      <w:pPr>
        <w:keepNext/>
        <w:spacing w:after="40" w:before="120"/>
      </w:pPr>
      <w:r>
        <w:rPr>
          <w:rFonts w:ascii="Calibri" w:cs="Calibri" w:eastAsia="Calibri" w:hAnsi="Calibri"/>
          <w:b/>
          <w:bCs/>
          <w:caps/>
          <w:color w:val="A8841A"/>
          <w:spacing w:val="20"/>
          <w:sz w:val="17"/>
          <w:szCs w:val="17"/>
        </w:rPr>
        <w:t xml:space="preserve">▸ Слайд 12</w:t>
      </w:r>
    </w:p>
    <w:p>
      <w:pPr>
        <w:spacing w:after="140" w:line="288"/>
        <w:ind w:firstLine="0"/>
        <w:jc w:val="both"/>
      </w:pPr>
      <w:r>
        <w:t xml:space="preserve">Таблиця на слайді зіставляє три поняття.</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773"/>
        <w:gridCol w:w="2139"/>
        <w:gridCol w:w="2574"/>
        <w:gridCol w:w="2584"/>
      </w:tblGrid>
      <w:tr>
        <w:trPr>
          <w:cantSplit/>
          <w:tblHeader/>
        </w:trPr>
        <w:tc>
          <w:tcPr>
            <w:tcW w:type="dxa" w:w="1773"/>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17"/>
                <w:szCs w:val="17"/>
              </w:rPr>
              <w:t xml:space="preserve">Параметр</w:t>
            </w:r>
          </w:p>
        </w:tc>
        <w:tc>
          <w:tcPr>
            <w:tcW w:type="dxa" w:w="2139"/>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17"/>
                <w:szCs w:val="17"/>
              </w:rPr>
              <w:t xml:space="preserve">Проєкт</w:t>
            </w:r>
          </w:p>
        </w:tc>
        <w:tc>
          <w:tcPr>
            <w:tcW w:type="dxa" w:w="2574"/>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17"/>
                <w:szCs w:val="17"/>
              </w:rPr>
              <w:t xml:space="preserve">Програма</w:t>
            </w:r>
          </w:p>
        </w:tc>
        <w:tc>
          <w:tcPr>
            <w:tcW w:type="dxa" w:w="2584"/>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17"/>
                <w:szCs w:val="17"/>
              </w:rPr>
              <w:t xml:space="preserve">Портфель</w:t>
            </w:r>
          </w:p>
        </w:tc>
      </w:tr>
      <w:tr>
        <w:trPr>
          <w:cantSplit/>
          <w:tblHeader w:val="false"/>
        </w:trPr>
        <w:tc>
          <w:tcPr>
            <w:tcW w:type="dxa" w:w="1773"/>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17"/>
                <w:szCs w:val="17"/>
              </w:rPr>
              <w:t xml:space="preserve">Сутність</w:t>
            </w:r>
          </w:p>
        </w:tc>
        <w:tc>
          <w:tcPr>
            <w:tcW w:type="dxa" w:w="2139"/>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Тимчасове зусилля для досягнення конкретного, вимірюваного результату</w:t>
            </w:r>
          </w:p>
        </w:tc>
        <w:tc>
          <w:tcPr>
            <w:tcW w:type="dxa" w:w="257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Група взаємопов'язаних проєктів і програмних заходів</w:t>
            </w:r>
          </w:p>
        </w:tc>
        <w:tc>
          <w:tcPr>
            <w:tcW w:type="dxa" w:w="258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Сукупність проєктів, програм і операційної діяльності</w:t>
            </w:r>
          </w:p>
        </w:tc>
      </w:tr>
      <w:tr>
        <w:trPr>
          <w:cantSplit/>
          <w:tblHeader w:val="false"/>
        </w:trPr>
        <w:tc>
          <w:tcPr>
            <w:tcW w:type="dxa" w:w="1773"/>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17"/>
                <w:szCs w:val="17"/>
              </w:rPr>
              <w:t xml:space="preserve">Зв'язок між складниками</w:t>
            </w:r>
          </w:p>
        </w:tc>
        <w:tc>
          <w:tcPr>
            <w:tcW w:type="dxa" w:w="2139"/>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w:t>
            </w:r>
          </w:p>
        </w:tc>
        <w:tc>
          <w:tcPr>
            <w:tcW w:type="dxa" w:w="257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Функціонально взаємопов'язані</w:t>
            </w:r>
          </w:p>
        </w:tc>
        <w:tc>
          <w:tcPr>
            <w:tcW w:type="dxa" w:w="258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Не обов'язково взаємопов'язані; об'єднані стратегією</w:t>
            </w:r>
          </w:p>
        </w:tc>
      </w:tr>
      <w:tr>
        <w:trPr>
          <w:cantSplit/>
          <w:tblHeader w:val="false"/>
        </w:trPr>
        <w:tc>
          <w:tcPr>
            <w:tcW w:type="dxa" w:w="1773"/>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17"/>
                <w:szCs w:val="17"/>
              </w:rPr>
              <w:t xml:space="preserve">Фокус управління</w:t>
            </w:r>
          </w:p>
        </w:tc>
        <w:tc>
          <w:tcPr>
            <w:tcW w:type="dxa" w:w="2139"/>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Строки, бюджет, зміст</w:t>
            </w:r>
          </w:p>
        </w:tc>
        <w:tc>
          <w:tcPr>
            <w:tcW w:type="dxa" w:w="257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Координація для отримання синергетичного ефекту</w:t>
            </w:r>
          </w:p>
        </w:tc>
        <w:tc>
          <w:tcPr>
            <w:tcW w:type="dxa" w:w="258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Стратегічний відбір і визначення пріоритетів</w:t>
            </w:r>
          </w:p>
        </w:tc>
      </w:tr>
      <w:tr>
        <w:trPr>
          <w:cantSplit/>
          <w:tblHeader w:val="false"/>
        </w:trPr>
        <w:tc>
          <w:tcPr>
            <w:tcW w:type="dxa" w:w="1773"/>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b/>
                <w:bCs/>
                <w:color w:val="1F2533"/>
                <w:sz w:val="17"/>
                <w:szCs w:val="17"/>
              </w:rPr>
              <w:t xml:space="preserve">Приклад</w:t>
            </w:r>
          </w:p>
        </w:tc>
        <w:tc>
          <w:tcPr>
            <w:tcW w:type="dxa" w:w="2139"/>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17"/>
                <w:szCs w:val="17"/>
              </w:rPr>
              <w:t xml:space="preserve">Окремий проєкт Erasmus+</w:t>
            </w:r>
          </w:p>
        </w:tc>
        <w:tc>
          <w:tcPr>
            <w:tcW w:type="dxa" w:w="257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17"/>
                <w:szCs w:val="17"/>
              </w:rPr>
              <w:t xml:space="preserve">Рамкова програма ЄС «Горизонт Європа»</w:t>
            </w:r>
          </w:p>
        </w:tc>
        <w:tc>
          <w:tcPr>
            <w:tcW w:type="dxa" w:w="258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17"/>
                <w:szCs w:val="17"/>
              </w:rPr>
              <w:t xml:space="preserve">Портфель міжнародних проєктів університету</w:t>
            </w:r>
          </w:p>
        </w:tc>
      </w:tr>
    </w:tbl>
    <w:p>
      <w:pPr>
        <w:spacing w:after="120" w:before="0"/>
      </w:pPr>
    </w:p>
    <w:p>
      <w:pPr>
        <w:spacing w:after="140" w:line="288"/>
        <w:ind w:firstLine="0"/>
        <w:jc w:val="both"/>
      </w:pPr>
      <w:r>
        <w:t xml:space="preserve">Читання таблиці за рядками виявляє логіку класифікації. Рядок </w:t>
      </w:r>
      <w:r>
        <w:rPr>
          <w:i/>
          <w:iCs/>
        </w:rPr>
        <w:t xml:space="preserve">сутність</w:t>
      </w:r>
      <w:r>
        <w:t xml:space="preserve"> переходить від одного результату до групи взаємопов'язаних зусиль, а потім до змішаної сукупності, що може включати безперервну операційну діяльність. Рядок </w:t>
      </w:r>
      <w:r>
        <w:rPr>
          <w:i/>
          <w:iCs/>
        </w:rPr>
        <w:t xml:space="preserve">зв'язок між складниками</w:t>
      </w:r>
      <w:r>
        <w:t xml:space="preserve"> фіксує вирішальну різницю між програмою та портфелем: складники програми функціонально взаємопов'язані, і їх координація є її метою, тоді як складники портфеля об'єднані лише вибором організації. Клітинка для проєкту порожня, тому що на цьому рівні проєкт не має складників. Рядок </w:t>
      </w:r>
      <w:r>
        <w:rPr>
          <w:i/>
          <w:iCs/>
        </w:rPr>
        <w:t xml:space="preserve">фокус управління</w:t>
      </w:r>
      <w:r>
        <w:t xml:space="preserve"> зазначає, що робить менеджер на кожному рівні.</w:t>
      </w:r>
    </w:p>
    <w:p>
      <w:pPr>
        <w:spacing w:after="140" w:line="288"/>
        <w:ind w:firstLine="0"/>
        <w:jc w:val="both"/>
      </w:pPr>
      <w:r>
        <w:t xml:space="preserve">Це розмежування є методологічно фундаментальним, бо воно визначає вибір інструментів управління, рівень, на якому ухвалюють рішення, та систему звітності. Проєктна команда користується робочим планом, бюджетом і реєстром ризиків; програмі потрібні інструменти відстеження вигод і залежностей між проєктами; портфелю потрібні критерії відбору та визначення пріоритетів. Рішення щодо змісту належать до рівня проєкту, щодо балансу між проєктами — до рівня програми, а щодо того, які ініціативи взагалі слід починати, — до рівня портфеля. Звітність відповідає тій самій схемі: від результатів щодо індикаторів до агрегованих результатів і стратегічної відповідності. </w:t>
      </w:r>
      <w:r>
        <w:rPr>
          <w:i/>
          <w:iCs/>
        </w:rPr>
        <w:t xml:space="preserve">Standard for Program Management</w:t>
      </w:r>
      <w:r>
        <w:t xml:space="preserve"> Інституту PMI з переліку рекомендованої літератури є довідковим джерелом для рівня програми.</w:t>
      </w:r>
    </w:p>
    <w:p>
      <w:pPr>
        <w:spacing w:after="140" w:line="288"/>
        <w:ind w:firstLine="0"/>
        <w:jc w:val="both"/>
      </w:pPr>
      <w:r>
        <w:t xml:space="preserve">Простий тест перевіряє розуміння: рамкова програма «Горизонт Європа» належить до колонки програми, окремий дослідницький проєкт «Горизонту Європа» — до колонки проєкту, а повний набір міжнародних проєктів університету — до колонки портфеля. Ті самі приклади відповідають на друге запитання для самоконтролю; так само добре підходить Erasmus+: як програма, як фінансований консорціум і як інституційна сукупність проєктів.</w:t>
      </w:r>
    </w:p>
    <w:p>
      <w:pPr>
        <w:pStyle w:val="Heading1"/>
        <w:keepNext/>
      </w:pPr>
      <w:r>
        <w:t xml:space="preserve">3. Життєвий цикл міжнародного проєкту</w:t>
      </w:r>
    </w:p>
    <w:p>
      <w:pPr>
        <w:keepNext/>
        <w:spacing w:after="40" w:before="120"/>
      </w:pPr>
      <w:r>
        <w:rPr>
          <w:rFonts w:ascii="Calibri" w:cs="Calibri" w:eastAsia="Calibri" w:hAnsi="Calibri"/>
          <w:b/>
          <w:bCs/>
          <w:caps/>
          <w:color w:val="A8841A"/>
          <w:spacing w:val="20"/>
          <w:sz w:val="17"/>
          <w:szCs w:val="17"/>
        </w:rPr>
        <w:t xml:space="preserve">▸ Слайд 13</w:t>
      </w:r>
    </w:p>
    <w:p>
      <w:pPr>
        <w:spacing w:after="140" w:line="288"/>
        <w:ind w:firstLine="0"/>
        <w:jc w:val="both"/>
      </w:pPr>
      <w:r>
        <w:t xml:space="preserve">Проєкти тимчасові, і вони розгортаються в часі. Розділ 3 описує це розгортання. Розділовий слайд ставить три запитання: які шість фаз проходить проєкт від ініціювання до закриття; як вони відповідають управлінню проєктним циклом, що його застосовують Європейська Комісія та більшість донорів; і чому цикл є ітеративним, а не лінійним? Розділ також слугує мапою решти курсу, оскільки кожна наступна лекція розглядає одну чи кілька фаз.</w:t>
      </w:r>
    </w:p>
    <w:p>
      <w:pPr>
        <w:pStyle w:val="Heading2"/>
        <w:keepNext/>
      </w:pPr>
      <w:r>
        <w:t xml:space="preserve">Шість фаз життєвого циклу міжнародного проєкту</w:t>
      </w:r>
    </w:p>
    <w:p>
      <w:pPr>
        <w:keepNext/>
        <w:spacing w:after="40" w:before="120"/>
      </w:pPr>
      <w:r>
        <w:rPr>
          <w:rFonts w:ascii="Calibri" w:cs="Calibri" w:eastAsia="Calibri" w:hAnsi="Calibri"/>
          <w:b/>
          <w:bCs/>
          <w:caps/>
          <w:color w:val="A8841A"/>
          <w:spacing w:val="20"/>
          <w:sz w:val="17"/>
          <w:szCs w:val="17"/>
        </w:rPr>
        <w:t xml:space="preserve">▸ Слайд 14</w:t>
      </w:r>
    </w:p>
    <w:p>
      <w:pPr>
        <w:pBdr>
          <w:left w:val="single" w:color="1B2A4A" w:sz="18" w:space="10"/>
        </w:pBdr>
        <w:spacing w:after="200" w:before="120" w:line="276"/>
        <w:ind w:left="454" w:right="340"/>
        <w:jc w:val="both"/>
      </w:pPr>
      <w:r>
        <w:rPr>
          <w:rFonts w:ascii="Times New Roman" w:cs="Times New Roman" w:eastAsia="Times New Roman" w:hAnsi="Times New Roman"/>
          <w:i/>
          <w:iCs/>
          <w:color w:val="1B2A4A"/>
          <w:sz w:val="24"/>
          <w:szCs w:val="24"/>
        </w:rPr>
        <w:t xml:space="preserve">Життєвий цикл проєкту — це послідовність фаз, через які проєкт проходить від виникнення до завершення.</w:t>
      </w:r>
    </w:p>
    <w:p>
      <w:pPr>
        <w:spacing w:after="140" w:line="288"/>
        <w:ind w:firstLine="0"/>
        <w:jc w:val="both"/>
      </w:pPr>
      <w:r>
        <w:t xml:space="preserve">У міжнародній проєктній діяльності найпоширеніша модель узгоджується з логікою управління проєктним циклом (PCM), яку використовують Європейська Комісія та більшість донорських організацій. Слайд називає шість фаз: ініціювання, планування, реалізація, моніторинг, оцінювання та закриття. Корисно простежити кожну фазу, запитуючи, яка робота виконується, який документ створюється і яке рішення її завершує.</w:t>
      </w:r>
    </w:p>
    <w:p>
      <w:pPr>
        <w:spacing w:after="140" w:line="288"/>
        <w:ind w:firstLine="0"/>
        <w:jc w:val="both"/>
      </w:pPr>
      <w:r>
        <w:t xml:space="preserve">На етапі </w:t>
      </w:r>
      <w:r>
        <w:rPr>
          <w:b/>
          <w:bCs/>
        </w:rPr>
        <w:t xml:space="preserve">ініціювання</w:t>
      </w:r>
      <w:r>
        <w:t xml:space="preserve"> аналізується контекст, ідентифікуються проблеми та потреби цільових груп, формулюється проєктна ідея й оцінюється її попередня відповідність стратегічним пріоритетам донора. Фаза завершується рішенням про те, чи доцільно взагалі розробляти проєктну пропозицію, — так званим рішенням «go / no-go». На етапі </w:t>
      </w:r>
      <w:r>
        <w:rPr>
          <w:b/>
          <w:bCs/>
        </w:rPr>
        <w:t xml:space="preserve">планування</w:t>
      </w:r>
      <w:r>
        <w:t xml:space="preserve"> ідея перетворюється на дизайн: формулюються цілі та результати, будується логічна матриця (логфрейм), визначаються індикатори, складаються бюджет, графік і план управління ризиками. Фаза створює грантову заявку і завершується рішенням про її подання.</w:t>
      </w:r>
    </w:p>
    <w:p>
      <w:pPr>
        <w:spacing w:after="140" w:line="288"/>
        <w:ind w:firstLine="0"/>
        <w:jc w:val="both"/>
      </w:pPr>
      <w:r>
        <w:rPr>
          <w:b/>
          <w:bCs/>
        </w:rPr>
        <w:t xml:space="preserve">Реалізація</w:t>
      </w:r>
      <w:r>
        <w:t xml:space="preserve"> — це практичне виконання запланованих заходів: використовуються ресурси, координуються партнери, здійснюється управління командою та документообігом. </w:t>
      </w:r>
      <w:r>
        <w:rPr>
          <w:b/>
          <w:bCs/>
        </w:rPr>
        <w:t xml:space="preserve">Моніторинг</w:t>
      </w:r>
      <w:r>
        <w:t xml:space="preserve"> — це систематичне відстеження прогресу щодо запланованих індикаторів, яке надає управлінню актуальну інформацію для ухвалення рішень. </w:t>
      </w:r>
      <w:r>
        <w:rPr>
          <w:b/>
          <w:bCs/>
        </w:rPr>
        <w:t xml:space="preserve">Оцінювання</w:t>
      </w:r>
      <w:r>
        <w:t xml:space="preserve"> — це оцінка релевантності, результативності, ефективності, впливу та сталості проєкту. </w:t>
      </w:r>
      <w:r>
        <w:rPr>
          <w:b/>
          <w:bCs/>
        </w:rPr>
        <w:t xml:space="preserve">Закриття</w:t>
      </w:r>
      <w:r>
        <w:t xml:space="preserve"> охоплює підсумкові звіти, передання результатів бенефіціарам, архівування документів і узагальнення набутих уроків.</w:t>
      </w:r>
    </w:p>
    <w:p>
      <w:pPr>
        <w:spacing w:after="140" w:line="288"/>
        <w:ind w:firstLine="0"/>
        <w:jc w:val="both"/>
      </w:pPr>
      <w:r>
        <w:t xml:space="preserve">Наступний слайд робить відповідність PCM явною.</w:t>
      </w:r>
    </w:p>
    <w:p>
      <w:pPr>
        <w:pStyle w:val="Heading2"/>
        <w:keepNext/>
      </w:pPr>
      <w:r>
        <w:t xml:space="preserve">Фази, еквіваленти PCM і ключові результати</w:t>
      </w:r>
    </w:p>
    <w:p>
      <w:pPr>
        <w:keepNext/>
        <w:spacing w:after="40" w:before="120"/>
      </w:pPr>
      <w:r>
        <w:rPr>
          <w:rFonts w:ascii="Calibri" w:cs="Calibri" w:eastAsia="Calibri" w:hAnsi="Calibri"/>
          <w:b/>
          <w:bCs/>
          <w:caps/>
          <w:color w:val="A8841A"/>
          <w:spacing w:val="20"/>
          <w:sz w:val="17"/>
          <w:szCs w:val="17"/>
        </w:rPr>
        <w:t xml:space="preserve">▸ Слайд 15</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169"/>
        <w:gridCol w:w="2803"/>
        <w:gridCol w:w="4098"/>
      </w:tblGrid>
      <w:tr>
        <w:trPr>
          <w:cantSplit/>
          <w:tblHeader/>
        </w:trPr>
        <w:tc>
          <w:tcPr>
            <w:tcW w:type="dxa" w:w="2169"/>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20"/>
                <w:szCs w:val="20"/>
              </w:rPr>
              <w:t xml:space="preserve">Фаза</w:t>
            </w:r>
          </w:p>
        </w:tc>
        <w:tc>
          <w:tcPr>
            <w:tcW w:type="dxa" w:w="2803"/>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20"/>
                <w:szCs w:val="20"/>
              </w:rPr>
              <w:t xml:space="preserve">Еквівалент PCM</w:t>
            </w:r>
          </w:p>
        </w:tc>
        <w:tc>
          <w:tcPr>
            <w:tcW w:type="dxa" w:w="4098"/>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20"/>
                <w:szCs w:val="20"/>
              </w:rPr>
              <w:t xml:space="preserve">Ключовий зміст і результати</w:t>
            </w:r>
          </w:p>
        </w:tc>
      </w:tr>
      <w:tr>
        <w:trPr>
          <w:cantSplit/>
          <w:tblHeader w:val="false"/>
        </w:trPr>
        <w:tc>
          <w:tcPr>
            <w:tcW w:type="dxa" w:w="2169"/>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20"/>
                <w:szCs w:val="20"/>
              </w:rPr>
              <w:t xml:space="preserve">1. Ініціювання</w:t>
            </w:r>
          </w:p>
        </w:tc>
        <w:tc>
          <w:tcPr>
            <w:tcW w:type="dxa" w:w="2803"/>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Ідентифікація / Програмування</w:t>
            </w:r>
          </w:p>
        </w:tc>
        <w:tc>
          <w:tcPr>
            <w:tcW w:type="dxa" w:w="4098"/>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Аналіз контексту; проблеми та потреби цільових груп; проєктна ідея; попередня відповідність пріоритетам донора; рішення go / no-go</w:t>
            </w:r>
          </w:p>
        </w:tc>
      </w:tr>
      <w:tr>
        <w:trPr>
          <w:cantSplit/>
          <w:tblHeader w:val="false"/>
        </w:trPr>
        <w:tc>
          <w:tcPr>
            <w:tcW w:type="dxa" w:w="2169"/>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20"/>
                <w:szCs w:val="20"/>
              </w:rPr>
              <w:t xml:space="preserve">2. Планування</w:t>
            </w:r>
          </w:p>
        </w:tc>
        <w:tc>
          <w:tcPr>
            <w:tcW w:type="dxa" w:w="2803"/>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Формулювання / Дизайн</w:t>
            </w:r>
          </w:p>
        </w:tc>
        <w:tc>
          <w:tcPr>
            <w:tcW w:type="dxa" w:w="4098"/>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Цілі та результати; логічна матриця (логфрейм); індикатори; бюджет, графік і план ризиків; грантова заявка</w:t>
            </w:r>
          </w:p>
        </w:tc>
      </w:tr>
      <w:tr>
        <w:trPr>
          <w:cantSplit/>
          <w:tblHeader w:val="false"/>
        </w:trPr>
        <w:tc>
          <w:tcPr>
            <w:tcW w:type="dxa" w:w="2169"/>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20"/>
                <w:szCs w:val="20"/>
              </w:rPr>
              <w:t xml:space="preserve">3. Реалізація</w:t>
            </w:r>
          </w:p>
        </w:tc>
        <w:tc>
          <w:tcPr>
            <w:tcW w:type="dxa" w:w="2803"/>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Реалізація</w:t>
            </w:r>
          </w:p>
        </w:tc>
        <w:tc>
          <w:tcPr>
            <w:tcW w:type="dxa" w:w="4098"/>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Виконання запланованих заходів; використання ресурсів; координація партнерів; управління командою та документообігом</w:t>
            </w:r>
          </w:p>
        </w:tc>
      </w:tr>
      <w:tr>
        <w:trPr>
          <w:cantSplit/>
          <w:tblHeader w:val="false"/>
        </w:trPr>
        <w:tc>
          <w:tcPr>
            <w:tcW w:type="dxa" w:w="2169"/>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20"/>
                <w:szCs w:val="20"/>
              </w:rPr>
              <w:t xml:space="preserve">4. Моніторинг</w:t>
            </w:r>
          </w:p>
        </w:tc>
        <w:tc>
          <w:tcPr>
            <w:tcW w:type="dxa" w:w="2803"/>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Наскрізний процес</w:t>
            </w:r>
          </w:p>
        </w:tc>
        <w:tc>
          <w:tcPr>
            <w:tcW w:type="dxa" w:w="4098"/>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Систематичне відстеження прогресу щодо індикаторів; актуальна інформація для управлінських рішень</w:t>
            </w:r>
          </w:p>
        </w:tc>
      </w:tr>
      <w:tr>
        <w:trPr>
          <w:cantSplit/>
          <w:tblHeader w:val="false"/>
        </w:trPr>
        <w:tc>
          <w:tcPr>
            <w:tcW w:type="dxa" w:w="2169"/>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20"/>
                <w:szCs w:val="20"/>
              </w:rPr>
              <w:t xml:space="preserve">5. Оцінювання</w:t>
            </w:r>
          </w:p>
        </w:tc>
        <w:tc>
          <w:tcPr>
            <w:tcW w:type="dxa" w:w="2803"/>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Проміжне, підсумкове, ex-post</w:t>
            </w:r>
          </w:p>
        </w:tc>
        <w:tc>
          <w:tcPr>
            <w:tcW w:type="dxa" w:w="4098"/>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Систематична, об'єктивна оцінка релевантності, результативності, ефективності, впливу та сталості</w:t>
            </w:r>
          </w:p>
        </w:tc>
      </w:tr>
      <w:tr>
        <w:trPr>
          <w:cantSplit/>
          <w:tblHeader w:val="false"/>
        </w:trPr>
        <w:tc>
          <w:tcPr>
            <w:tcW w:type="dxa" w:w="2169"/>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b/>
                <w:bCs/>
                <w:color w:val="1F2533"/>
                <w:sz w:val="20"/>
                <w:szCs w:val="20"/>
              </w:rPr>
              <w:t xml:space="preserve">6. Закриття</w:t>
            </w:r>
          </w:p>
        </w:tc>
        <w:tc>
          <w:tcPr>
            <w:tcW w:type="dxa" w:w="2803"/>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Закриття</w:t>
            </w:r>
          </w:p>
        </w:tc>
        <w:tc>
          <w:tcPr>
            <w:tcW w:type="dxa" w:w="4098"/>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Підсумкова звітність; передання результатів бенефіціарам; архівування; узагальнення набутих уроків</w:t>
            </w:r>
          </w:p>
        </w:tc>
      </w:tr>
    </w:tbl>
    <w:p>
      <w:pPr>
        <w:spacing w:after="120" w:before="0"/>
      </w:pPr>
    </w:p>
    <w:p>
      <w:pPr>
        <w:spacing w:after="140" w:line="288"/>
        <w:ind w:firstLine="0"/>
        <w:jc w:val="both"/>
      </w:pPr>
      <w:r>
        <w:t xml:space="preserve">Середня колонка показує, що шестифазна модель консолідує цикл PCM. Ініціювання охоплює і програмування, що в PCM задає стратегічну рамку та пріоритети й є переважно справою донора, і ідентифікацію, під час якої заявник має враховувати ці пріоритети, обираючи проєктну ідею. Планування відповідає формулюванню — етапу, на якому PCM вимагає застосування логіко-структурного підходу. Моніторинг зазначено як наскрізний процес, а оцінювання постає у трьох формах.</w:t>
      </w:r>
    </w:p>
    <w:p>
      <w:pPr>
        <w:spacing w:after="140" w:line="288"/>
        <w:ind w:firstLine="0"/>
        <w:jc w:val="both"/>
      </w:pPr>
      <w:r>
        <w:t xml:space="preserve">Три форми оцінювання відрізняються часом проведення. </w:t>
      </w:r>
      <w:r>
        <w:rPr>
          <w:b/>
          <w:bCs/>
        </w:rPr>
        <w:t xml:space="preserve">Проміжне</w:t>
      </w:r>
      <w:r>
        <w:t xml:space="preserve"> оцінювання проводять, поки проєкт триває, і воно ще може змінити його курс. </w:t>
      </w:r>
      <w:r>
        <w:rPr>
          <w:b/>
          <w:bCs/>
        </w:rPr>
        <w:t xml:space="preserve">Підсумкове</w:t>
      </w:r>
      <w:r>
        <w:t xml:space="preserve"> оцінювання відбувається наприкінці або близько до завершення і судить про досягнуте. Оцінювання </w:t>
      </w:r>
      <w:r>
        <w:rPr>
          <w:b/>
          <w:bCs/>
        </w:rPr>
        <w:t xml:space="preserve">ex-post</w:t>
      </w:r>
      <w:r>
        <w:t xml:space="preserve"> проводять через деякий час після завершення проєкту, і воно ставить питання, чи результати збереглися, — це питання сталості в найчистішому вигляді. П'ять критеріїв, названих у таблиці, розвинено в лекції 8 разом із моніторингом і звітністю.</w:t>
      </w:r>
    </w:p>
    <w:p>
      <w:pPr>
        <w:spacing w:after="140" w:line="288"/>
        <w:ind w:firstLine="0"/>
        <w:jc w:val="both"/>
      </w:pPr>
      <w:r>
        <w:t xml:space="preserve">Таблиця також слугує мапою курсу. Лекції 2–4 стосуються ініціювання та планування: дизайну проєкту, заявки, а також донора та партнерства. Лекції 5–7 стосуються управління реалізацією, а лекція 8 охоплює моніторинг, оцінювання та закриття.</w:t>
      </w:r>
    </w:p>
    <w:p>
      <w:pPr>
        <w:pStyle w:val="Heading2"/>
        <w:keepNext/>
      </w:pPr>
      <w:r>
        <w:t xml:space="preserve">Життєвий цикл не є суворо лінійним</w:t>
      </w:r>
    </w:p>
    <w:p>
      <w:pPr>
        <w:keepNext/>
        <w:spacing w:after="40" w:before="120"/>
      </w:pPr>
      <w:r>
        <w:rPr>
          <w:rFonts w:ascii="Calibri" w:cs="Calibri" w:eastAsia="Calibri" w:hAnsi="Calibri"/>
          <w:b/>
          <w:bCs/>
          <w:caps/>
          <w:color w:val="A8841A"/>
          <w:spacing w:val="20"/>
          <w:sz w:val="17"/>
          <w:szCs w:val="17"/>
        </w:rPr>
        <w:t xml:space="preserve">▸ Слайд 16</w:t>
      </w:r>
    </w:p>
    <w:p>
      <w:pPr>
        <w:spacing w:after="140" w:line="288"/>
        <w:ind w:firstLine="0"/>
        <w:jc w:val="both"/>
      </w:pPr>
      <w:r>
        <w:t xml:space="preserve">Перелік із шести фаз навіює уявлення про пряму лінію зліва направо, і слайд виправляє це враження. Два чинники роблять цикл нелінійним.</w:t>
      </w:r>
    </w:p>
    <w:p>
      <w:pPr>
        <w:spacing w:after="140" w:line="288"/>
        <w:ind w:firstLine="0"/>
        <w:jc w:val="both"/>
      </w:pPr>
      <w:r>
        <w:t xml:space="preserve">Перший полягає в тому, що </w:t>
      </w:r>
      <w:r>
        <w:rPr>
          <w:b/>
          <w:bCs/>
        </w:rPr>
        <w:t xml:space="preserve">моніторинг відбувається паралельно</w:t>
      </w:r>
      <w:r>
        <w:t xml:space="preserve">. Слайди 14 і 15 показують моніторинг як фазу задля наочності, але він супроводжує реалізацію впродовж усього проєкту, а не слідує за нею. Це відповідає на третє запитання для самоконтролю. Моніторинг є наскрізним процесом, а не окремим етапом, тому що його мета — вчасно надавати менеджерам інформацію, на основі якої можна діяти: перевірка, проведена лише після завершення роботи, може встановити, що пішло не так, але вже не може вплинути на результат і перетворилася на аудит чи оцінювання. Тому моніторинг має розпочинатися з першого заходу, використовувати індикатори, визначені під час планування, та інформувати кожне управлінське рішення. Його також слід розробляти наперед, оскільки індикатори та джерела верифікації встановлюють на етапі планування.</w:t>
      </w:r>
    </w:p>
    <w:p>
      <w:pPr>
        <w:spacing w:after="140" w:line="288"/>
        <w:ind w:firstLine="0"/>
        <w:jc w:val="both"/>
      </w:pPr>
      <w:r>
        <w:t xml:space="preserve">Другий чинник — те, що </w:t>
      </w:r>
      <w:r>
        <w:rPr>
          <w:b/>
          <w:bCs/>
        </w:rPr>
        <w:t xml:space="preserve">оцінювання діє у зворотному напрямку</w:t>
      </w:r>
      <w:r>
        <w:t xml:space="preserve">. Його висновки можуть спонукати до перегляду планів, бюджетів і заходів, а його уроки переходять до ініціювання наступного проєкту. Тому управління є </w:t>
      </w:r>
      <w:r>
        <w:rPr>
          <w:i/>
          <w:iCs/>
        </w:rPr>
        <w:t xml:space="preserve">ітеративним</w:t>
      </w:r>
      <w:r>
        <w:t xml:space="preserve">: інформація з пізніших фаз повертається до ранніх, отже цикл є петлею, а не лінією. Слайд називає це логікою PCM, оскільки ітеративний цикл закладено в підхід Європейської Комісії та більшості донорів. Свобода перегляду обмежена: як показує розділ 6, донори обмежують зміни бюджетів, і перегляд зазвичай потребує їхньої згоди, що є однією з причин, чому планування має бути ретельним.</w:t>
      </w:r>
    </w:p>
    <w:p>
      <w:pPr>
        <w:pBdr>
          <w:top w:val="single" w:color="C9D3E6" w:sz="6" w:space="6"/>
          <w:bottom w:val="single" w:color="C9D3E6" w:sz="6" w:space="6"/>
          <w:left w:val="single" w:color="C9D3E6" w:sz="6" w:space="6"/>
          <w:right w:val="single" w:color="C9D3E6" w:sz="6" w:space="6"/>
        </w:pBdr>
        <w:shd w:fill="F2F5FB" w:color="auto" w:val="clear"/>
        <w:spacing w:after="200" w:before="120" w:line="276"/>
        <w:ind w:left="170" w:right="170"/>
        <w:jc w:val="both"/>
      </w:pPr>
      <w:r>
        <w:rPr>
          <w:rFonts w:ascii="Times New Roman" w:cs="Times New Roman" w:eastAsia="Times New Roman" w:hAnsi="Times New Roman"/>
          <w:b/>
          <w:bCs/>
          <w:sz w:val="22"/>
          <w:szCs w:val="22"/>
        </w:rPr>
        <w:t xml:space="preserve">Ілюстративний приклад.</w:t>
      </w:r>
      <w:r>
        <w:rPr>
          <w:rFonts w:ascii="Times New Roman" w:cs="Times New Roman" w:eastAsia="Times New Roman" w:hAnsi="Times New Roman"/>
          <w:sz w:val="22"/>
          <w:szCs w:val="22"/>
        </w:rPr>
        <w:t xml:space="preserve"> Припустімо, що моніторинг гіпотетичного навчального проєкту виявляє низьку відвідуваність, а проміжне оцінювання пояснює її: заняття проводять у робочий час. План переглядають, заняття переносять на вечір, витрати коригують за погодженням із донором, а урок фіксують для наступних проєктів.</w:t>
      </w:r>
    </w:p>
    <w:p>
      <w:pPr>
        <w:pStyle w:val="Heading1"/>
        <w:keepNext/>
      </w:pPr>
      <w:r>
        <w:t xml:space="preserve">4. Міжнародне проєктне середовище: донори, партнери, бенефіціари, цільові групи, стейкхолдери</w:t>
      </w:r>
    </w:p>
    <w:p>
      <w:pPr>
        <w:keepNext/>
        <w:spacing w:after="40" w:before="120"/>
      </w:pPr>
      <w:r>
        <w:rPr>
          <w:rFonts w:ascii="Calibri" w:cs="Calibri" w:eastAsia="Calibri" w:hAnsi="Calibri"/>
          <w:b/>
          <w:bCs/>
          <w:caps/>
          <w:color w:val="A8841A"/>
          <w:spacing w:val="20"/>
          <w:sz w:val="17"/>
          <w:szCs w:val="17"/>
        </w:rPr>
        <w:t xml:space="preserve">▸ Слайд 17</w:t>
      </w:r>
    </w:p>
    <w:p>
      <w:pPr>
        <w:spacing w:after="140" w:line="288"/>
        <w:ind w:firstLine="0"/>
        <w:jc w:val="both"/>
      </w:pPr>
      <w:r>
        <w:t xml:space="preserve">Проєкт не діє відокремлено, і успіх міжнародного проєкту значною мірою залежить від розуміння того, хто його оточує. Розділовий слайд запитує, хто формує, фінансує, реалізує проєкт і отримує від нього користь, та оголошує, що розділ розрізнить три терміни, які часто плутають: бенефіціари, цільові групи та стейкхолдери. Він також готує ґрунт для аналізу стейкхолдерів у лекції 2.</w:t>
      </w:r>
    </w:p>
    <w:p>
      <w:pPr>
        <w:pStyle w:val="Heading2"/>
        <w:keepNext/>
      </w:pPr>
      <w:r>
        <w:t xml:space="preserve">Карта середовища міжнародного проєкту</w:t>
      </w:r>
    </w:p>
    <w:p>
      <w:pPr>
        <w:keepNext/>
        <w:spacing w:after="40" w:before="120"/>
      </w:pPr>
      <w:r>
        <w:rPr>
          <w:rFonts w:ascii="Calibri" w:cs="Calibri" w:eastAsia="Calibri" w:hAnsi="Calibri"/>
          <w:b/>
          <w:bCs/>
          <w:caps/>
          <w:color w:val="A8841A"/>
          <w:spacing w:val="20"/>
          <w:sz w:val="17"/>
          <w:szCs w:val="17"/>
        </w:rPr>
        <w:t xml:space="preserve">▸ Слайд 18</w:t>
      </w:r>
    </w:p>
    <w:p>
      <w:pPr>
        <w:pBdr>
          <w:left w:val="single" w:color="1B2A4A" w:sz="18" w:space="10"/>
        </w:pBdr>
        <w:spacing w:after="200" w:before="120" w:line="276"/>
        <w:ind w:left="454" w:right="340"/>
        <w:jc w:val="both"/>
      </w:pPr>
      <w:r>
        <w:rPr>
          <w:rFonts w:ascii="Times New Roman" w:cs="Times New Roman" w:eastAsia="Times New Roman" w:hAnsi="Times New Roman"/>
          <w:i/>
          <w:iCs/>
          <w:color w:val="1B2A4A"/>
          <w:sz w:val="24"/>
          <w:szCs w:val="24"/>
        </w:rPr>
        <w:t xml:space="preserve">Середовище проєкту — це сукупність акторів, чиї інтереси та ресурси впливають на проєкт або які зазнають його впливу.</w:t>
      </w:r>
    </w:p>
    <w:p>
      <w:pPr>
        <w:spacing w:after="140" w:line="288"/>
        <w:ind w:firstLine="0"/>
        <w:jc w:val="both"/>
      </w:pPr>
      <w:r>
        <w:t xml:space="preserve">Слайд зображує середовище у вигляді чотирьох шарів, що рухаються назовні від ядра. У центрі — </w:t>
      </w:r>
      <w:r>
        <w:rPr>
          <w:b/>
          <w:bCs/>
        </w:rPr>
        <w:t xml:space="preserve">консорціум</w:t>
      </w:r>
      <w:r>
        <w:t xml:space="preserve">: координатор і партнери, які виконують робочий план. Навколо нього розташовані </w:t>
      </w:r>
      <w:r>
        <w:rPr>
          <w:b/>
          <w:bCs/>
        </w:rPr>
        <w:t xml:space="preserve">донор і асоційовані партнери</w:t>
      </w:r>
      <w:r>
        <w:t xml:space="preserve">, які надають фінансування та підтримку. Третій шар утворюють ті, на кого проєкт має безпосередній вплив, — </w:t>
      </w:r>
      <w:r>
        <w:rPr>
          <w:b/>
          <w:bCs/>
        </w:rPr>
        <w:t xml:space="preserve">цільові групи та бенефіціари</w:t>
      </w:r>
      <w:r>
        <w:t xml:space="preserve">. Зовнішній шар містить </w:t>
      </w:r>
      <w:r>
        <w:rPr>
          <w:b/>
          <w:bCs/>
        </w:rPr>
        <w:t xml:space="preserve">ширших стейкхолдерів</w:t>
      </w:r>
      <w:r>
        <w:t xml:space="preserve">: органи публічної влади, академічну спільноту, медіа, конкуруючі ініціативи та широку громадськість.</w:t>
      </w:r>
    </w:p>
    <w:p>
      <w:pPr>
        <w:spacing w:after="140" w:line="288"/>
        <w:ind w:firstLine="0"/>
        <w:jc w:val="both"/>
      </w:pPr>
      <w:r>
        <w:t xml:space="preserve">Це визначення двоспрямоване. Актори належать до середовища, якщо їхні інтереси та ресурси </w:t>
      </w:r>
      <w:r>
        <w:rPr>
          <w:i/>
          <w:iCs/>
        </w:rPr>
        <w:t xml:space="preserve">впливають</w:t>
      </w:r>
      <w:r>
        <w:t xml:space="preserve"> на проєкт, як це робить донор, а також якщо проєкт </w:t>
      </w:r>
      <w:r>
        <w:rPr>
          <w:i/>
          <w:iCs/>
        </w:rPr>
        <w:t xml:space="preserve">впливає</w:t>
      </w:r>
      <w:r>
        <w:t xml:space="preserve"> на них, як нова послуга — на громаду. Той самий актор може займати кілька позицій: міністерство може бути асоційованим партнером, аудиторією результатів і джерелом регуляторних норм, що обмежують проєкт. Карта є інструментом для постановки запитань: кого не видно на малюнку, чиєї підтримки потребує проєкт і чиєї опозиції слід очікувати.</w:t>
      </w:r>
    </w:p>
    <w:p>
      <w:pPr>
        <w:pStyle w:val="Heading2"/>
        <w:keepNext/>
      </w:pPr>
      <w:r>
        <w:t xml:space="preserve">Донор, координатор, партнери та асоційовані партнери</w:t>
      </w:r>
    </w:p>
    <w:p>
      <w:pPr>
        <w:keepNext/>
        <w:spacing w:after="40" w:before="120"/>
      </w:pPr>
      <w:r>
        <w:rPr>
          <w:rFonts w:ascii="Calibri" w:cs="Calibri" w:eastAsia="Calibri" w:hAnsi="Calibri"/>
          <w:b/>
          <w:bCs/>
          <w:caps/>
          <w:color w:val="A8841A"/>
          <w:spacing w:val="20"/>
          <w:sz w:val="17"/>
          <w:szCs w:val="17"/>
        </w:rPr>
        <w:t xml:space="preserve">▸ Слайд 19</w:t>
      </w:r>
    </w:p>
    <w:p>
      <w:pPr>
        <w:spacing w:after="140" w:line="288"/>
        <w:ind w:firstLine="0"/>
        <w:jc w:val="both"/>
      </w:pPr>
      <w:r>
        <w:t xml:space="preserve">Чотири ролі у внутрішніх шарах карти визначаються їхнім ставленням до коштів, до контракту та до роботи.</w:t>
      </w:r>
    </w:p>
    <w:p>
      <w:pPr>
        <w:spacing w:after="140" w:line="288"/>
        <w:ind w:firstLine="0"/>
        <w:jc w:val="both"/>
      </w:pPr>
      <w:r>
        <w:rPr>
          <w:b/>
          <w:bCs/>
        </w:rPr>
        <w:t xml:space="preserve">Донор</w:t>
      </w:r>
      <w:r>
        <w:t xml:space="preserve"> — це орган, що надає фінансування: організація, яка надає фінансові чи інші ресурси. Це може бути Європейська Комісія, виконавче агентство ЄС, уряд країни-донора, міжнародна фінансова інституція або приватний фонд. Донора від усіх інших акторів відрізняє право встановлювати правила: він визначає пріоритети фінансування та процедурні вимоги й формулює критерії, за якими оцінюють заявки та звіти.</w:t>
      </w:r>
    </w:p>
    <w:p>
      <w:pPr>
        <w:spacing w:after="140" w:line="288"/>
        <w:ind w:firstLine="0"/>
        <w:jc w:val="both"/>
      </w:pPr>
      <w:r>
        <w:rPr>
          <w:b/>
          <w:bCs/>
        </w:rPr>
        <w:t xml:space="preserve">Координатор</w:t>
      </w:r>
      <w:r>
        <w:t xml:space="preserve">, або провідний заявник, очолює консорціум, несе основну договірну відповідальність перед донором і координує діяльність партнерів. </w:t>
      </w:r>
      <w:r>
        <w:rPr>
          <w:b/>
          <w:bCs/>
        </w:rPr>
        <w:t xml:space="preserve">Партнери</w:t>
      </w:r>
      <w:r>
        <w:t xml:space="preserve">, або співзаявники, реалізують проєкт разом із координатором, і кожен відповідає за визначену частину робочого плану. </w:t>
      </w:r>
      <w:r>
        <w:rPr>
          <w:b/>
          <w:bCs/>
        </w:rPr>
        <w:t xml:space="preserve">Асоційовані партнери</w:t>
      </w:r>
      <w:r>
        <w:t xml:space="preserve"> приєднуються без прямого фінансування від донора та надають експертну, консультативну чи організаційну підтримку. Термінологія в різних донорів різниться, і конкурс може вживати «бенефіціар» або «співзаявник» для того, що тут названо партнером, тож заявник має читати визначення в кожному конкурсі. Лекція 4 розглядає, як ролі документуються в мандатних листах, листах про наміри та угоді консорціуму.</w:t>
      </w:r>
    </w:p>
    <w:p>
      <w:pPr>
        <w:spacing w:after="140" w:line="288"/>
        <w:ind w:firstLine="0"/>
        <w:jc w:val="both"/>
      </w:pPr>
      <w:r>
        <w:t xml:space="preserve">Межу між партнерами й асоційованими партнерами слід проводити обережно. Партнер несе частку робочого плану та відповідальності за неї; асоційований партнер робить внесок без такої частки. Організація, цінна своєю експертизою чи мережею, але така, що не виконуватиме визначених завдань за робочим планом, є кандидатом на другу категорію.</w:t>
      </w:r>
    </w:p>
    <w:p>
      <w:pPr>
        <w:pBdr>
          <w:top w:val="single" w:color="C9D3E6" w:sz="6" w:space="6"/>
          <w:bottom w:val="single" w:color="C9D3E6" w:sz="6" w:space="6"/>
          <w:left w:val="single" w:color="C9D3E6" w:sz="6" w:space="6"/>
          <w:right w:val="single" w:color="C9D3E6" w:sz="6" w:space="6"/>
        </w:pBdr>
        <w:shd w:fill="F2F5FB" w:color="auto" w:val="clear"/>
        <w:spacing w:after="200" w:before="120" w:line="276"/>
        <w:ind w:left="170" w:right="170"/>
        <w:jc w:val="both"/>
      </w:pPr>
      <w:r>
        <w:rPr>
          <w:rFonts w:ascii="Times New Roman" w:cs="Times New Roman" w:eastAsia="Times New Roman" w:hAnsi="Times New Roman"/>
          <w:b/>
          <w:bCs/>
          <w:sz w:val="22"/>
          <w:szCs w:val="22"/>
        </w:rPr>
        <w:t xml:space="preserve">Ілюстративний приклад.</w:t>
      </w:r>
      <w:r>
        <w:rPr>
          <w:rFonts w:ascii="Times New Roman" w:cs="Times New Roman" w:eastAsia="Times New Roman" w:hAnsi="Times New Roman"/>
          <w:sz w:val="22"/>
          <w:szCs w:val="22"/>
        </w:rPr>
        <w:t xml:space="preserve"> У гіпотетичному консорціумі координатором є університет із держави — члена ЄС; два українські університети та ще один університет ЄС є партнерами, і кожен очолює робочий пакет; а департамент міністерства й асоціація роботодавців є асоційованими партнерами, які консультують щодо пріоритетів. Донором є програма ЄС.</w:t>
      </w:r>
    </w:p>
    <w:p>
      <w:pPr>
        <w:pStyle w:val="Heading2"/>
        <w:keepNext/>
      </w:pPr>
      <w:r>
        <w:t xml:space="preserve">Бенефіціари, цільові групи та стейкхолдери</w:t>
      </w:r>
    </w:p>
    <w:p>
      <w:pPr>
        <w:keepNext/>
        <w:spacing w:after="40" w:before="120"/>
      </w:pPr>
      <w:r>
        <w:rPr>
          <w:rFonts w:ascii="Calibri" w:cs="Calibri" w:eastAsia="Calibri" w:hAnsi="Calibri"/>
          <w:b/>
          <w:bCs/>
          <w:caps/>
          <w:color w:val="A8841A"/>
          <w:spacing w:val="20"/>
          <w:sz w:val="17"/>
          <w:szCs w:val="17"/>
        </w:rPr>
        <w:t xml:space="preserve">▸ Слайд 20</w:t>
      </w:r>
    </w:p>
    <w:p>
      <w:pPr>
        <w:spacing w:after="140" w:line="288"/>
        <w:ind w:firstLine="0"/>
        <w:jc w:val="both"/>
      </w:pPr>
      <w:r>
        <w:t xml:space="preserve">Слайд описує цю трійцю як часте джерело плутанини. Ці три терміни позначають вкладені, але різні категорії.</w:t>
      </w:r>
    </w:p>
    <w:p>
      <w:pPr>
        <w:spacing w:after="140" w:line="288"/>
        <w:ind w:firstLine="0"/>
        <w:jc w:val="both"/>
      </w:pPr>
      <w:r>
        <w:rPr>
          <w:b/>
          <w:bCs/>
        </w:rPr>
        <w:t xml:space="preserve">Бенефіціари</w:t>
      </w:r>
      <w:r>
        <w:t xml:space="preserve"> — це особи, групи чи організації, які отримують прямі вигоди від проєкту. Розрізняють два види: </w:t>
      </w:r>
      <w:r>
        <w:rPr>
          <w:i/>
          <w:iCs/>
        </w:rPr>
        <w:t xml:space="preserve">прямі бенефіціари</w:t>
      </w:r>
      <w:r>
        <w:t xml:space="preserve">, які є безпосередніми одержувачами послуг чи продуктів проєкту, і </w:t>
      </w:r>
      <w:r>
        <w:rPr>
          <w:i/>
          <w:iCs/>
        </w:rPr>
        <w:t xml:space="preserve">кінцеві бенефіціари</w:t>
      </w:r>
      <w:r>
        <w:t xml:space="preserve"> — ширші групи, на які проєкт має опосередкований вплив. </w:t>
      </w:r>
      <w:r>
        <w:rPr>
          <w:b/>
          <w:bCs/>
        </w:rPr>
        <w:t xml:space="preserve">Цільові групи</w:t>
      </w:r>
      <w:r>
        <w:t xml:space="preserve"> — це конкретні групи, на які проєкт має прямий позитивний вплив на рівні конкретної мети проєкту; проєкт безпосередньо взаємодіє з ними під час реалізації. </w:t>
      </w:r>
      <w:r>
        <w:rPr>
          <w:b/>
          <w:bCs/>
        </w:rPr>
        <w:t xml:space="preserve">Стейкхолдери</w:t>
      </w:r>
      <w:r>
        <w:t xml:space="preserve"> утворюють найширшу категорію: усі особи, групи чи інституції, які мають інтерес у проєкті, впливають на нього або зазнають його впливу. Слайд називає органи публічної влади, академічну спільноту, медіа, конкуруючі ініціативи та широку громадськість.</w:t>
      </w:r>
    </w:p>
    <w:p>
      <w:pPr>
        <w:spacing w:after="140" w:line="288"/>
        <w:ind w:firstLine="0"/>
        <w:jc w:val="both"/>
      </w:pPr>
      <w:r>
        <w:t xml:space="preserve">Це відповідає на четверте запитання для самоконтролю. Цільова група — це поняття дизайну: група, для якої будують проєкт і з якою працюють під час реалізації, зміну в якій описує конкретна мета проєкту. Бенефіціар визначається отриманням вигоди, а прикметники «прямий» і «кінцевий» описують відстань від проєкту. Категорії можуть перетинатися, оскільки та сама група може бути водночас і цільовою групою, і прямим бенефіціаром, але вони не збігаються: група, яка отримує вигоду лише опосередковано або в довгостроковій перспективі, є кінцевим бенефіціаром, а не цільовою групою. Стейкхолдери охоплюють усіх їх і багатьох інших. Заявнику слід перевірити, як ці терміни вживаються в настановах конкретного донора.</w:t>
      </w:r>
    </w:p>
    <w:p>
      <w:pPr>
        <w:pBdr>
          <w:top w:val="single" w:color="C9D3E6" w:sz="6" w:space="6"/>
          <w:bottom w:val="single" w:color="C9D3E6" w:sz="6" w:space="6"/>
          <w:left w:val="single" w:color="C9D3E6" w:sz="6" w:space="6"/>
          <w:right w:val="single" w:color="C9D3E6" w:sz="6" w:space="6"/>
        </w:pBdr>
        <w:shd w:fill="F2F5FB" w:color="auto" w:val="clear"/>
        <w:spacing w:after="200" w:before="120" w:line="276"/>
        <w:ind w:left="170" w:right="170"/>
        <w:jc w:val="both"/>
      </w:pPr>
      <w:r>
        <w:rPr>
          <w:rFonts w:ascii="Times New Roman" w:cs="Times New Roman" w:eastAsia="Times New Roman" w:hAnsi="Times New Roman"/>
          <w:b/>
          <w:bCs/>
          <w:sz w:val="22"/>
          <w:szCs w:val="22"/>
        </w:rPr>
        <w:t xml:space="preserve">Ілюстративний приклад.</w:t>
      </w:r>
      <w:r>
        <w:rPr>
          <w:rFonts w:ascii="Times New Roman" w:cs="Times New Roman" w:eastAsia="Times New Roman" w:hAnsi="Times New Roman"/>
          <w:sz w:val="22"/>
          <w:szCs w:val="22"/>
        </w:rPr>
        <w:t xml:space="preserve"> Гіпотетичний проєкт навчає викладачів закладів професійної освіти цифрових методів викладання. Викладачі, які проходять навчання, є цільовою групою та прямими бенефіціарами: вони беруть участь у заходах, і конкретна мета стосується їхньої компетентності. Учні їхніх груп є кінцевими бенефіціарами, оскільки зазнають впливу лише опосередковано. До стейкхолдерів належать міністерство, відповідальне за освіту, заклади підготовки вчителів, місцеві роботодавці, інші донори, які реалізують подібні ініціативи, та медіа.</w:t>
      </w:r>
    </w:p>
    <w:p>
      <w:pPr>
        <w:spacing w:after="140" w:line="288"/>
        <w:ind w:firstLine="0"/>
        <w:jc w:val="both"/>
      </w:pPr>
      <w:r>
        <w:t xml:space="preserve">Це розмежування має практичну вагу. Цільову групу, визначену надто широко, наприклад «населення України», не можна охопити безпосередньо, і жоден індикатор не може виміряти зміну в ній; «викладачі закладів професійної освіти в названих регіонах» — можна охопити й виміряти. Розрізнення ролей є суттєвим для коректного аналізу стейкхолдерів і для логічної матриці, до якої веде розділ 5.</w:t>
      </w:r>
    </w:p>
    <w:p>
      <w:pPr>
        <w:pStyle w:val="Heading1"/>
        <w:keepNext/>
      </w:pPr>
      <w:r>
        <w:t xml:space="preserve">5. Методології управління проєктами: PMBOK, PM², управління проєктним циклом, логіко-структурний підхід</w:t>
      </w:r>
    </w:p>
    <w:p>
      <w:pPr>
        <w:keepNext/>
        <w:spacing w:after="40" w:before="120"/>
      </w:pPr>
      <w:r>
        <w:rPr>
          <w:rFonts w:ascii="Calibri" w:cs="Calibri" w:eastAsia="Calibri" w:hAnsi="Calibri"/>
          <w:b/>
          <w:bCs/>
          <w:caps/>
          <w:color w:val="A8841A"/>
          <w:spacing w:val="20"/>
          <w:sz w:val="17"/>
          <w:szCs w:val="17"/>
        </w:rPr>
        <w:t xml:space="preserve">▸ Слайд 21</w:t>
      </w:r>
    </w:p>
    <w:p>
      <w:pPr>
        <w:spacing w:after="140" w:line="288"/>
        <w:ind w:firstLine="0"/>
        <w:jc w:val="both"/>
      </w:pPr>
      <w:r>
        <w:t xml:space="preserve">У міжнародній проєктній діяльності співіснує кілька методологічних систем. Розділовий слайд формулює два факти, які керують їх використанням: вибір залежить від донора, галузі та типу проєкту, а логічна матриця є спільною мовою між заявником і донором. Ці чотири системи не є альтернативами одного виду: PMBOK і PM² — методології управління, PCM — цикл рішень, який використовують донори, а логіко-структурний підхід — аналітичний метод планування, що міститься всередині цього циклу.</w:t>
      </w:r>
    </w:p>
    <w:p>
      <w:pPr>
        <w:pStyle w:val="Heading2"/>
        <w:keepNext/>
      </w:pPr>
      <w:r>
        <w:t xml:space="preserve">PMBOK: десять галузей знань і п'ять груп процесів</w:t>
      </w:r>
    </w:p>
    <w:p>
      <w:pPr>
        <w:keepNext/>
        <w:spacing w:after="40" w:before="120"/>
      </w:pPr>
      <w:r>
        <w:rPr>
          <w:rFonts w:ascii="Calibri" w:cs="Calibri" w:eastAsia="Calibri" w:hAnsi="Calibri"/>
          <w:b/>
          <w:bCs/>
          <w:caps/>
          <w:color w:val="A8841A"/>
          <w:spacing w:val="20"/>
          <w:sz w:val="17"/>
          <w:szCs w:val="17"/>
        </w:rPr>
        <w:t xml:space="preserve">▸ Слайд 22</w:t>
      </w:r>
    </w:p>
    <w:p>
      <w:pPr>
        <w:spacing w:after="140" w:line="288"/>
        <w:ind w:firstLine="0"/>
        <w:jc w:val="both"/>
      </w:pPr>
      <w:r>
        <w:t xml:space="preserve">PMBOK — це методологія Інституту управління проєктами (Project Management Institute) у США. У класичній структурі PMBOK Guide до його 6-го видання (2017) управління проєктами організовано за двома осями. Перша — </w:t>
      </w:r>
      <w:r>
        <w:rPr>
          <w:b/>
          <w:bCs/>
        </w:rPr>
        <w:t xml:space="preserve">десять галузей знань</w:t>
      </w:r>
      <w:r>
        <w:t xml:space="preserve">: управління інтеграцією, змістом, розкладом, вартістю, якістю, ресурсами, комунікаціями, ризиками, закупівлями та стейкхолдерами. Друга — </w:t>
      </w:r>
      <w:r>
        <w:rPr>
          <w:b/>
          <w:bCs/>
        </w:rPr>
        <w:t xml:space="preserve">п'ять груп процесів</w:t>
      </w:r>
      <w:r>
        <w:t xml:space="preserve">: ініціювання, планування, виконання, моніторинг і контроль та закриття. Галузі знань описують, </w:t>
      </w:r>
      <w:r>
        <w:rPr>
          <w:i/>
          <w:iCs/>
        </w:rPr>
        <w:t xml:space="preserve">чим</w:t>
      </w:r>
      <w:r>
        <w:t xml:space="preserve"> потрібно управляти, а групи процесів — </w:t>
      </w:r>
      <w:r>
        <w:rPr>
          <w:i/>
          <w:iCs/>
        </w:rPr>
        <w:t xml:space="preserve">коли</w:t>
      </w:r>
      <w:r>
        <w:t xml:space="preserve"> в проєкті виконується управлінська робота.</w:t>
      </w:r>
    </w:p>
    <w:p>
      <w:pPr>
        <w:spacing w:after="140" w:line="288"/>
        <w:ind w:firstLine="0"/>
        <w:jc w:val="both"/>
      </w:pPr>
      <w:r>
        <w:t xml:space="preserve">PMBOK є універсальним і галузево нейтральним, його широко застосовують у приватному секторі й дедалі частіше в міжнародних проєктах технічної допомоги. Його сильна сторона — повнота: він дає менеджеру систематичний контрольний перелік від розкладу та вартості до ризику й закупівель. Обмеженість універсальної методології полягає в тому, що вона мовчить про питання, специфічні для донорської роботи, як-от дизайн логіки втручання, взаємини з донором і формати донорської звітності, тому її часто поєднують зі специфічними для донорів підходами.</w:t>
      </w:r>
    </w:p>
    <w:p>
      <w:pPr>
        <w:pStyle w:val="Heading2"/>
        <w:keepNext/>
      </w:pPr>
      <w:r>
        <w:t xml:space="preserve">Еволюція PMBOK Guide</w:t>
      </w:r>
    </w:p>
    <w:p>
      <w:pPr>
        <w:keepNext/>
        <w:spacing w:after="40" w:before="120"/>
      </w:pPr>
      <w:r>
        <w:rPr>
          <w:rFonts w:ascii="Calibri" w:cs="Calibri" w:eastAsia="Calibri" w:hAnsi="Calibri"/>
          <w:b/>
          <w:bCs/>
          <w:caps/>
          <w:color w:val="A8841A"/>
          <w:spacing w:val="20"/>
          <w:sz w:val="17"/>
          <w:szCs w:val="17"/>
        </w:rPr>
        <w:t xml:space="preserve">▸ Слайд 23</w:t>
      </w:r>
    </w:p>
    <w:p>
      <w:pPr>
        <w:spacing w:after="140" w:line="288"/>
        <w:ind w:firstLine="0"/>
        <w:jc w:val="both"/>
      </w:pPr>
      <w:r>
        <w:t xml:space="preserve">Студентам слід знати, яке видання PMBOK Guide має на увазі донор чи роботодавець, адже структура суттєво змінилася. Слайд порівнює три видання.</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484"/>
        <w:gridCol w:w="1058"/>
        <w:gridCol w:w="2824"/>
        <w:gridCol w:w="3704"/>
      </w:tblGrid>
      <w:tr>
        <w:trPr>
          <w:cantSplit/>
          <w:tblHeader/>
        </w:trPr>
        <w:tc>
          <w:tcPr>
            <w:tcW w:type="dxa" w:w="1484"/>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20"/>
                <w:szCs w:val="20"/>
              </w:rPr>
              <w:t xml:space="preserve">Видання</w:t>
            </w:r>
          </w:p>
        </w:tc>
        <w:tc>
          <w:tcPr>
            <w:tcW w:type="dxa" w:w="1058"/>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20"/>
                <w:szCs w:val="20"/>
              </w:rPr>
              <w:t xml:space="preserve">Рік</w:t>
            </w:r>
          </w:p>
        </w:tc>
        <w:tc>
          <w:tcPr>
            <w:tcW w:type="dxa" w:w="2824"/>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20"/>
                <w:szCs w:val="20"/>
              </w:rPr>
              <w:t xml:space="preserve">Орієнтація</w:t>
            </w:r>
          </w:p>
        </w:tc>
        <w:tc>
          <w:tcPr>
            <w:tcW w:type="dxa" w:w="3704"/>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20"/>
                <w:szCs w:val="20"/>
              </w:rPr>
              <w:t xml:space="preserve">Структура</w:t>
            </w:r>
          </w:p>
        </w:tc>
      </w:tr>
      <w:tr>
        <w:trPr>
          <w:cantSplit/>
          <w:tblHeader w:val="false"/>
        </w:trPr>
        <w:tc>
          <w:tcPr>
            <w:tcW w:type="dxa" w:w="148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20"/>
                <w:szCs w:val="20"/>
              </w:rPr>
              <w:t xml:space="preserve">6-те</w:t>
            </w:r>
          </w:p>
        </w:tc>
        <w:tc>
          <w:tcPr>
            <w:tcW w:type="dxa" w:w="1058"/>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2017</w:t>
            </w:r>
          </w:p>
        </w:tc>
        <w:tc>
          <w:tcPr>
            <w:tcW w:type="dxa" w:w="282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На процесах</w:t>
            </w:r>
          </w:p>
        </w:tc>
        <w:tc>
          <w:tcPr>
            <w:tcW w:type="dxa" w:w="370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10 галузей знань, 5 груп процесів, 49 процесів</w:t>
            </w:r>
          </w:p>
        </w:tc>
      </w:tr>
      <w:tr>
        <w:trPr>
          <w:cantSplit/>
          <w:tblHeader w:val="false"/>
        </w:trPr>
        <w:tc>
          <w:tcPr>
            <w:tcW w:type="dxa" w:w="148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20"/>
                <w:szCs w:val="20"/>
              </w:rPr>
              <w:t xml:space="preserve">7-ме</w:t>
            </w:r>
          </w:p>
        </w:tc>
        <w:tc>
          <w:tcPr>
            <w:tcW w:type="dxa" w:w="1058"/>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2021</w:t>
            </w:r>
          </w:p>
        </w:tc>
        <w:tc>
          <w:tcPr>
            <w:tcW w:type="dxa" w:w="282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На принципах</w:t>
            </w:r>
          </w:p>
        </w:tc>
        <w:tc>
          <w:tcPr>
            <w:tcW w:type="dxa" w:w="370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12 принципів, 8 доменів ефективності</w:t>
            </w:r>
          </w:p>
        </w:tc>
      </w:tr>
      <w:tr>
        <w:trPr>
          <w:cantSplit/>
          <w:tblHeader w:val="false"/>
        </w:trPr>
        <w:tc>
          <w:tcPr>
            <w:tcW w:type="dxa" w:w="148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b/>
                <w:bCs/>
                <w:color w:val="1F2533"/>
                <w:sz w:val="20"/>
                <w:szCs w:val="20"/>
              </w:rPr>
              <w:t xml:space="preserve">8-ме</w:t>
            </w:r>
          </w:p>
        </w:tc>
        <w:tc>
          <w:tcPr>
            <w:tcW w:type="dxa" w:w="1058"/>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2025</w:t>
            </w:r>
          </w:p>
        </w:tc>
        <w:tc>
          <w:tcPr>
            <w:tcW w:type="dxa" w:w="282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Інтегрована: принципи та процеси</w:t>
            </w:r>
          </w:p>
        </w:tc>
        <w:tc>
          <w:tcPr>
            <w:tcW w:type="dxa" w:w="370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6 принципів, 7 доменів ефективності, 40 процесів, 5 фокусних областей</w:t>
            </w:r>
          </w:p>
        </w:tc>
      </w:tr>
    </w:tbl>
    <w:p>
      <w:pPr>
        <w:spacing w:after="120" w:before="0"/>
      </w:pPr>
    </w:p>
    <w:p>
      <w:pPr>
        <w:spacing w:after="140" w:line="288"/>
        <w:ind w:firstLine="0"/>
        <w:jc w:val="both"/>
      </w:pPr>
      <w:r>
        <w:t xml:space="preserve">6-те видання є процесно орієнтованим і слугує джерелом описаної вище структури «десять на п'ять». 7-ме видання перейшло до підходу, заснованого на принципах, і сформулювало дванадцять принципів і вісім доменів ефективності. 8-ме видання інтегрує обидві лінії. Його шість принципів — це цілісне бачення, фокус на цінності, якість у процесах і проєктних продуктах, відповідальне лідерство, сталість і культура розширення повноважень; сім доменів ефективності — це врядування, зміст, розклад, фінанси, стейкхолдери, ресурси та ризик. Сорок процесів вбудовано в домени, а п'ять фокусних областей відповідають колишнім групам процесів.</w:t>
      </w:r>
    </w:p>
    <w:p>
      <w:pPr>
        <w:spacing w:after="160" w:before="40"/>
        <w:jc w:val="left"/>
      </w:pPr>
      <w:r>
        <w:rPr>
          <w:rFonts w:ascii="Times New Roman" w:cs="Times New Roman" w:eastAsia="Times New Roman" w:hAnsi="Times New Roman"/>
          <w:i/>
          <w:iCs/>
          <w:color w:val="5F6B85"/>
          <w:sz w:val="19"/>
          <w:szCs w:val="19"/>
        </w:rPr>
        <w:t xml:space="preserve">Project Management Institute, A Guide to the Project Management Body of Knowledge, 6-те (2017), 7-ме (2021) та 8-ме (2025) видання.</w:t>
      </w:r>
    </w:p>
    <w:p>
      <w:pPr>
        <w:pStyle w:val="Heading2"/>
        <w:keepNext/>
      </w:pPr>
      <w:r>
        <w:t xml:space="preserve">PM²: методологія управління проєктами Європейської Комісії</w:t>
      </w:r>
    </w:p>
    <w:p>
      <w:pPr>
        <w:keepNext/>
        <w:spacing w:after="40" w:before="120"/>
      </w:pPr>
      <w:r>
        <w:rPr>
          <w:rFonts w:ascii="Calibri" w:cs="Calibri" w:eastAsia="Calibri" w:hAnsi="Calibri"/>
          <w:b/>
          <w:bCs/>
          <w:caps/>
          <w:color w:val="A8841A"/>
          <w:spacing w:val="20"/>
          <w:sz w:val="17"/>
          <w:szCs w:val="17"/>
        </w:rPr>
        <w:t xml:space="preserve">▸ Слайд 24</w:t>
      </w:r>
    </w:p>
    <w:p>
      <w:pPr>
        <w:spacing w:after="140" w:line="288"/>
        <w:ind w:firstLine="0"/>
        <w:jc w:val="both"/>
      </w:pPr>
      <w:r>
        <w:t xml:space="preserve">Методологію PM² розробив Центр досконалості з управління проєктами Європейської Комісії (CoEPM²) для проєктів в установах ЄС, а згодом її було адаптовано для грантових проєктів за програмами ЄС. Вона поєднує елементи PMBOK і PRINCE2 та додає структуру з чотирьох фаз (ініціювання, планування, виконання та закриття) і стандартизовані артефакти, з яких слайд називає три: статут проєкту, план управління проєктом і журнал проблем і рішень. Методологію розроблено для публічного та наднаціонального врядування.</w:t>
      </w:r>
    </w:p>
    <w:p>
      <w:pPr>
        <w:spacing w:after="140" w:line="288"/>
        <w:ind w:firstLine="0"/>
        <w:jc w:val="both"/>
      </w:pPr>
      <w:r>
        <w:t xml:space="preserve">Стандартизовані артефакти означають, що кожен проєкт документується однаково, тож його можуть зрозуміти, переглянути та перейняти люди, які його не створювали. PM² важлива тут тому, що це власний підхід Комісії, адаптований для грантових проєктів, якими опікується курс.</w:t>
      </w:r>
    </w:p>
    <w:p>
      <w:pPr>
        <w:pStyle w:val="Heading2"/>
        <w:keepNext/>
      </w:pPr>
      <w:r>
        <w:t xml:space="preserve">PCM: шість фаз проєктного циклу Європейської Комісії</w:t>
      </w:r>
    </w:p>
    <w:p>
      <w:pPr>
        <w:keepNext/>
        <w:spacing w:after="40" w:before="120"/>
      </w:pPr>
      <w:r>
        <w:rPr>
          <w:rFonts w:ascii="Calibri" w:cs="Calibri" w:eastAsia="Calibri" w:hAnsi="Calibri"/>
          <w:b/>
          <w:bCs/>
          <w:caps/>
          <w:color w:val="A8841A"/>
          <w:spacing w:val="20"/>
          <w:sz w:val="17"/>
          <w:szCs w:val="17"/>
        </w:rPr>
        <w:t xml:space="preserve">▸ Слайд 25</w:t>
      </w:r>
    </w:p>
    <w:p>
      <w:pPr>
        <w:spacing w:after="140" w:line="288"/>
        <w:ind w:firstLine="0"/>
        <w:jc w:val="both"/>
      </w:pPr>
      <w:r>
        <w:t xml:space="preserve">Управління проєктним циклом запровадила Європейська Комісія для управління проєктами зовнішньої допомоги, тобто проєктами розвитку та співробітництва. Слайд показує шість фаз: </w:t>
      </w:r>
      <w:r>
        <w:rPr>
          <w:i/>
          <w:iCs/>
        </w:rPr>
        <w:t xml:space="preserve">програмування</w:t>
      </w:r>
      <w:r>
        <w:t xml:space="preserve"> (стратегічна рамка та пріоритети), </w:t>
      </w:r>
      <w:r>
        <w:rPr>
          <w:i/>
          <w:iCs/>
        </w:rPr>
        <w:t xml:space="preserve">ідентифікація</w:t>
      </w:r>
      <w:r>
        <w:t xml:space="preserve"> (проблеми, потреби та проєктні ідеї), </w:t>
      </w:r>
      <w:r>
        <w:rPr>
          <w:i/>
          <w:iCs/>
        </w:rPr>
        <w:t xml:space="preserve">формулювання</w:t>
      </w:r>
      <w:r>
        <w:t xml:space="preserve"> (детальний дизайн із використанням ЛСП), </w:t>
      </w:r>
      <w:r>
        <w:rPr>
          <w:i/>
          <w:iCs/>
        </w:rPr>
        <w:t xml:space="preserve">реалізація</w:t>
      </w:r>
      <w:r>
        <w:t xml:space="preserve"> (виконання заходів і досягнення результатів), </w:t>
      </w:r>
      <w:r>
        <w:rPr>
          <w:i/>
          <w:iCs/>
        </w:rPr>
        <w:t xml:space="preserve">моніторинг</w:t>
      </w:r>
      <w:r>
        <w:t xml:space="preserve"> (відстеження прогресу щодо індикаторів) та </w:t>
      </w:r>
      <w:r>
        <w:rPr>
          <w:i/>
          <w:iCs/>
        </w:rPr>
        <w:t xml:space="preserve">оцінювання</w:t>
      </w:r>
      <w:r>
        <w:t xml:space="preserve"> (оцінка результатів і уроків).</w:t>
      </w:r>
    </w:p>
    <w:p>
      <w:pPr>
        <w:spacing w:after="140" w:line="288"/>
        <w:ind w:firstLine="0"/>
        <w:jc w:val="both"/>
      </w:pPr>
      <w:r>
        <w:t xml:space="preserve">Виділеним елементом є правило, згідно з яким логіко-структурний підхід є обов'язковим на етапі формулювання, пов'язуючи аналіз проблем зі структурованим, вимірюваним дизайном. Відповідність життєвому циклу з розділу 3 є тісною, як показав слайд 15. Різниця в акцентах полягає в тому, що PCM — це рамка для </w:t>
      </w:r>
      <w:r>
        <w:rPr>
          <w:i/>
          <w:iCs/>
        </w:rPr>
        <w:t xml:space="preserve">рішень</w:t>
      </w:r>
      <w:r>
        <w:t xml:space="preserve"> донора та його партнерів, від стратегічних пріоритетів до оцінки результатів, тоді як PMBOK — рамка для </w:t>
      </w:r>
      <w:r>
        <w:rPr>
          <w:i/>
          <w:iCs/>
        </w:rPr>
        <w:t xml:space="preserve">практичної роботи з реалізації</w:t>
      </w:r>
      <w:r>
        <w:t xml:space="preserve"> проєкту, яку виконує команда. Моніторинг тут постає як фаза, але, як пояснив розділ 3, він триває паралельно з реалізацією.</w:t>
      </w:r>
    </w:p>
    <w:p>
      <w:pPr>
        <w:pStyle w:val="Heading2"/>
        <w:keepNext/>
      </w:pPr>
      <w:r>
        <w:t xml:space="preserve">ЛСП: від аналізу до логічної матриці</w:t>
      </w:r>
    </w:p>
    <w:p>
      <w:pPr>
        <w:keepNext/>
        <w:spacing w:after="40" w:before="120"/>
      </w:pPr>
      <w:r>
        <w:rPr>
          <w:rFonts w:ascii="Calibri" w:cs="Calibri" w:eastAsia="Calibri" w:hAnsi="Calibri"/>
          <w:b/>
          <w:bCs/>
          <w:caps/>
          <w:color w:val="A8841A"/>
          <w:spacing w:val="20"/>
          <w:sz w:val="17"/>
          <w:szCs w:val="17"/>
        </w:rPr>
        <w:t xml:space="preserve">▸ Слайд 26</w:t>
      </w:r>
    </w:p>
    <w:p>
      <w:pPr>
        <w:spacing w:after="140" w:line="288"/>
        <w:ind w:firstLine="0"/>
        <w:jc w:val="both"/>
      </w:pPr>
      <w:r>
        <w:t xml:space="preserve">Логіко-структурний підхід — це аналітичний метод планування в п'ять кроків: аналіз стейкхолдерів, аналіз проблем, аналіз цілей, аналіз стратегії та побудова матриці логфрейму. Кожен крок використовує продукт попереднього: проблеми аналізують з опорою на ідентифікованих стейкхолдерів, цілі виводять із проблем, стратегія обирає між шляхами досягнення цілей, а матриця фіксує результат. Лекція 2 показує, як виконується кожен крок.</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992"/>
        <w:gridCol w:w="2420"/>
        <w:gridCol w:w="2283"/>
        <w:gridCol w:w="2375"/>
      </w:tblGrid>
      <w:tr>
        <w:trPr>
          <w:cantSplit/>
          <w:tblHeader/>
        </w:trPr>
        <w:tc>
          <w:tcPr>
            <w:tcW w:type="dxa" w:w="1992"/>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17"/>
                <w:szCs w:val="17"/>
              </w:rPr>
              <w:t xml:space="preserve">Ієрархія цілей</w:t>
            </w:r>
          </w:p>
        </w:tc>
        <w:tc>
          <w:tcPr>
            <w:tcW w:type="dxa" w:w="2420"/>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17"/>
                <w:szCs w:val="17"/>
              </w:rPr>
              <w:t xml:space="preserve">Індикатори</w:t>
            </w:r>
          </w:p>
        </w:tc>
        <w:tc>
          <w:tcPr>
            <w:tcW w:type="dxa" w:w="2283"/>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17"/>
                <w:szCs w:val="17"/>
              </w:rPr>
              <w:t xml:space="preserve">Джерела верифікації</w:t>
            </w:r>
          </w:p>
        </w:tc>
        <w:tc>
          <w:tcPr>
            <w:tcW w:type="dxa" w:w="2375"/>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17"/>
                <w:szCs w:val="17"/>
              </w:rPr>
              <w:t xml:space="preserve">Припущення</w:t>
            </w:r>
          </w:p>
        </w:tc>
      </w:tr>
      <w:tr>
        <w:trPr>
          <w:cantSplit/>
          <w:tblHeader w:val="false"/>
        </w:trPr>
        <w:tc>
          <w:tcPr>
            <w:tcW w:type="dxa" w:w="1992"/>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17"/>
                <w:szCs w:val="17"/>
              </w:rPr>
              <w:t xml:space="preserve">Загальна мета</w:t>
            </w:r>
          </w:p>
        </w:tc>
        <w:tc>
          <w:tcPr>
            <w:tcW w:type="dxa" w:w="2420"/>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Індикатори впливу</w:t>
            </w:r>
          </w:p>
        </w:tc>
        <w:tc>
          <w:tcPr>
            <w:tcW w:type="dxa" w:w="2283"/>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Статистика, дослідження</w:t>
            </w:r>
          </w:p>
        </w:tc>
        <w:tc>
          <w:tcPr>
            <w:tcW w:type="dxa" w:w="2375"/>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w:t>
            </w:r>
          </w:p>
        </w:tc>
      </w:tr>
      <w:tr>
        <w:trPr>
          <w:cantSplit/>
          <w:tblHeader w:val="false"/>
        </w:trPr>
        <w:tc>
          <w:tcPr>
            <w:tcW w:type="dxa" w:w="1992"/>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17"/>
                <w:szCs w:val="17"/>
              </w:rPr>
              <w:t xml:space="preserve">Конкретна мета (мети)</w:t>
            </w:r>
          </w:p>
        </w:tc>
        <w:tc>
          <w:tcPr>
            <w:tcW w:type="dxa" w:w="2420"/>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Індикатори ефектів</w:t>
            </w:r>
          </w:p>
        </w:tc>
        <w:tc>
          <w:tcPr>
            <w:tcW w:type="dxa" w:w="2283"/>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Опитування, звіти</w:t>
            </w:r>
          </w:p>
        </w:tc>
        <w:tc>
          <w:tcPr>
            <w:tcW w:type="dxa" w:w="2375"/>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Умови для внеску в загальну мету</w:t>
            </w:r>
          </w:p>
        </w:tc>
      </w:tr>
      <w:tr>
        <w:trPr>
          <w:cantSplit/>
          <w:tblHeader w:val="false"/>
        </w:trPr>
        <w:tc>
          <w:tcPr>
            <w:tcW w:type="dxa" w:w="1992"/>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17"/>
                <w:szCs w:val="17"/>
              </w:rPr>
              <w:t xml:space="preserve">Результати</w:t>
            </w:r>
          </w:p>
        </w:tc>
        <w:tc>
          <w:tcPr>
            <w:tcW w:type="dxa" w:w="2420"/>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Індикатори результатів (продуктів)</w:t>
            </w:r>
          </w:p>
        </w:tc>
        <w:tc>
          <w:tcPr>
            <w:tcW w:type="dxa" w:w="2283"/>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Документація проєкту</w:t>
            </w:r>
          </w:p>
        </w:tc>
        <w:tc>
          <w:tcPr>
            <w:tcW w:type="dxa" w:w="2375"/>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Умови досягнення конкретної мети</w:t>
            </w:r>
          </w:p>
        </w:tc>
      </w:tr>
      <w:tr>
        <w:trPr>
          <w:cantSplit/>
          <w:tblHeader w:val="false"/>
        </w:trPr>
        <w:tc>
          <w:tcPr>
            <w:tcW w:type="dxa" w:w="1992"/>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b/>
                <w:bCs/>
                <w:color w:val="1F2533"/>
                <w:sz w:val="17"/>
                <w:szCs w:val="17"/>
              </w:rPr>
              <w:t xml:space="preserve">Заходи</w:t>
            </w:r>
          </w:p>
        </w:tc>
        <w:tc>
          <w:tcPr>
            <w:tcW w:type="dxa" w:w="2420"/>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17"/>
                <w:szCs w:val="17"/>
              </w:rPr>
              <w:t xml:space="preserve">Засоби / ресурси</w:t>
            </w:r>
          </w:p>
        </w:tc>
        <w:tc>
          <w:tcPr>
            <w:tcW w:type="dxa" w:w="2283"/>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17"/>
                <w:szCs w:val="17"/>
              </w:rPr>
              <w:t xml:space="preserve">Витрати / бюджет</w:t>
            </w:r>
          </w:p>
        </w:tc>
        <w:tc>
          <w:tcPr>
            <w:tcW w:type="dxa" w:w="2375"/>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17"/>
                <w:szCs w:val="17"/>
              </w:rPr>
              <w:t xml:space="preserve">Умови отримання результатів</w:t>
            </w:r>
          </w:p>
        </w:tc>
      </w:tr>
    </w:tbl>
    <w:p>
      <w:pPr>
        <w:spacing w:after="120" w:before="0"/>
      </w:pPr>
    </w:p>
    <w:p>
      <w:pPr>
        <w:spacing w:after="140" w:line="288"/>
        <w:ind w:firstLine="0"/>
        <w:jc w:val="both"/>
      </w:pPr>
      <w:r>
        <w:t xml:space="preserve">Рядки утворюють </w:t>
      </w:r>
      <w:r>
        <w:rPr>
          <w:i/>
          <w:iCs/>
        </w:rPr>
        <w:t xml:space="preserve">ієрархію цілей</w:t>
      </w:r>
      <w:r>
        <w:t xml:space="preserve">. Загальна мета — це довгострокова зміна, до якої проєкт робить внесок; конкретна мета — це зміна, яку, як очікується, забезпечить сам проєкт; результати — це продукти та послуги, які він створює; заходи — це те, що робить команда для їх створення. Кожен рівень має власні індикатори: індикатори впливу, ефектів і результатів для трьох верхніх рівнів та засоби й ресурси для заходів. Третя колонка вказує, де знаходитимуть докази, — від національної статистики й досліджень угорі до проєктної документації та бюджету внизу. Четверта містить припущення — умови поза контролем проєкту, що мають виконуватися для переходу до наступного рівня. Клітинка для загальної мети порожня, бо вище неї немає рівня.</w:t>
      </w:r>
    </w:p>
    <w:p>
      <w:pPr>
        <w:spacing w:after="140" w:line="288"/>
        <w:ind w:firstLine="0"/>
        <w:jc w:val="both"/>
      </w:pPr>
      <w:r>
        <w:t xml:space="preserve">Матрицю читають знизу вгору як ланцюжок умовних тверджень: якщо заходи виконано й умови для отримання результатів дотримано, результати буде досягнуто; якщо результати досягнуто й наступне припущення справджується, конкретну мету буде досягнуто; а якщо її досягнуто й справджується третє припущення, проєкт зробить внесок у досягнення загальної мети. Оцінювачі перевіряють цей ланцюжок, тому ЛСП, обов'язковий у більшості грантових конкурсів ЄС, є спільною мовою між заявником і донором.</w:t>
      </w:r>
    </w:p>
    <w:p>
      <w:pPr>
        <w:pStyle w:val="Heading2"/>
        <w:keepNext/>
      </w:pPr>
      <w:r>
        <w:t xml:space="preserve">Чотири методології в порівнянні</w:t>
      </w:r>
    </w:p>
    <w:p>
      <w:pPr>
        <w:keepNext/>
        <w:spacing w:after="40" w:before="120"/>
      </w:pPr>
      <w:r>
        <w:rPr>
          <w:rFonts w:ascii="Calibri" w:cs="Calibri" w:eastAsia="Calibri" w:hAnsi="Calibri"/>
          <w:b/>
          <w:bCs/>
          <w:caps/>
          <w:color w:val="A8841A"/>
          <w:spacing w:val="20"/>
          <w:sz w:val="17"/>
          <w:szCs w:val="17"/>
        </w:rPr>
        <w:t xml:space="preserve">▸ Слайд 27</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007"/>
        <w:gridCol w:w="2196"/>
        <w:gridCol w:w="2871"/>
        <w:gridCol w:w="2996"/>
      </w:tblGrid>
      <w:tr>
        <w:trPr>
          <w:cantSplit/>
          <w:tblHeader/>
        </w:trPr>
        <w:tc>
          <w:tcPr>
            <w:tcW w:type="dxa" w:w="1007"/>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17"/>
                <w:szCs w:val="17"/>
              </w:rPr>
              <w:t xml:space="preserve"/>
            </w:r>
          </w:p>
        </w:tc>
        <w:tc>
          <w:tcPr>
            <w:tcW w:type="dxa" w:w="2196"/>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17"/>
                <w:szCs w:val="17"/>
              </w:rPr>
              <w:t xml:space="preserve">Розробник</w:t>
            </w:r>
          </w:p>
        </w:tc>
        <w:tc>
          <w:tcPr>
            <w:tcW w:type="dxa" w:w="2871"/>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17"/>
                <w:szCs w:val="17"/>
              </w:rPr>
              <w:t xml:space="preserve">Основна структура</w:t>
            </w:r>
          </w:p>
        </w:tc>
        <w:tc>
          <w:tcPr>
            <w:tcW w:type="dxa" w:w="2996"/>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17"/>
                <w:szCs w:val="17"/>
              </w:rPr>
              <w:t xml:space="preserve">Типове застосування в міжнародних проєктах</w:t>
            </w:r>
          </w:p>
        </w:tc>
      </w:tr>
      <w:tr>
        <w:trPr>
          <w:cantSplit/>
          <w:tblHeader w:val="false"/>
        </w:trPr>
        <w:tc>
          <w:tcPr>
            <w:tcW w:type="dxa" w:w="1007"/>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17"/>
                <w:szCs w:val="17"/>
              </w:rPr>
              <w:t xml:space="preserve">PMBOK</w:t>
            </w:r>
          </w:p>
        </w:tc>
        <w:tc>
          <w:tcPr>
            <w:tcW w:type="dxa" w:w="219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Project Management Institute (США)</w:t>
            </w:r>
          </w:p>
        </w:tc>
        <w:tc>
          <w:tcPr>
            <w:tcW w:type="dxa" w:w="2871"/>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Галузі знань і групи процесів (у нещодавніх виданнях — принципи та домени ефективності)</w:t>
            </w:r>
          </w:p>
        </w:tc>
        <w:tc>
          <w:tcPr>
            <w:tcW w:type="dxa" w:w="299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Універсальна, галузево нейтральна; проєкти приватного сектору та технічної допомоги</w:t>
            </w:r>
          </w:p>
        </w:tc>
      </w:tr>
      <w:tr>
        <w:trPr>
          <w:cantSplit/>
          <w:tblHeader w:val="false"/>
        </w:trPr>
        <w:tc>
          <w:tcPr>
            <w:tcW w:type="dxa" w:w="1007"/>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17"/>
                <w:szCs w:val="17"/>
              </w:rPr>
              <w:t xml:space="preserve">PM²</w:t>
            </w:r>
          </w:p>
        </w:tc>
        <w:tc>
          <w:tcPr>
            <w:tcW w:type="dxa" w:w="219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Європейська Комісія, CoEPM²</w:t>
            </w:r>
          </w:p>
        </w:tc>
        <w:tc>
          <w:tcPr>
            <w:tcW w:type="dxa" w:w="2871"/>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Фази: ініціювання, планування, виконання, закриття; стандартні артефакти</w:t>
            </w:r>
          </w:p>
        </w:tc>
        <w:tc>
          <w:tcPr>
            <w:tcW w:type="dxa" w:w="299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Установи ЄС; грантові проєкти за програмами ЄС</w:t>
            </w:r>
          </w:p>
        </w:tc>
      </w:tr>
      <w:tr>
        <w:trPr>
          <w:cantSplit/>
          <w:tblHeader w:val="false"/>
        </w:trPr>
        <w:tc>
          <w:tcPr>
            <w:tcW w:type="dxa" w:w="1007"/>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1F2533"/>
                <w:sz w:val="17"/>
                <w:szCs w:val="17"/>
              </w:rPr>
              <w:t xml:space="preserve">PCM</w:t>
            </w:r>
          </w:p>
        </w:tc>
        <w:tc>
          <w:tcPr>
            <w:tcW w:type="dxa" w:w="219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Європейська Комісія (зовнішня допомога)</w:t>
            </w:r>
          </w:p>
        </w:tc>
        <w:tc>
          <w:tcPr>
            <w:tcW w:type="dxa" w:w="2871"/>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Шестифазний проєктний цикл від програмування до оцінювання</w:t>
            </w:r>
          </w:p>
        </w:tc>
        <w:tc>
          <w:tcPr>
            <w:tcW w:type="dxa" w:w="299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17"/>
                <w:szCs w:val="17"/>
              </w:rPr>
              <w:t xml:space="preserve">Проєкти розвитку та співробітництва ЄС і більшості донорів</w:t>
            </w:r>
          </w:p>
        </w:tc>
      </w:tr>
      <w:tr>
        <w:trPr>
          <w:cantSplit/>
          <w:tblHeader w:val="false"/>
        </w:trPr>
        <w:tc>
          <w:tcPr>
            <w:tcW w:type="dxa" w:w="1007"/>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b/>
                <w:bCs/>
                <w:color w:val="1F2533"/>
                <w:sz w:val="17"/>
                <w:szCs w:val="17"/>
              </w:rPr>
              <w:t xml:space="preserve">ЛСП</w:t>
            </w:r>
          </w:p>
        </w:tc>
        <w:tc>
          <w:tcPr>
            <w:tcW w:type="dxa" w:w="219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17"/>
                <w:szCs w:val="17"/>
              </w:rPr>
              <w:t xml:space="preserve">Аналітичний метод планування</w:t>
            </w:r>
          </w:p>
        </w:tc>
        <w:tc>
          <w:tcPr>
            <w:tcW w:type="dxa" w:w="2871"/>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17"/>
                <w:szCs w:val="17"/>
              </w:rPr>
              <w:t xml:space="preserve">Аналіз стейкхолдерів, проблем, цілей, стратегій; матриця логфрейму</w:t>
            </w:r>
          </w:p>
        </w:tc>
        <w:tc>
          <w:tcPr>
            <w:tcW w:type="dxa" w:w="299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17"/>
                <w:szCs w:val="17"/>
              </w:rPr>
              <w:t xml:space="preserve">Обов'язковий у більшості грантових конкурсів ЄС; спільна мова з донорами</w:t>
            </w:r>
          </w:p>
        </w:tc>
      </w:tr>
    </w:tbl>
    <w:p>
      <w:pPr>
        <w:spacing w:after="120" w:before="0"/>
      </w:pPr>
    </w:p>
    <w:p>
      <w:pPr>
        <w:spacing w:after="140" w:line="288"/>
        <w:ind w:firstLine="0"/>
        <w:jc w:val="both"/>
      </w:pPr>
      <w:r>
        <w:t xml:space="preserve">Цей огляд підтримує самостійну роботу до лекції 1 — порівняльний аналіз PMBOK, PM² і PCM. Він показує, що методології відрізняються за походженням і призначенням і частіше взаємодоповнюють одна одну, ніж конкурують: один грантовий проєкт може використовувати ЛСП для обґрунтування свого дизайну, дотримуватися циклічної логіки PCM у звітуванні перед донором і спиратися на інструменти в дусі PMBOK для розкладу, вартості та ризиків.</w:t>
      </w:r>
    </w:p>
    <w:p>
      <w:pPr>
        <w:spacing w:after="140" w:line="288"/>
        <w:ind w:firstLine="0"/>
        <w:jc w:val="both"/>
      </w:pPr>
      <w:r>
        <w:t xml:space="preserve">П'яте запитання для самоконтролю питає, яка з методологій — PMBOK чи PCM — більше орієнтована на міжнародні проєкти технічної допомоги. PCM створено для зовнішньої допомоги, і її доповнює ЛСП, якого вимагають донори; PMBOK є галузево нейтральним і дедалі більше застосовується в технічній допомозі, але не приписує кроків, специфічних для донорів. Тому PCM є більш специфічною для цієї сфери, а PMBOK — більш загальним набором інструментів.</w:t>
      </w:r>
    </w:p>
    <w:p>
      <w:pPr>
        <w:spacing w:after="140" w:line="288"/>
        <w:ind w:firstLine="0"/>
        <w:jc w:val="both"/>
      </w:pPr>
      <w:r>
        <w:t xml:space="preserve">Три випадки варто обговорити на занятті. Для проєкту технічної допомоги, що фінансується двосторонньою агенцією розвитку (наприклад, GIZ або USAID до припинення її діяльності у 2025 р.), вирішальними є настанови конкурсу, і ймовірним є поєднання планувальної логіки донора з управлінськими інструментами типу PMBOK. Для консорціуму Erasmus+ застосовуються ЛСП і логіка PCM, оскільки це грант ЄС, а PM² є доречним орієнтиром. Для інвестиційного проєкту приватного сектору, де жоден донор не приписує формату планування, природним вибором є галузево нейтральний PMBOK.</w:t>
      </w:r>
    </w:p>
    <w:p>
      <w:pPr>
        <w:pStyle w:val="Heading1"/>
        <w:keepNext/>
      </w:pPr>
      <w:r>
        <w:t xml:space="preserve">6. Особливості управління міжнародними проєктами в умовах невизначеності, міжкультурної взаємодії та обмежених ресурсів</w:t>
      </w:r>
    </w:p>
    <w:p>
      <w:pPr>
        <w:keepNext/>
        <w:spacing w:after="40" w:before="120"/>
      </w:pPr>
      <w:r>
        <w:rPr>
          <w:rFonts w:ascii="Calibri" w:cs="Calibri" w:eastAsia="Calibri" w:hAnsi="Calibri"/>
          <w:b/>
          <w:bCs/>
          <w:caps/>
          <w:color w:val="A8841A"/>
          <w:spacing w:val="20"/>
          <w:sz w:val="17"/>
          <w:szCs w:val="17"/>
        </w:rPr>
        <w:t xml:space="preserve">▸ Слайд 28</w:t>
      </w:r>
    </w:p>
    <w:p>
      <w:pPr>
        <w:spacing w:after="140" w:line="288"/>
        <w:ind w:firstLine="0"/>
        <w:jc w:val="both"/>
      </w:pPr>
      <w:r>
        <w:t xml:space="preserve">Завершальний розділ пояснює, чому міжнародний проєкт вимагає управлінських компетентностей, що виходять за межі потрібних для національної ініціативи подібного масштабу. Розділовий слайд називає п'ять чинників, які вирізняють міжнародні проєкти, культурні виміри, що мають значення в консорціумі, та контекст проєктів, які реалізуються в Україні.</w:t>
      </w:r>
    </w:p>
    <w:p>
      <w:pPr>
        <w:pStyle w:val="Heading2"/>
        <w:keepNext/>
      </w:pPr>
      <w:r>
        <w:t xml:space="preserve">П'ять чинників, що формують управління міжнародним проєктом</w:t>
      </w:r>
    </w:p>
    <w:p>
      <w:pPr>
        <w:keepNext/>
        <w:spacing w:after="40" w:before="120"/>
      </w:pPr>
      <w:r>
        <w:rPr>
          <w:rFonts w:ascii="Calibri" w:cs="Calibri" w:eastAsia="Calibri" w:hAnsi="Calibri"/>
          <w:b/>
          <w:bCs/>
          <w:caps/>
          <w:color w:val="A8841A"/>
          <w:spacing w:val="20"/>
          <w:sz w:val="17"/>
          <w:szCs w:val="17"/>
        </w:rPr>
        <w:t xml:space="preserve">▸ Слайд 29</w:t>
      </w:r>
    </w:p>
    <w:p>
      <w:pPr>
        <w:spacing w:after="140" w:line="288"/>
        <w:ind w:firstLine="0"/>
        <w:jc w:val="both"/>
      </w:pPr>
      <w:r>
        <w:rPr>
          <w:b/>
          <w:bCs/>
        </w:rPr>
        <w:t xml:space="preserve">Невизначеність і ризик.</w:t>
      </w:r>
      <w:r>
        <w:t xml:space="preserve"> Міжнародні проєкти реалізуються в умовах підвищеної невизначеності, зумовленої політичною нестабільністю, коливаннями валютних курсів, змінами в законодавстві та логістичними обмеженнями. Кожен партнер привносить власне національне середовище, тому вразливість консорціуму є сумою вразливостей його членів. Для проєктів, що реалізуються в Україні за нинішніх умов, існують додаткові ризики безпеки, які можуть впливати на доступність персоналу, відрядження, закупівлі та графік заходів. Це відповідає на шосте запитання для самоконтролю: специфічними для України чинниками є ризики безпеки, що додаються до невизначеностей, з якими стикаються всі міжнародні проєкти. План управління ризиками належить до фази планування, тож управління ризиками має починатися вже на етапі дизайну; докладно його розглядає лекція 7.</w:t>
      </w:r>
    </w:p>
    <w:p>
      <w:pPr>
        <w:spacing w:after="140" w:line="288"/>
        <w:ind w:firstLine="0"/>
        <w:jc w:val="both"/>
      </w:pPr>
      <w:r>
        <w:rPr>
          <w:b/>
          <w:bCs/>
        </w:rPr>
        <w:t xml:space="preserve">Міжкультурна взаємодія.</w:t>
      </w:r>
      <w:r>
        <w:t xml:space="preserve"> Партнери привносять різні управлінські традиції, стилі комунікації, часові орієнтації та рівні дистанції влади. Наступний слайд розглядає це питання на основі даних.</w:t>
      </w:r>
    </w:p>
    <w:p>
      <w:pPr>
        <w:spacing w:after="140" w:line="288"/>
        <w:ind w:firstLine="0"/>
        <w:jc w:val="both"/>
      </w:pPr>
      <w:r>
        <w:rPr>
          <w:b/>
          <w:bCs/>
        </w:rPr>
        <w:t xml:space="preserve">Обмеженість ресурсів і жорсткі процедури донорів.</w:t>
      </w:r>
      <w:r>
        <w:t xml:space="preserve"> На відміну від внутрішньоорганізаційного проєкту, грантовий проєкт має фіксований бюджет, який, як правило, не підлягає обговоренню, суворі правила допустимості витрат, обов'язкове співфінансування та стислі строки звітності. Ресурси можна перерозподіляти між бюджетними статтями лише в обмежених межах і лише за попередньої згоди донора. Наслідок полягає в тому, що кошториси, складені на етапі планування, мають велику вагу, оскільки помилки важко виправити пізніше.</w:t>
      </w:r>
    </w:p>
    <w:p>
      <w:pPr>
        <w:spacing w:after="140" w:line="288"/>
        <w:ind w:firstLine="0"/>
        <w:jc w:val="both"/>
      </w:pPr>
      <w:r>
        <w:rPr>
          <w:b/>
          <w:bCs/>
        </w:rPr>
        <w:t xml:space="preserve">Асиметрія між донором і реципієнтом.</w:t>
      </w:r>
      <w:r>
        <w:t xml:space="preserve"> Позиції учасників нерівні. Донор встановлює правила гри (пріоритети, процедури, критерії оцінювання), а заявник і його партнери мають довести, що їхня ініціатива відповідає наперед визначеним вимогам. Це породжує потребу в ретельному попередньому аналізі стратегічних пріоритетів донора до того, як буде розроблено проєктну ідею, і саме тому відповідність пріоритетам донора постає вже на фазі ініціювання.</w:t>
      </w:r>
    </w:p>
    <w:p>
      <w:pPr>
        <w:spacing w:after="140" w:line="288"/>
        <w:ind w:firstLine="0"/>
        <w:jc w:val="both"/>
      </w:pPr>
      <w:r>
        <w:rPr>
          <w:b/>
          <w:bCs/>
        </w:rPr>
        <w:t xml:space="preserve">Прозорість і підзвітність.</w:t>
      </w:r>
      <w:r>
        <w:t xml:space="preserve"> Публічні кошти, чи то з бюджету ЄС, чи від платників податків країн-донорів, зумовлюють підвищені вимоги: фінансову прозорість, антикорупційні гарантії, запобігання конфлікту інтересів і подвійному фінансуванню та належне врядування всередині консорціуму. Лекція 4 повертається до етики та належного врядування, а лекції 6 і 8 — до фінансової та змістової звітності.</w:t>
      </w:r>
    </w:p>
    <w:p>
      <w:pPr>
        <w:spacing w:after="140" w:line="288"/>
        <w:ind w:firstLine="0"/>
        <w:jc w:val="both"/>
      </w:pPr>
      <w:r>
        <w:t xml:space="preserve">Ці чинники підсилюють один одного: жорсткі правила перетворюють невизначеність на фінансову проблему, оскільки проєкт не може легко пристосуватися, а асиметрія між донором і реципієнтом якраз і робить підзвітність такою вимогливою.</w:t>
      </w:r>
    </w:p>
    <w:p>
      <w:pPr>
        <w:pStyle w:val="Heading2"/>
        <w:keepNext/>
      </w:pPr>
      <w:r>
        <w:t xml:space="preserve">Дистанція влади в багатонаціональному консорціумі</w:t>
      </w:r>
    </w:p>
    <w:p>
      <w:pPr>
        <w:keepNext/>
        <w:spacing w:after="40" w:before="120"/>
      </w:pPr>
      <w:r>
        <w:rPr>
          <w:rFonts w:ascii="Calibri" w:cs="Calibri" w:eastAsia="Calibri" w:hAnsi="Calibri"/>
          <w:b/>
          <w:bCs/>
          <w:caps/>
          <w:color w:val="A8841A"/>
          <w:spacing w:val="20"/>
          <w:sz w:val="17"/>
          <w:szCs w:val="17"/>
        </w:rPr>
        <w:t xml:space="preserve">▸ Слайд 30</w:t>
      </w:r>
    </w:p>
    <w:p>
      <w:pPr>
        <w:spacing w:after="140" w:line="288"/>
        <w:ind w:firstLine="0"/>
        <w:jc w:val="both"/>
      </w:pPr>
      <w:r>
        <w:t xml:space="preserve">Із п'яти чинників міжкультурна взаємодія — той, для якого курс пропонує вимірювану ілюстрацію. Г. Гофстеде визначив </w:t>
      </w:r>
      <w:r>
        <w:rPr>
          <w:b/>
          <w:bCs/>
        </w:rPr>
        <w:t xml:space="preserve">дистанцію влади</w:t>
      </w:r>
      <w:r>
        <w:t xml:space="preserve"> як міру, в якій менш впливові члени організацій погоджуються з тим, що влада розподілена нерівномірно. Індекс дистанції влади (Power Distance Index, PDI) оцінюється за шкалою від 0 до 100, і слайд зображує значення для одинадцяти країн.</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6046"/>
        <w:gridCol w:w="3024"/>
      </w:tblGrid>
      <w:tr>
        <w:trPr>
          <w:cantSplit/>
          <w:tblHeader/>
        </w:trPr>
        <w:tc>
          <w:tcPr>
            <w:tcW w:type="dxa" w:w="6046"/>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20"/>
                <w:szCs w:val="20"/>
              </w:rPr>
              <w:t xml:space="preserve">Країна</w:t>
            </w:r>
          </w:p>
        </w:tc>
        <w:tc>
          <w:tcPr>
            <w:tcW w:type="dxa" w:w="3024"/>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b/>
                <w:bCs/>
                <w:color w:val="FFFFFF"/>
                <w:sz w:val="20"/>
                <w:szCs w:val="20"/>
              </w:rPr>
              <w:t xml:space="preserve">PDI</w:t>
            </w:r>
          </w:p>
        </w:tc>
      </w:tr>
      <w:tr>
        <w:trPr>
          <w:cantSplit/>
          <w:tblHeader w:val="false"/>
        </w:trPr>
        <w:tc>
          <w:tcPr>
            <w:tcW w:type="dxa" w:w="604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Україна</w:t>
            </w:r>
          </w:p>
        </w:tc>
        <w:tc>
          <w:tcPr>
            <w:tcW w:type="dxa" w:w="302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92</w:t>
            </w:r>
          </w:p>
        </w:tc>
      </w:tr>
      <w:tr>
        <w:trPr>
          <w:cantSplit/>
          <w:tblHeader w:val="false"/>
        </w:trPr>
        <w:tc>
          <w:tcPr>
            <w:tcW w:type="dxa" w:w="604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Польща</w:t>
            </w:r>
          </w:p>
        </w:tc>
        <w:tc>
          <w:tcPr>
            <w:tcW w:type="dxa" w:w="302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68</w:t>
            </w:r>
          </w:p>
        </w:tc>
      </w:tr>
      <w:tr>
        <w:trPr>
          <w:cantSplit/>
          <w:tblHeader w:val="false"/>
        </w:trPr>
        <w:tc>
          <w:tcPr>
            <w:tcW w:type="dxa" w:w="604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Франція</w:t>
            </w:r>
          </w:p>
        </w:tc>
        <w:tc>
          <w:tcPr>
            <w:tcW w:type="dxa" w:w="302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68</w:t>
            </w:r>
          </w:p>
        </w:tc>
      </w:tr>
      <w:tr>
        <w:trPr>
          <w:cantSplit/>
          <w:tblHeader w:val="false"/>
        </w:trPr>
        <w:tc>
          <w:tcPr>
            <w:tcW w:type="dxa" w:w="604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Італія</w:t>
            </w:r>
          </w:p>
        </w:tc>
        <w:tc>
          <w:tcPr>
            <w:tcW w:type="dxa" w:w="302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50</w:t>
            </w:r>
          </w:p>
        </w:tc>
      </w:tr>
      <w:tr>
        <w:trPr>
          <w:cantSplit/>
          <w:tblHeader w:val="false"/>
        </w:trPr>
        <w:tc>
          <w:tcPr>
            <w:tcW w:type="dxa" w:w="604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США</w:t>
            </w:r>
          </w:p>
        </w:tc>
        <w:tc>
          <w:tcPr>
            <w:tcW w:type="dxa" w:w="302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40</w:t>
            </w:r>
          </w:p>
        </w:tc>
      </w:tr>
      <w:tr>
        <w:trPr>
          <w:cantSplit/>
          <w:tblHeader w:val="false"/>
        </w:trPr>
        <w:tc>
          <w:tcPr>
            <w:tcW w:type="dxa" w:w="604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Нідерланди</w:t>
            </w:r>
          </w:p>
        </w:tc>
        <w:tc>
          <w:tcPr>
            <w:tcW w:type="dxa" w:w="302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38</w:t>
            </w:r>
          </w:p>
        </w:tc>
      </w:tr>
      <w:tr>
        <w:trPr>
          <w:cantSplit/>
          <w:tblHeader w:val="false"/>
        </w:trPr>
        <w:tc>
          <w:tcPr>
            <w:tcW w:type="dxa" w:w="604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Німеччина</w:t>
            </w:r>
          </w:p>
        </w:tc>
        <w:tc>
          <w:tcPr>
            <w:tcW w:type="dxa" w:w="302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35</w:t>
            </w:r>
          </w:p>
        </w:tc>
      </w:tr>
      <w:tr>
        <w:trPr>
          <w:cantSplit/>
          <w:tblHeader w:val="false"/>
        </w:trPr>
        <w:tc>
          <w:tcPr>
            <w:tcW w:type="dxa" w:w="604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Велика Британія</w:t>
            </w:r>
          </w:p>
        </w:tc>
        <w:tc>
          <w:tcPr>
            <w:tcW w:type="dxa" w:w="302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35</w:t>
            </w:r>
          </w:p>
        </w:tc>
      </w:tr>
      <w:tr>
        <w:trPr>
          <w:cantSplit/>
          <w:tblHeader w:val="false"/>
        </w:trPr>
        <w:tc>
          <w:tcPr>
            <w:tcW w:type="dxa" w:w="604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Швеція</w:t>
            </w:r>
          </w:p>
        </w:tc>
        <w:tc>
          <w:tcPr>
            <w:tcW w:type="dxa" w:w="302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31</w:t>
            </w:r>
          </w:p>
        </w:tc>
      </w:tr>
      <w:tr>
        <w:trPr>
          <w:cantSplit/>
          <w:tblHeader w:val="false"/>
        </w:trPr>
        <w:tc>
          <w:tcPr>
            <w:tcW w:type="dxa" w:w="604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Данія</w:t>
            </w:r>
          </w:p>
        </w:tc>
        <w:tc>
          <w:tcPr>
            <w:tcW w:type="dxa" w:w="302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spacing w:after="0" w:before="0" w:line="252"/>
            </w:pPr>
            <w:r>
              <w:rPr>
                <w:rFonts w:ascii="Times New Roman" w:cs="Times New Roman" w:eastAsia="Times New Roman" w:hAnsi="Times New Roman"/>
                <w:color w:val="1F2533"/>
                <w:sz w:val="20"/>
                <w:szCs w:val="20"/>
              </w:rPr>
              <w:t xml:space="preserve">18</w:t>
            </w:r>
          </w:p>
        </w:tc>
      </w:tr>
      <w:tr>
        <w:trPr>
          <w:cantSplit/>
          <w:tblHeader w:val="false"/>
        </w:trPr>
        <w:tc>
          <w:tcPr>
            <w:tcW w:type="dxa" w:w="604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Австрія</w:t>
            </w:r>
          </w:p>
        </w:tc>
        <w:tc>
          <w:tcPr>
            <w:tcW w:type="dxa" w:w="302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11</w:t>
            </w:r>
          </w:p>
        </w:tc>
      </w:tr>
    </w:tbl>
    <w:p>
      <w:pPr>
        <w:spacing w:after="120" w:before="0"/>
      </w:pPr>
    </w:p>
    <w:p>
      <w:pPr>
        <w:spacing w:after="160" w:before="40"/>
        <w:jc w:val="left"/>
      </w:pPr>
      <w:r>
        <w:rPr>
          <w:rFonts w:ascii="Times New Roman" w:cs="Times New Roman" w:eastAsia="Times New Roman" w:hAnsi="Times New Roman"/>
          <w:i/>
          <w:iCs/>
          <w:color w:val="5F6B85"/>
          <w:sz w:val="19"/>
          <w:szCs w:val="19"/>
        </w:rPr>
        <w:t xml:space="preserve">Hofstede Insights, Country Comparison Tool; G. Hofstede, G. J. Hofstede та M. Minkov, Cultures and Organizations (3rd ed., 2010).</w:t>
      </w:r>
    </w:p>
    <w:p>
      <w:pPr>
        <w:spacing w:after="140" w:line="288"/>
        <w:ind w:firstLine="0"/>
        <w:jc w:val="both"/>
      </w:pPr>
      <w:r>
        <w:t xml:space="preserve">Україна має 92 бали — найвище значення на діаграмі, на 24 пункти більше, ніж Польща та Франція, які ділять друге місце із 68 балами. Розрив із Німеччиною та Великою Британією (обидві мають 35) становить 57 пунктів, а з Австрією (11), яка має найнижчий бал, — 81 пункт. У культурах із високим PDI очікують ієрархії та рішень «згори вниз»; у культурах із низьким PDI — консультацій і делегування. Наслідки стосуються ухвалення рішень, зворотного зв'язку та делегування в консорціумах: партнер із середовища з низьким PDI може надіслати чернетку й запросити критику, а колега із середовища з високим PDI може сприйняти це як брак лідерства або вагатися, чи критикувати керівника; і навпаки, координатор може сприйняти мовчання за згоду, тоді як це шанобливе підпорядкування.</w:t>
      </w:r>
    </w:p>
    <w:p>
      <w:pPr>
        <w:spacing w:after="140" w:line="288"/>
        <w:ind w:firstLine="0"/>
        <w:jc w:val="both"/>
      </w:pPr>
      <w:r>
        <w:t xml:space="preserve">Ці показники описують національні середні значення й не дають змоги передбачити поведінку конкретної особи чи організації. Вони корисні як джерело гіпотез: підказують запитання, які менеджер має ставити й перевіряти в розмові з партнерами.</w:t>
      </w:r>
    </w:p>
    <w:p>
      <w:pPr>
        <w:spacing w:after="140" w:line="288"/>
        <w:ind w:firstLine="0"/>
        <w:jc w:val="both"/>
      </w:pPr>
      <w:r>
        <w:t xml:space="preserve">Другий вимір — розрізнення Е. Голла між </w:t>
      </w:r>
      <w:r>
        <w:rPr>
          <w:b/>
          <w:bCs/>
        </w:rPr>
        <w:t xml:space="preserve">монохронними</w:t>
      </w:r>
      <w:r>
        <w:t xml:space="preserve"> та </w:t>
      </w:r>
      <w:r>
        <w:rPr>
          <w:b/>
          <w:bCs/>
        </w:rPr>
        <w:t xml:space="preserve">поліхронними</w:t>
      </w:r>
      <w:r>
        <w:t xml:space="preserve"> культурами. Монохронні культури дотримуються лінійних графіків і суворих термінів; поліхронні виконують кілька завдань паралельно й гнучко ставляться до часу. Партнери з різною часовою орієнтацією можуть по-різному тлумачити той самий строк, що має значення там, де донори встановлюють стислі дати звітності. Чіткі віхи, узгоджені правила комунікації та регулярні зустрічі зменшують цей ризик.</w:t>
      </w:r>
    </w:p>
    <w:p>
      <w:pPr>
        <w:spacing w:after="140" w:line="288"/>
        <w:ind w:firstLine="0"/>
        <w:jc w:val="both"/>
      </w:pPr>
      <w:r>
        <w:t xml:space="preserve">Для менеджера з цього випливає висновок: ефективне управління консорціумом потребує міжкультурної компетентності, здатності медіювати конфлікти та вміння будувати довіру в розподілених командах.</w:t>
      </w:r>
    </w:p>
    <w:p>
      <w:pPr>
        <w:pStyle w:val="Heading1"/>
        <w:keepNext/>
      </w:pPr>
      <w:r>
        <w:t xml:space="preserve">Висновки</w:t>
      </w:r>
    </w:p>
    <w:p>
      <w:pPr>
        <w:keepNext/>
        <w:spacing w:after="40" w:before="120"/>
      </w:pPr>
      <w:r>
        <w:rPr>
          <w:rFonts w:ascii="Calibri" w:cs="Calibri" w:eastAsia="Calibri" w:hAnsi="Calibri"/>
          <w:b/>
          <w:bCs/>
          <w:caps/>
          <w:color w:val="A8841A"/>
          <w:spacing w:val="20"/>
          <w:sz w:val="17"/>
          <w:szCs w:val="17"/>
        </w:rPr>
        <w:t xml:space="preserve">▸ Слайд 31</w:t>
      </w:r>
    </w:p>
    <w:p>
      <w:pPr>
        <w:spacing w:after="140" w:line="288"/>
        <w:ind w:firstLine="0"/>
        <w:jc w:val="both"/>
      </w:pPr>
      <w:r>
        <w:t xml:space="preserve">Шість розділів лекції утворюють єдину аргументацію. Проєкт — це тимчасове зусилля, що створює унікальний результат; міжнародний проєкт додає багатонаціональних акторів, зовнішнє фінансування та транснаціональний вимір або вимір розвитку спроможності, а до семи загальних ознак долучаються чотири специфічні. Розмежування проєкту, програми та портфеля (робити роботу правильно, створювати синергію, робити правильну роботу) визначає, які інструменти, рішення та звіти належать до якого рівня. Життєвий цикл задає порядок роботи, а його ітеративний характер пояснює, чому моніторинг і оцінювання впливають на планування у зворотному напрямку. Карта середовища та визначення ролей дають словник донорів і партнерів, а чотири методології становлять інструментарій, який обирають залежно від донора, галузі й типу проєкту. Завершальний розділ пояснює, чому все це складніше в міжнародному контексті.</w:t>
      </w:r>
    </w:p>
    <w:p>
      <w:pPr>
        <w:spacing w:after="140" w:line="288"/>
        <w:ind w:firstLine="0"/>
        <w:jc w:val="both"/>
      </w:pPr>
      <w:r>
        <w:t xml:space="preserve">Ключові висновки:</w:t>
      </w:r>
    </w:p>
    <w:p>
      <w:pPr>
        <w:pStyle w:val="ListParagraph"/>
        <w:numPr>
          <w:ilvl w:val="0"/>
          <w:numId w:val="4"/>
        </w:numPr>
        <w:spacing w:after="80" w:line="276"/>
        <w:jc w:val="both"/>
      </w:pPr>
      <w:r>
        <w:t xml:space="preserve">Проєкт — це тимчасове зусилля, що створює унікальний результат; міжнародний проєкт додає багатонаціональних акторів, зовнішнє фінансування та транснаціональний вимір.</w:t>
      </w:r>
    </w:p>
    <w:p>
      <w:pPr>
        <w:pStyle w:val="ListParagraph"/>
        <w:numPr>
          <w:ilvl w:val="0"/>
          <w:numId w:val="4"/>
        </w:numPr>
        <w:spacing w:after="80" w:line="276"/>
        <w:jc w:val="both"/>
      </w:pPr>
      <w:r>
        <w:t xml:space="preserve">Сім загальних і чотири специфічні ознаки визначають управлінський профіль міжнародного проєкту.</w:t>
      </w:r>
    </w:p>
    <w:p>
      <w:pPr>
        <w:pStyle w:val="ListParagraph"/>
        <w:numPr>
          <w:ilvl w:val="0"/>
          <w:numId w:val="4"/>
        </w:numPr>
        <w:spacing w:after="80" w:line="276"/>
        <w:jc w:val="both"/>
      </w:pPr>
      <w:r>
        <w:t xml:space="preserve">Проєкт, програма та портфель відрізняються рівнем управління: робити роботу правильно, створювати синергію та робити правильну роботу.</w:t>
      </w:r>
    </w:p>
    <w:p>
      <w:pPr>
        <w:pStyle w:val="ListParagraph"/>
        <w:numPr>
          <w:ilvl w:val="0"/>
          <w:numId w:val="4"/>
        </w:numPr>
        <w:spacing w:after="80" w:line="276"/>
        <w:jc w:val="both"/>
      </w:pPr>
      <w:r>
        <w:t xml:space="preserve">Життєвий цикл триває від ініціювання до закриття; моніторинг є наскрізним процесом, а управління — ітеративним.</w:t>
      </w:r>
    </w:p>
    <w:p>
      <w:pPr>
        <w:pStyle w:val="ListParagraph"/>
        <w:numPr>
          <w:ilvl w:val="0"/>
          <w:numId w:val="4"/>
        </w:numPr>
        <w:spacing w:after="80" w:line="276"/>
        <w:jc w:val="both"/>
      </w:pPr>
      <w:r>
        <w:t xml:space="preserve">PMBOK, PM², PCM і ЛСП співіснують; вибір залежить від донора, галузі та типу проєкту.</w:t>
      </w:r>
    </w:p>
    <w:p>
      <w:pPr>
        <w:pStyle w:val="ListParagraph"/>
        <w:numPr>
          <w:ilvl w:val="0"/>
          <w:numId w:val="4"/>
        </w:numPr>
        <w:spacing w:after="80" w:line="276"/>
        <w:jc w:val="both"/>
      </w:pPr>
      <w:r>
        <w:t xml:space="preserve">Невизначеність, культурне розмаїття, жорсткі правила донорів, асиметрія та підзвітність вимагають специфічних управлінських компетентностей.</w:t>
      </w:r>
    </w:p>
    <w:p>
      <w:pPr>
        <w:spacing w:after="140" w:line="288"/>
        <w:ind w:firstLine="0"/>
        <w:jc w:val="both"/>
      </w:pPr>
      <w:r>
        <w:t xml:space="preserve">Поняття цієї лекції використовуватимуться в кожній наступній лекції. Наступна лекція, «Дизайн проєкту: концептуалізація, логіка втручання та обґрунтування проєкту», розглядає фазу планування та логіко-структурний підхід, представлений тут, і показує, як аналіз проблем перетворюється на обґрунтований і вимірюваний дизайн проєкту.</w:t>
      </w:r>
    </w:p>
    <w:p>
      <w:pPr>
        <w:pStyle w:val="Heading1"/>
        <w:keepNext/>
      </w:pPr>
      <w:r>
        <w:t xml:space="preserve">Питання для самоконтролю</w:t>
      </w:r>
    </w:p>
    <w:p>
      <w:pPr>
        <w:keepNext/>
        <w:spacing w:after="40" w:before="120"/>
      </w:pPr>
      <w:r>
        <w:rPr>
          <w:rFonts w:ascii="Calibri" w:cs="Calibri" w:eastAsia="Calibri" w:hAnsi="Calibri"/>
          <w:b/>
          <w:bCs/>
          <w:caps/>
          <w:color w:val="A8841A"/>
          <w:spacing w:val="20"/>
          <w:sz w:val="17"/>
          <w:szCs w:val="17"/>
        </w:rPr>
        <w:t xml:space="preserve">▸ Слайд 32</w:t>
      </w:r>
    </w:p>
    <w:p>
      <w:pPr>
        <w:pStyle w:val="ListParagraph"/>
        <w:numPr>
          <w:ilvl w:val="0"/>
          <w:numId w:val="5"/>
        </w:numPr>
        <w:spacing w:after="80" w:line="276"/>
        <w:jc w:val="both"/>
      </w:pPr>
      <w:r>
        <w:t xml:space="preserve">Чим міжнародний проєкт відрізняється від національного (внутрішнього) проєкту з погляду акторів і джерел фінансування?</w:t>
      </w:r>
    </w:p>
    <w:p>
      <w:pPr>
        <w:pStyle w:val="ListParagraph"/>
        <w:numPr>
          <w:ilvl w:val="0"/>
          <w:numId w:val="5"/>
        </w:numPr>
        <w:spacing w:after="80" w:line="276"/>
        <w:jc w:val="both"/>
      </w:pPr>
      <w:r>
        <w:t xml:space="preserve">Наведіть приклад співвідношення між проєктом, програмою та портфелем проєктів на прикладі відомої вам програми ЄС.</w:t>
      </w:r>
    </w:p>
    <w:p>
      <w:pPr>
        <w:pStyle w:val="ListParagraph"/>
        <w:numPr>
          <w:ilvl w:val="0"/>
          <w:numId w:val="5"/>
        </w:numPr>
        <w:spacing w:after="80" w:line="276"/>
        <w:jc w:val="both"/>
      </w:pPr>
      <w:r>
        <w:t xml:space="preserve">Чому моніторинг вважають наскрізним процесом, а не окремим етапом життєвого циклу проєкту?</w:t>
      </w:r>
    </w:p>
    <w:p>
      <w:pPr>
        <w:pStyle w:val="ListParagraph"/>
        <w:numPr>
          <w:ilvl w:val="0"/>
          <w:numId w:val="5"/>
        </w:numPr>
        <w:spacing w:after="80" w:line="276"/>
        <w:jc w:val="both"/>
      </w:pPr>
      <w:r>
        <w:t xml:space="preserve">У чому різниця між бенефіціаром і цільовою групою проєкту?</w:t>
      </w:r>
    </w:p>
    <w:p>
      <w:pPr>
        <w:pStyle w:val="ListParagraph"/>
        <w:numPr>
          <w:ilvl w:val="0"/>
          <w:numId w:val="5"/>
        </w:numPr>
        <w:spacing w:after="80" w:line="276"/>
        <w:jc w:val="both"/>
      </w:pPr>
      <w:r>
        <w:t xml:space="preserve">Порівняйте методологічні акценти PMBOK і PCM: яка з методологій більше орієнтована на міжнародні проєкти технічної допомоги і чому?</w:t>
      </w:r>
    </w:p>
    <w:p>
      <w:pPr>
        <w:pStyle w:val="ListParagraph"/>
        <w:numPr>
          <w:ilvl w:val="0"/>
          <w:numId w:val="5"/>
        </w:numPr>
        <w:spacing w:after="80" w:line="276"/>
        <w:jc w:val="both"/>
      </w:pPr>
      <w:r>
        <w:t xml:space="preserve">Які чинники невизначеності є специфічними для міжнародних проєктів, що реалізуються в Україні?</w:t>
      </w:r>
    </w:p>
    <w:p>
      <w:pPr>
        <w:pStyle w:val="Heading1"/>
        <w:keepNext/>
      </w:pPr>
      <w:r>
        <w:t xml:space="preserve">Рекомендована література</w:t>
      </w:r>
    </w:p>
    <w:p>
      <w:pPr>
        <w:keepNext/>
        <w:spacing w:after="40" w:before="120"/>
      </w:pPr>
      <w:r>
        <w:rPr>
          <w:rFonts w:ascii="Calibri" w:cs="Calibri" w:eastAsia="Calibri" w:hAnsi="Calibri"/>
          <w:b/>
          <w:bCs/>
          <w:caps/>
          <w:color w:val="A8841A"/>
          <w:spacing w:val="20"/>
          <w:sz w:val="17"/>
          <w:szCs w:val="17"/>
        </w:rPr>
        <w:t xml:space="preserve">▸ Слайд 33</w:t>
      </w:r>
    </w:p>
    <w:p>
      <w:pPr>
        <w:pStyle w:val="ListParagraph"/>
        <w:numPr>
          <w:ilvl w:val="0"/>
          <w:numId w:val="6"/>
        </w:numPr>
        <w:spacing w:after="80" w:line="276"/>
        <w:jc w:val="both"/>
      </w:pPr>
      <w:r>
        <w:rPr>
          <w:i/>
          <w:iCs/>
        </w:rPr>
        <w:t xml:space="preserve">A Guide to the Project Management Body of Knowledge (PMBOK Guide)</w:t>
      </w:r>
      <w:r>
        <w:t xml:space="preserve">. 7th edition. Project Management Institute, 2021.</w:t>
      </w:r>
    </w:p>
    <w:p>
      <w:pPr>
        <w:pStyle w:val="ListParagraph"/>
        <w:numPr>
          <w:ilvl w:val="0"/>
          <w:numId w:val="6"/>
        </w:numPr>
        <w:spacing w:after="80" w:line="276"/>
        <w:jc w:val="both"/>
      </w:pPr>
      <w:r>
        <w:rPr>
          <w:i/>
          <w:iCs/>
        </w:rPr>
        <w:t xml:space="preserve">PM² Project Management Methodology Guide</w:t>
      </w:r>
      <w:r>
        <w:t xml:space="preserve">. European Commission, Centre of Excellence in Project Management (CoEPM²).</w:t>
      </w:r>
    </w:p>
    <w:p>
      <w:pPr>
        <w:pStyle w:val="ListParagraph"/>
        <w:numPr>
          <w:ilvl w:val="0"/>
          <w:numId w:val="6"/>
        </w:numPr>
        <w:spacing w:after="80" w:line="276"/>
        <w:jc w:val="both"/>
      </w:pPr>
      <w:r>
        <w:rPr>
          <w:i/>
          <w:iCs/>
        </w:rPr>
        <w:t xml:space="preserve">Aid Delivery Methods. Volume 1: Project Cycle Management Guidelines</w:t>
      </w:r>
      <w:r>
        <w:t xml:space="preserve">. European Commission, EuropeAid Cooperation Office.</w:t>
      </w:r>
    </w:p>
    <w:p>
      <w:pPr>
        <w:pStyle w:val="ListParagraph"/>
        <w:numPr>
          <w:ilvl w:val="0"/>
          <w:numId w:val="6"/>
        </w:numPr>
        <w:spacing w:after="80" w:line="276"/>
        <w:jc w:val="both"/>
      </w:pPr>
      <w:r>
        <w:t xml:space="preserve">ISO 21500:2021 </w:t>
      </w:r>
      <w:r>
        <w:rPr>
          <w:i/>
          <w:iCs/>
        </w:rPr>
        <w:t xml:space="preserve">Project, programme and portfolio management — Context and concepts</w:t>
      </w:r>
      <w:r>
        <w:t xml:space="preserve">.</w:t>
      </w:r>
    </w:p>
    <w:p>
      <w:pPr>
        <w:pStyle w:val="ListParagraph"/>
        <w:numPr>
          <w:ilvl w:val="0"/>
          <w:numId w:val="6"/>
        </w:numPr>
        <w:spacing w:after="80" w:line="276"/>
        <w:jc w:val="both"/>
      </w:pPr>
      <w:r>
        <w:rPr>
          <w:i/>
          <w:iCs/>
        </w:rPr>
        <w:t xml:space="preserve">The Standard for Program Management</w:t>
      </w:r>
      <w:r>
        <w:t xml:space="preserve">. 5th edition. Project Management Institute, 2024.</w:t>
      </w:r>
    </w:p>
    <w:p>
      <w:pPr>
        <w:keepNext/>
        <w:spacing w:after="40" w:before="120"/>
      </w:pPr>
      <w:r>
        <w:rPr>
          <w:rFonts w:ascii="Calibri" w:cs="Calibri" w:eastAsia="Calibri" w:hAnsi="Calibri"/>
          <w:b/>
          <w:bCs/>
          <w:caps/>
          <w:color w:val="A8841A"/>
          <w:spacing w:val="20"/>
          <w:sz w:val="17"/>
          <w:szCs w:val="17"/>
        </w:rPr>
        <w:t xml:space="preserve">▸ Слайд 34</w:t>
      </w:r>
    </w:p>
    <w:p>
      <w:pPr>
        <w:spacing w:after="140" w:line="288"/>
        <w:ind w:firstLine="0"/>
        <w:jc w:val="both"/>
      </w:pPr>
      <w:r>
        <w:t xml:space="preserve">На цьому лекцію 1 завершено. Запитання та обговорення вітаються; наступна лекція — лекція 2 «Дизайн проєкту: концептуалізація, логіка втручання та обґрунтування проєкту».</w:t>
      </w:r>
    </w:p>
    <w:p>
      <w:pPr>
        <w:pStyle w:val="Heading1"/>
        <w:keepNext/>
      </w:pPr>
      <w:r>
        <w:t xml:space="preserve">Глосарій ключових термінів</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4464"/>
        <w:gridCol w:w="4606"/>
      </w:tblGrid>
      <w:tr>
        <w:trPr>
          <w:cantSplit/>
          <w:tblHeader/>
        </w:trPr>
        <w:tc>
          <w:tcPr>
            <w:tcW w:type="dxa" w:w="4464"/>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b/>
                <w:bCs/>
                <w:color w:val="FFFFFF"/>
                <w:sz w:val="20"/>
                <w:szCs w:val="20"/>
              </w:rPr>
              <w:t xml:space="preserve">Термін</w:t>
            </w:r>
          </w:p>
        </w:tc>
        <w:tc>
          <w:tcPr>
            <w:tcW w:type="dxa" w:w="4606"/>
            <w:tcBorders>
              <w:top w:val="single" w:color="C9D3E6" w:sz="4"/>
              <w:left w:val="single" w:color="C9D3E6" w:sz="4"/>
              <w:bottom w:val="single" w:color="C9D3E6" w:sz="4"/>
              <w:right w:val="single" w:color="C9D3E6" w:sz="4"/>
            </w:tcBorders>
            <w:shd w:fill="1B2A4A"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b/>
                <w:bCs/>
                <w:color w:val="FFFFFF"/>
                <w:sz w:val="20"/>
                <w:szCs w:val="20"/>
              </w:rPr>
              <w:t xml:space="preserve">Визначення</w:t>
            </w:r>
          </w:p>
        </w:tc>
      </w:tr>
      <w:tr>
        <w:trPr>
          <w:cantSplit/>
          <w:tblHeader w:val="false"/>
        </w:trPr>
        <w:tc>
          <w:tcPr>
            <w:tcW w:type="dxa" w:w="446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Проєкт (project)</w:t>
            </w:r>
          </w:p>
        </w:tc>
        <w:tc>
          <w:tcPr>
            <w:tcW w:type="dxa" w:w="460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Тимчасове зусилля, що докладається для створення унікального продукту, послуги або результату (PMBOK Guide); унікальний набір узгоджених і контрольованих завдань із датами початку та завершення, що виконуються з урахуванням обмежень щодо часу, вартості та ресурсів (ISO 21500:2021).</w:t>
            </w:r>
          </w:p>
        </w:tc>
      </w:tr>
      <w:tr>
        <w:trPr>
          <w:cantSplit/>
          <w:tblHeader w:val="false"/>
        </w:trPr>
        <w:tc>
          <w:tcPr>
            <w:tcW w:type="dxa" w:w="446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Міжнародний проєкт (international project)</w:t>
            </w:r>
          </w:p>
        </w:tc>
        <w:tc>
          <w:tcPr>
            <w:tcW w:type="dxa" w:w="460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Проєкт, у якому беруть участь актори з різних національних юрисдикцій, що повністю або частково фінансується із зовнішніх чи наднаціональних джерел і спрямований на розв'язання транскордонної, регіональної чи глобальної проблеми або на розвиток спроможності країни-реципієнта.</w:t>
            </w:r>
          </w:p>
        </w:tc>
      </w:tr>
      <w:tr>
        <w:trPr>
          <w:cantSplit/>
          <w:tblHeader w:val="false"/>
        </w:trPr>
        <w:tc>
          <w:tcPr>
            <w:tcW w:type="dxa" w:w="446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Програма (programme)</w:t>
            </w:r>
          </w:p>
        </w:tc>
        <w:tc>
          <w:tcPr>
            <w:tcW w:type="dxa" w:w="460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Група взаємопов'язаних проєктів, підпроєктів і програмних заходів, якими управляють скоординовано для отримання вигод, недоступних за окремого управління проєктами; прикладом є «Горизонт Європа».</w:t>
            </w:r>
          </w:p>
        </w:tc>
      </w:tr>
      <w:tr>
        <w:trPr>
          <w:cantSplit/>
          <w:tblHeader w:val="false"/>
        </w:trPr>
        <w:tc>
          <w:tcPr>
            <w:tcW w:type="dxa" w:w="446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Портфель (portfolio)</w:t>
            </w:r>
          </w:p>
        </w:tc>
        <w:tc>
          <w:tcPr>
            <w:tcW w:type="dxa" w:w="460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Сукупність проєктів, програм, підпортфелів і операційної діяльності, якими управляють як групою для досягнення стратегії організації; його складники не обов'язково функціонально пов'язані.</w:t>
            </w:r>
          </w:p>
        </w:tc>
      </w:tr>
      <w:tr>
        <w:trPr>
          <w:cantSplit/>
          <w:tblHeader w:val="false"/>
        </w:trPr>
        <w:tc>
          <w:tcPr>
            <w:tcW w:type="dxa" w:w="446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Життєвий цикл проєкту (project life cycle)</w:t>
            </w:r>
          </w:p>
        </w:tc>
        <w:tc>
          <w:tcPr>
            <w:tcW w:type="dxa" w:w="460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Послідовність фаз, через які проєкт проходить від виникнення до завершення: ініціювання, планування, реалізація, моніторинг, оцінювання та закриття.</w:t>
            </w:r>
          </w:p>
        </w:tc>
      </w:tr>
      <w:tr>
        <w:trPr>
          <w:cantSplit/>
          <w:tblHeader w:val="false"/>
        </w:trPr>
        <w:tc>
          <w:tcPr>
            <w:tcW w:type="dxa" w:w="446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Моніторинг (monitoring)</w:t>
            </w:r>
          </w:p>
        </w:tc>
        <w:tc>
          <w:tcPr>
            <w:tcW w:type="dxa" w:w="460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Систематичне відстеження прогресу щодо запланованих індикаторів упродовж усієї реалізації, що надає актуальну інформацію для управлінських рішень; наскрізний процес.</w:t>
            </w:r>
          </w:p>
        </w:tc>
      </w:tr>
      <w:tr>
        <w:trPr>
          <w:cantSplit/>
          <w:tblHeader w:val="false"/>
        </w:trPr>
        <w:tc>
          <w:tcPr>
            <w:tcW w:type="dxa" w:w="446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Управління проєктним циклом (Project Cycle Management, PCM)</w:t>
            </w:r>
          </w:p>
        </w:tc>
        <w:tc>
          <w:tcPr>
            <w:tcW w:type="dxa" w:w="460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Методологія, запроваджена Європейською Комісією для проєктів зовнішньої допомоги, із шістьма фазами від програмування до оцінювання та обов'язковим застосуванням ЛСП на етапі формулювання.</w:t>
            </w:r>
          </w:p>
        </w:tc>
      </w:tr>
      <w:tr>
        <w:trPr>
          <w:cantSplit/>
          <w:tblHeader w:val="false"/>
        </w:trPr>
        <w:tc>
          <w:tcPr>
            <w:tcW w:type="dxa" w:w="446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Логіко-структурний підхід, ЛСП (Logical Framework Approach, LFA)</w:t>
            </w:r>
          </w:p>
        </w:tc>
        <w:tc>
          <w:tcPr>
            <w:tcW w:type="dxa" w:w="460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Аналітичний метод планування, що йде від аналізу стейкхолдерів, проблем, цілей і стратегії до побудови матриці логфрейму.</w:t>
            </w:r>
          </w:p>
        </w:tc>
      </w:tr>
      <w:tr>
        <w:trPr>
          <w:cantSplit/>
          <w:tblHeader w:val="false"/>
        </w:trPr>
        <w:tc>
          <w:tcPr>
            <w:tcW w:type="dxa" w:w="446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Логічна матриця (logframe matrix)</w:t>
            </w:r>
          </w:p>
        </w:tc>
        <w:tc>
          <w:tcPr>
            <w:tcW w:type="dxa" w:w="460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Таблиця, що подає ієрархію цілей (загальна мета, конкретна мета, результати, заходи) з індикаторами, джерелами верифікації та припущеннями.</w:t>
            </w:r>
          </w:p>
        </w:tc>
      </w:tr>
      <w:tr>
        <w:trPr>
          <w:cantSplit/>
          <w:tblHeader w:val="false"/>
        </w:trPr>
        <w:tc>
          <w:tcPr>
            <w:tcW w:type="dxa" w:w="446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PMBOK Guide</w:t>
            </w:r>
          </w:p>
        </w:tc>
        <w:tc>
          <w:tcPr>
            <w:tcW w:type="dxa" w:w="460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Настанова Інституту управління проєктами (США); універсальна методологія, організована в класичному вигляді навколо десяти галузей знань і п'яти груп процесів.</w:t>
            </w:r>
          </w:p>
        </w:tc>
      </w:tr>
      <w:tr>
        <w:trPr>
          <w:cantSplit/>
          <w:tblHeader w:val="false"/>
        </w:trPr>
        <w:tc>
          <w:tcPr>
            <w:tcW w:type="dxa" w:w="446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PM²</w:t>
            </w:r>
          </w:p>
        </w:tc>
        <w:tc>
          <w:tcPr>
            <w:tcW w:type="dxa" w:w="460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Методологія управління проєктами Європейської Комісії (CoEPM²), що поєднує елементи PMBOK і PRINCE2 та передбачає стандартизовані артефакти й чотири фази.</w:t>
            </w:r>
          </w:p>
        </w:tc>
      </w:tr>
      <w:tr>
        <w:trPr>
          <w:cantSplit/>
          <w:tblHeader w:val="false"/>
        </w:trPr>
        <w:tc>
          <w:tcPr>
            <w:tcW w:type="dxa" w:w="446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Донор (donor)</w:t>
            </w:r>
          </w:p>
        </w:tc>
        <w:tc>
          <w:tcPr>
            <w:tcW w:type="dxa" w:w="460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Організація, що надає фінансові чи інші ресурси для проєкту та встановлює пріоритети фінансування, процедурні вимоги й критерії оцінювання заявок і звітів.</w:t>
            </w:r>
          </w:p>
        </w:tc>
      </w:tr>
      <w:tr>
        <w:trPr>
          <w:cantSplit/>
          <w:tblHeader w:val="false"/>
        </w:trPr>
        <w:tc>
          <w:tcPr>
            <w:tcW w:type="dxa" w:w="446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Координатор (coordinator)</w:t>
            </w:r>
          </w:p>
        </w:tc>
        <w:tc>
          <w:tcPr>
            <w:tcW w:type="dxa" w:w="460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Провідний заявник, який очолює консорціум, несе основну договірну відповідальність перед донором і координує діяльність партнерів.</w:t>
            </w:r>
          </w:p>
        </w:tc>
      </w:tr>
      <w:tr>
        <w:trPr>
          <w:cantSplit/>
          <w:tblHeader w:val="false"/>
        </w:trPr>
        <w:tc>
          <w:tcPr>
            <w:tcW w:type="dxa" w:w="446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Асоційований партнер (associated partner)</w:t>
            </w:r>
          </w:p>
        </w:tc>
        <w:tc>
          <w:tcPr>
            <w:tcW w:type="dxa" w:w="460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Актор, що приєднується до проєкту без прямого фінансування від донора та надає експертну, консультативну чи організаційну підтримку.</w:t>
            </w:r>
          </w:p>
        </w:tc>
      </w:tr>
      <w:tr>
        <w:trPr>
          <w:cantSplit/>
          <w:tblHeader w:val="false"/>
        </w:trPr>
        <w:tc>
          <w:tcPr>
            <w:tcW w:type="dxa" w:w="446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Бенефіціари (beneficiaries)</w:t>
            </w:r>
          </w:p>
        </w:tc>
        <w:tc>
          <w:tcPr>
            <w:tcW w:type="dxa" w:w="460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Особи, групи чи організації, які отримують прямі вигоди від проєкту: прямі бенефіціари є безпосередніми одержувачами, кінцеві бенефіціари — ширшими групами, на які проєкт має опосередкований вплив.</w:t>
            </w:r>
          </w:p>
        </w:tc>
      </w:tr>
      <w:tr>
        <w:trPr>
          <w:cantSplit/>
          <w:tblHeader w:val="false"/>
        </w:trPr>
        <w:tc>
          <w:tcPr>
            <w:tcW w:type="dxa" w:w="446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Цільова група (target group)</w:t>
            </w:r>
          </w:p>
        </w:tc>
        <w:tc>
          <w:tcPr>
            <w:tcW w:type="dxa" w:w="460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Конкретна група, на яку проєкт має прямий позитивний вплив на рівні конкретної мети проєкту і з якою взаємодіє під час реалізації.</w:t>
            </w:r>
          </w:p>
        </w:tc>
      </w:tr>
      <w:tr>
        <w:trPr>
          <w:cantSplit/>
          <w:tblHeader w:val="false"/>
        </w:trPr>
        <w:tc>
          <w:tcPr>
            <w:tcW w:type="dxa" w:w="4464"/>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Стейкхолдери (stakeholders)</w:t>
            </w:r>
          </w:p>
        </w:tc>
        <w:tc>
          <w:tcPr>
            <w:tcW w:type="dxa" w:w="4606"/>
            <w:tcBorders>
              <w:top w:val="single" w:color="C9D3E6" w:sz="4"/>
              <w:left w:val="single" w:color="C9D3E6" w:sz="4"/>
              <w:bottom w:val="single" w:color="C9D3E6" w:sz="4"/>
              <w:right w:val="single" w:color="C9D3E6" w:sz="4"/>
            </w:tcBorders>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Усі особи, групи чи інституції, які мають інтерес у проєкті, впливають на нього або зазнають його впливу.</w:t>
            </w:r>
          </w:p>
        </w:tc>
      </w:tr>
      <w:tr>
        <w:trPr>
          <w:cantSplit/>
          <w:tblHeader w:val="false"/>
        </w:trPr>
        <w:tc>
          <w:tcPr>
            <w:tcW w:type="dxa" w:w="4464"/>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Дистанція влади (power distance)</w:t>
            </w:r>
          </w:p>
        </w:tc>
        <w:tc>
          <w:tcPr>
            <w:tcW w:type="dxa" w:w="4606"/>
            <w:tcBorders>
              <w:top w:val="single" w:color="C9D3E6" w:sz="4"/>
              <w:left w:val="single" w:color="C9D3E6" w:sz="4"/>
              <w:bottom w:val="single" w:color="C9D3E6" w:sz="4"/>
              <w:right w:val="single" w:color="C9D3E6" w:sz="4"/>
            </w:tcBorders>
            <w:shd w:fill="F2F5FB" w:color="auto" w:val="clear"/>
            <w:tcMar>
              <w:top w:type="dxa" w:w="60"/>
              <w:left w:type="dxa" w:w="100"/>
              <w:bottom w:type="dxa" w:w="60"/>
              <w:right w:type="dxa" w:w="100"/>
            </w:tcMar>
          </w:tcPr>
          <w:p>
            <w:pPr>
              <w:keepNext w:val="false"/>
              <w:spacing w:after="0" w:before="0" w:line="252"/>
            </w:pPr>
            <w:r>
              <w:rPr>
                <w:rFonts w:ascii="Times New Roman" w:cs="Times New Roman" w:eastAsia="Times New Roman" w:hAnsi="Times New Roman"/>
                <w:color w:val="1F2533"/>
                <w:sz w:val="20"/>
                <w:szCs w:val="20"/>
              </w:rPr>
              <w:t xml:space="preserve">Показник Гофстеде, що вимірює, якою мірою менш впливові члени організацій погоджуються з нерівномірним розподілом влади; Україна має 92 бали за Індексом дистанції влади.</w:t>
            </w:r>
          </w:p>
        </w:tc>
      </w:tr>
    </w:tbl>
    <w:p>
      <w:pPr>
        <w:spacing w:after="120" w:before="0"/>
      </w:pPr>
    </w:p>
    <w:p>
      <w:pPr>
        <w:pStyle w:val="Heading1"/>
        <w:keepNext/>
      </w:pPr>
      <w:r>
        <w:t xml:space="preserve">Джерела актуальних даних</w:t>
      </w:r>
    </w:p>
    <w:p>
      <w:pPr>
        <w:spacing w:after="160" w:before="40"/>
        <w:jc w:val="left"/>
      </w:pPr>
      <w:r>
        <w:rPr>
          <w:rFonts w:ascii="Times New Roman" w:cs="Times New Roman" w:eastAsia="Times New Roman" w:hAnsi="Times New Roman"/>
          <w:i/>
          <w:iCs/>
          <w:color w:val="5F6B85"/>
          <w:sz w:val="19"/>
          <w:szCs w:val="19"/>
        </w:rPr>
        <w:t xml:space="preserve">Наведені нижче джерела лежать в основі фактів зовнішнього походження, використаних у цьому тексті. Лекторам слід ознайомитися з чинною версією кожного джерела перед лекцією.</w:t>
      </w:r>
    </w:p>
    <w:p>
      <w:pPr>
        <w:pStyle w:val="ListParagraph"/>
        <w:numPr>
          <w:ilvl w:val="0"/>
          <w:numId w:val="7"/>
        </w:numPr>
        <w:spacing w:after="80" w:line="276"/>
        <w:jc w:val="both"/>
      </w:pPr>
      <w:r>
        <w:t xml:space="preserve">Project Management Institute, </w:t>
      </w:r>
      <w:r>
        <w:rPr>
          <w:i/>
          <w:iCs/>
        </w:rPr>
        <w:t xml:space="preserve">A Guide to the Project Management Body of Knowledge (PMBOK Guide)</w:t>
      </w:r>
      <w:r>
        <w:t xml:space="preserve">, 6-те (2017), 7-ме (2021) та 8-ме (2025) видання: структури трьох видань (слайд 23) і визначення проєкту (слайд 4).</w:t>
      </w:r>
    </w:p>
    <w:p>
      <w:pPr>
        <w:pStyle w:val="ListParagraph"/>
        <w:numPr>
          <w:ilvl w:val="0"/>
          <w:numId w:val="7"/>
        </w:numPr>
        <w:spacing w:after="80" w:line="276"/>
        <w:jc w:val="both"/>
      </w:pPr>
      <w:r>
        <w:t xml:space="preserve">International Organization for Standardization, ISO 21500:2021, </w:t>
      </w:r>
      <w:r>
        <w:rPr>
          <w:i/>
          <w:iCs/>
        </w:rPr>
        <w:t xml:space="preserve">Project, programme and portfolio management — Context and concepts</w:t>
      </w:r>
      <w:r>
        <w:t xml:space="preserve">: визначення проєкту (слайд 4).</w:t>
      </w:r>
    </w:p>
    <w:p>
      <w:pPr>
        <w:pStyle w:val="ListParagraph"/>
        <w:numPr>
          <w:ilvl w:val="0"/>
          <w:numId w:val="7"/>
        </w:numPr>
        <w:spacing w:after="80" w:line="276"/>
        <w:jc w:val="both"/>
      </w:pPr>
      <w:r>
        <w:t xml:space="preserve">Hofstede Insights, </w:t>
      </w:r>
      <w:r>
        <w:rPr>
          <w:i/>
          <w:iCs/>
        </w:rPr>
        <w:t xml:space="preserve">Country Comparison Tool</w:t>
      </w:r>
      <w:r>
        <w:t xml:space="preserve">: значення Індексу дистанції влади для одинадцяти країн (слайд 30).</w:t>
      </w:r>
    </w:p>
    <w:p>
      <w:pPr>
        <w:pStyle w:val="ListParagraph"/>
        <w:numPr>
          <w:ilvl w:val="0"/>
          <w:numId w:val="7"/>
        </w:numPr>
        <w:spacing w:after="80" w:line="276"/>
        <w:jc w:val="both"/>
      </w:pPr>
      <w:r>
        <w:t xml:space="preserve">G. Hofstede, G. J. Hofstede та M. Minkov, </w:t>
      </w:r>
      <w:r>
        <w:rPr>
          <w:i/>
          <w:iCs/>
        </w:rPr>
        <w:t xml:space="preserve">Cultures and Organizations</w:t>
      </w:r>
      <w:r>
        <w:t xml:space="preserve"> (3-тє видання, 2010): поняття дистанції влади (слайд 30).</w:t>
      </w:r>
    </w:p>
    <w:p>
      <w:pPr>
        <w:pStyle w:val="ListParagraph"/>
        <w:numPr>
          <w:ilvl w:val="0"/>
          <w:numId w:val="7"/>
        </w:numPr>
        <w:spacing w:after="80" w:line="276"/>
        <w:jc w:val="both"/>
      </w:pPr>
      <w:r>
        <w:t xml:space="preserve">European Commission, Centre of Excellence in Project Management (CoEPM²), </w:t>
      </w:r>
      <w:r>
        <w:rPr>
          <w:i/>
          <w:iCs/>
        </w:rPr>
        <w:t xml:space="preserve">PM² Project Management Methodology Guide</w:t>
      </w:r>
      <w:r>
        <w:t xml:space="preserve">; European Commission, EuropeAid Cooperation Office, </w:t>
      </w:r>
      <w:r>
        <w:rPr>
          <w:i/>
          <w:iCs/>
        </w:rPr>
        <w:t xml:space="preserve">Aid Delivery Methods, Volume 1: Project Cycle Management Guidelines</w:t>
      </w:r>
      <w:r>
        <w:t xml:space="preserve">: описи PM² і PCM (слайди 24 та 25).</w:t>
      </w:r>
    </w:p>
    <w:p>
      <w:pPr>
        <w:pStyle w:val="ListParagraph"/>
        <w:numPr>
          <w:ilvl w:val="0"/>
          <w:numId w:val="7"/>
        </w:numPr>
        <w:spacing w:after="80" w:line="276"/>
        <w:jc w:val="both"/>
      </w:pPr>
      <w:r>
        <w:t xml:space="preserve">ABC News, “USAID programs now being run by State Department as agency ends operations” (липень 2025 р.); Donor Tracker, “US government announces official closure of USAID” (2025); “United States Agency for International Development”, Wikipedia (дата звернення: вересень 2026 р.): зауваження про те, що USAID припинило діяльність 1 липня 2025 р., а його програми було передано Державному департаменту США (слайд 9).</w:t>
      </w:r>
    </w:p>
    <w:sectPr>
      <w:headerReference w:type="default" r:id="rId7"/>
      <w:footerReference w:type="default" r:id="rId8"/>
      <w:pgSz w:w="11906" w:h="16838" w:orient="portrait"/>
      <w:pgMar w:top="1418" w:right="1418" w:bottom="1418" w:left="1418" w:header="709" w:footer="70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F6B85"/>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aps/>
        <w:color w:val="5F6B85"/>
        <w:spacing w:val="20"/>
        <w:sz w:val="16"/>
        <w:szCs w:val="16"/>
      </w:rPr>
      <w:t xml:space="preserve">Міжнародна проєктна діяльність  ·  Лекція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lvl w:ilvl="1" w15:tentative="1">
      <w:start w:val="1"/>
      <w:numFmt w:val="bullet"/>
      <w:lvlText w:val="–"/>
      <w:lvlJc w:val="left"/>
      <w:pPr>
        <w:ind w:left="1134" w:hanging="283"/>
      </w:pPr>
    </w:lvl>
  </w:abstractNum>
  <w:abstractNum w:abstractNumId="3" w15:restartNumberingAfterBreak="0">
    <w:multiLevelType w:val="hybridMultilevel"/>
    <w:lvl w:ilvl="0" w15:tentative="1">
      <w:start w:val="1"/>
      <w:numFmt w:val="decimal"/>
      <w:lvlText w:val="%1."/>
      <w:lvlJc w:val="left"/>
      <w:pPr>
        <w:ind w:left="567" w:hanging="397"/>
      </w:pPr>
    </w:lvl>
  </w:abstractNum>
  <w:abstractNum w:abstractNumId="4" w15:restartNumberingAfterBreak="0">
    <w:multiLevelType w:val="hybridMultilevel"/>
    <w:lvl w:ilvl="0" w15:tentative="1">
      <w:start w:val="1"/>
      <w:numFmt w:val="decimal"/>
      <w:lvlText w:val="%1."/>
      <w:lvlJc w:val="left"/>
      <w:pPr>
        <w:ind w:left="567" w:hanging="397"/>
      </w:pPr>
    </w:lvl>
  </w:abstractNum>
  <w:abstractNum w:abstractNumId="5" w15:restartNumberingAfterBreak="0">
    <w:multiLevelType w:val="hybridMultilevel"/>
    <w:lvl w:ilvl="0" w15:tentative="1">
      <w:start w:val="1"/>
      <w:numFmt w:val="decimal"/>
      <w:lvlText w:val="%1."/>
      <w:lvlJc w:val="left"/>
      <w:pPr>
        <w:ind w:left="567" w:hanging="397"/>
      </w:pPr>
    </w:lvl>
  </w:abstractNum>
  <w:abstractNum w:abstractNumId="6" w15:restartNumberingAfterBreak="0">
    <w:multiLevelType w:val="hybridMultilevel"/>
    <w:lvl w:ilvl="0" w15:tentative="1">
      <w:start w:val="1"/>
      <w:numFmt w:val="decimal"/>
      <w:lvlText w:val="%1."/>
      <w:lvlJc w:val="left"/>
      <w:pPr>
        <w:ind w:left="567" w:hanging="397"/>
      </w:pPr>
    </w:lvl>
  </w:abstractNum>
  <w:abstractNum w:abstractNumId="7" w15:restartNumberingAfterBreak="0">
    <w:multiLevelType w:val="hybridMultilevel"/>
    <w:lvl w:ilvl="0" w15:tentative="1">
      <w:start w:val="1"/>
      <w:numFmt w:val="decimal"/>
      <w:lvlText w:val="%1."/>
      <w:lvlJc w:val="left"/>
      <w:pPr>
        <w:ind w:left="567" w:hanging="397"/>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2533"/>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80"/>
      <w:outlineLvl w:val="0"/>
    </w:pPr>
    <w:rPr>
      <w:rFonts w:ascii="Times New Roman" w:cs="Times New Roman" w:eastAsia="Times New Roman" w:hAnsi="Times New Roman"/>
      <w:b/>
      <w:bCs/>
      <w:color w:val="1B2A4A"/>
      <w:sz w:val="32"/>
      <w:szCs w:val="32"/>
    </w:rPr>
  </w:style>
  <w:style w:type="paragraph" w:styleId="Heading2">
    <w:name w:val="Heading 2"/>
    <w:basedOn w:val="Normal"/>
    <w:next w:val="Normal"/>
    <w:qFormat/>
    <w:pPr>
      <w:spacing w:after="140" w:before="320"/>
      <w:outlineLvl w:val="1"/>
    </w:pPr>
    <w:rPr>
      <w:rFonts w:ascii="Times New Roman" w:cs="Times New Roman" w:eastAsia="Times New Roman" w:hAnsi="Times New Roman"/>
      <w:b/>
      <w:bCs/>
      <w:color w:val="1B2A4A"/>
      <w:sz w:val="27"/>
      <w:szCs w:val="27"/>
    </w:rPr>
  </w:style>
  <w:style w:type="paragraph" w:styleId="Heading3">
    <w:name w:val="Heading 3"/>
    <w:basedOn w:val="Normal"/>
    <w:next w:val="Normal"/>
    <w:qFormat/>
    <w:pPr>
      <w:spacing w:after="100" w:before="240"/>
      <w:outlineLvl w:val="2"/>
    </w:pPr>
    <w:rPr>
      <w:rFonts w:ascii="Times New Roman" w:cs="Times New Roman" w:eastAsia="Times New Roman" w:hAnsi="Times New Roman"/>
      <w:b/>
      <w:bCs/>
      <w:i/>
      <w:iCs/>
      <w:color w:val="1B2A4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Лекція 1. Теоретико-методологічні засади управління міжнародними проєктами</dc:title>
  <dc:creator>International Project Activity</dc:creator>
  <cp:lastModifiedBy>Un-named</cp:lastModifiedBy>
  <cp:revision>1</cp:revision>
  <dcterms:created xsi:type="dcterms:W3CDTF">2026-09-30T04:01:32.089Z</dcterms:created>
  <dcterms:modified xsi:type="dcterms:W3CDTF">2026-09-30T04:01:32.089Z</dcterms:modified>
</cp:coreProperties>
</file>

<file path=docProps/custom.xml><?xml version="1.0" encoding="utf-8"?>
<Properties xmlns="http://schemas.openxmlformats.org/officeDocument/2006/custom-properties" xmlns:vt="http://schemas.openxmlformats.org/officeDocument/2006/docPropsVTypes"/>
</file>