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3F8" w:rsidRPr="00A43AE5" w:rsidRDefault="00F7243B" w:rsidP="00A43AE5">
      <w:pPr>
        <w:spacing w:after="0" w:line="240" w:lineRule="auto"/>
        <w:rPr>
          <w:rFonts w:cstheme="minorHAnsi"/>
          <w:b/>
          <w:sz w:val="32"/>
          <w:szCs w:val="32"/>
          <w:lang w:val="uk-UA"/>
        </w:rPr>
      </w:pPr>
      <w:r w:rsidRPr="00A43AE5">
        <w:rPr>
          <w:rFonts w:cstheme="minorHAnsi"/>
          <w:b/>
          <w:sz w:val="32"/>
          <w:szCs w:val="32"/>
          <w:lang w:val="uk-UA"/>
        </w:rPr>
        <w:t>Підручник І.С. Ковальчук, О.Б. Сивак</w:t>
      </w:r>
    </w:p>
    <w:p w:rsidR="00F7243B" w:rsidRPr="00A43AE5" w:rsidRDefault="00F7243B" w:rsidP="00A43AE5">
      <w:pPr>
        <w:spacing w:after="0" w:line="240" w:lineRule="auto"/>
        <w:rPr>
          <w:rFonts w:cstheme="minorHAnsi"/>
          <w:b/>
          <w:sz w:val="28"/>
          <w:szCs w:val="28"/>
          <w:lang w:val="en-US"/>
        </w:rPr>
      </w:pPr>
      <w:r w:rsidRPr="00A43AE5">
        <w:rPr>
          <w:rFonts w:cstheme="minorHAnsi"/>
          <w:b/>
          <w:sz w:val="28"/>
          <w:szCs w:val="28"/>
          <w:lang w:val="en-US"/>
        </w:rPr>
        <w:t>Module 1. Meeting People</w:t>
      </w:r>
      <w:r w:rsidRPr="00A43AE5">
        <w:rPr>
          <w:rFonts w:cstheme="minorHAnsi"/>
          <w:b/>
          <w:sz w:val="28"/>
          <w:szCs w:val="28"/>
          <w:lang w:val="uk-UA"/>
        </w:rPr>
        <w:t>:</w:t>
      </w:r>
      <w:r w:rsidRPr="00A43AE5">
        <w:rPr>
          <w:rFonts w:cstheme="minorHAnsi"/>
          <w:b/>
          <w:sz w:val="28"/>
          <w:szCs w:val="28"/>
          <w:lang w:val="en-US"/>
        </w:rPr>
        <w:t xml:space="preserve"> Becoming a member of a professional community</w:t>
      </w:r>
    </w:p>
    <w:p w:rsidR="00F7243B" w:rsidRPr="00A43AE5" w:rsidRDefault="00F7243B" w:rsidP="00A43AE5">
      <w:pPr>
        <w:spacing w:after="0" w:line="240" w:lineRule="auto"/>
        <w:rPr>
          <w:rFonts w:cstheme="minorHAnsi"/>
          <w:b/>
          <w:sz w:val="28"/>
          <w:szCs w:val="28"/>
          <w:lang w:val="en-US"/>
        </w:rPr>
      </w:pPr>
      <w:r w:rsidRPr="00A43AE5">
        <w:rPr>
          <w:rFonts w:cstheme="minorHAnsi"/>
          <w:b/>
          <w:sz w:val="28"/>
          <w:szCs w:val="28"/>
          <w:lang w:val="en-US"/>
        </w:rPr>
        <w:t>General Scenario</w:t>
      </w:r>
    </w:p>
    <w:p w:rsid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color w:val="1D2125"/>
          <w:lang w:val="en-US" w:eastAsia="ru-RU"/>
        </w:rPr>
        <w:t>Students enter a new educational and professional environment. During the module, they explore their study program, discover their personal strengths, learn about teamwork, compare personalities and professional roles, and create a collective portrait of their academic group as a future professional community.</w:t>
      </w:r>
    </w:p>
    <w:p w:rsidR="00A43AE5" w:rsidRDefault="00A43AE5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>
        <w:rPr>
          <w:rFonts w:eastAsia="Times New Roman" w:cstheme="minorHAnsi"/>
          <w:color w:val="1D2125"/>
          <w:lang w:val="en-US" w:eastAsia="ru-RU"/>
        </w:rPr>
        <w:t>Ex.11-13, p.12-13</w:t>
      </w:r>
    </w:p>
    <w:p w:rsidR="00A24D01" w:rsidRDefault="00A24D01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>
        <w:rPr>
          <w:rFonts w:eastAsia="Times New Roman" w:cstheme="minorHAnsi"/>
          <w:color w:val="1D2125"/>
          <w:lang w:val="en-US" w:eastAsia="ru-RU"/>
        </w:rPr>
        <w:t>Ex.11-13, p.18-19</w:t>
      </w:r>
    </w:p>
    <w:p w:rsidR="00A24D01" w:rsidRDefault="00A24D01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>
        <w:rPr>
          <w:rFonts w:eastAsia="Times New Roman" w:cstheme="minorHAnsi"/>
          <w:color w:val="1D2125"/>
          <w:lang w:val="en-US" w:eastAsia="ru-RU"/>
        </w:rPr>
        <w:t>Ex.12-14, p.24-25</w:t>
      </w:r>
    </w:p>
    <w:p w:rsidR="00A24D01" w:rsidRPr="00F7243B" w:rsidRDefault="00A24D01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</w:p>
    <w:p w:rsidR="00A43AE5" w:rsidRPr="00A43AE5" w:rsidRDefault="00F7243B" w:rsidP="00A43AE5">
      <w:pPr>
        <w:spacing w:after="0" w:line="240" w:lineRule="auto"/>
        <w:rPr>
          <w:rFonts w:cstheme="minorHAnsi"/>
          <w:b/>
          <w:sz w:val="28"/>
          <w:szCs w:val="28"/>
          <w:lang w:val="en-US"/>
        </w:rPr>
      </w:pPr>
      <w:r w:rsidRPr="00A43AE5">
        <w:rPr>
          <w:rFonts w:cstheme="minorHAnsi"/>
          <w:b/>
          <w:sz w:val="28"/>
          <w:szCs w:val="28"/>
          <w:lang w:val="en-US"/>
        </w:rPr>
        <w:t>Module 2. Student’s life. Academic success, well-being and self-management</w:t>
      </w:r>
    </w:p>
    <w:p w:rsidR="00F7243B" w:rsidRPr="00A43AE5" w:rsidRDefault="00F7243B" w:rsidP="00A43AE5">
      <w:pPr>
        <w:spacing w:after="0" w:line="240" w:lineRule="auto"/>
        <w:rPr>
          <w:rFonts w:cstheme="minorHAnsi"/>
          <w:b/>
          <w:lang w:val="en-US"/>
        </w:rPr>
      </w:pPr>
      <w:r w:rsidRPr="00A43AE5">
        <w:rPr>
          <w:rFonts w:cstheme="minorHAnsi"/>
          <w:b/>
          <w:lang w:val="en-US"/>
        </w:rPr>
        <w:t>Essential Question</w:t>
      </w:r>
    </w:p>
    <w:p w:rsidR="00F7243B" w:rsidRP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b/>
          <w:bCs/>
          <w:color w:val="1D2125"/>
          <w:lang w:val="en-US" w:eastAsia="ru-RU"/>
        </w:rPr>
        <w:t>What makes a student not simply survive university, but genuinely thrive?</w:t>
      </w:r>
    </w:p>
    <w:p w:rsid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color w:val="1D2125"/>
          <w:lang w:val="en-US" w:eastAsia="ru-RU"/>
        </w:rPr>
        <w:t>University life requires much more than attending lectures and passing exams.</w:t>
      </w:r>
    </w:p>
    <w:p w:rsidR="00A43AE5" w:rsidRPr="00F7243B" w:rsidRDefault="00A43AE5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</w:p>
    <w:p w:rsidR="00F7243B" w:rsidRP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color w:val="1D2125"/>
          <w:lang w:val="en-US" w:eastAsia="ru-RU"/>
        </w:rPr>
        <w:t>Students need to learn how to:</w:t>
      </w:r>
    </w:p>
    <w:p w:rsidR="00F7243B" w:rsidRP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iCs/>
          <w:color w:val="1D2125"/>
          <w:lang w:val="en-US" w:eastAsia="ru-RU"/>
        </w:rPr>
        <w:t>manage time • meet deadlines • maintain motivation • deal with pressure • study independently • seek support • communicate professionally • collaborate with others • protect their well-being • take responsibility for their own progress</w:t>
      </w:r>
    </w:p>
    <w:p w:rsidR="00F7243B" w:rsidRP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color w:val="1D2125"/>
          <w:lang w:val="en-US" w:eastAsia="ru-RU"/>
        </w:rPr>
        <w:t>These are not only university skills.</w:t>
      </w:r>
    </w:p>
    <w:p w:rsidR="00F7243B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 w:rsidRPr="00F7243B">
        <w:rPr>
          <w:rFonts w:eastAsia="Times New Roman" w:cstheme="minorHAnsi"/>
          <w:color w:val="1D2125"/>
          <w:lang w:val="en-US" w:eastAsia="ru-RU"/>
        </w:rPr>
        <w:t xml:space="preserve">They are </w:t>
      </w:r>
      <w:r w:rsidRPr="00F7243B">
        <w:rPr>
          <w:rFonts w:eastAsia="Times New Roman" w:cstheme="minorHAnsi"/>
          <w:b/>
          <w:bCs/>
          <w:color w:val="1D2125"/>
          <w:lang w:val="en-US" w:eastAsia="ru-RU"/>
        </w:rPr>
        <w:t>future professional skills</w:t>
      </w:r>
      <w:r w:rsidRPr="00F7243B">
        <w:rPr>
          <w:rFonts w:eastAsia="Times New Roman" w:cstheme="minorHAnsi"/>
          <w:color w:val="1D2125"/>
          <w:lang w:val="en-US" w:eastAsia="ru-RU"/>
        </w:rPr>
        <w:t>.</w:t>
      </w:r>
    </w:p>
    <w:p w:rsidR="00A24D01" w:rsidRDefault="00A24D01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>
        <w:rPr>
          <w:rFonts w:eastAsia="Times New Roman" w:cstheme="minorHAnsi"/>
          <w:color w:val="1D2125"/>
          <w:lang w:val="en-US" w:eastAsia="ru-RU"/>
        </w:rPr>
        <w:t>Ex.11-12, p.45</w:t>
      </w:r>
    </w:p>
    <w:p w:rsidR="00A24D01" w:rsidRDefault="00A24D01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>
        <w:rPr>
          <w:rFonts w:eastAsia="Times New Roman" w:cstheme="minorHAnsi"/>
          <w:color w:val="1D2125"/>
          <w:lang w:val="en-US" w:eastAsia="ru-RU"/>
        </w:rPr>
        <w:t>Ex.11-12, p.51-52</w:t>
      </w:r>
    </w:p>
    <w:p w:rsidR="00A24D01" w:rsidRPr="00A24D01" w:rsidRDefault="00A24D01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  <w:r>
        <w:rPr>
          <w:rFonts w:eastAsia="Times New Roman" w:cstheme="minorHAnsi"/>
          <w:color w:val="1D2125"/>
          <w:lang w:val="en-US" w:eastAsia="ru-RU"/>
        </w:rPr>
        <w:t>Ex.11, p.59</w:t>
      </w:r>
    </w:p>
    <w:p w:rsidR="00A43AE5" w:rsidRPr="00A43AE5" w:rsidRDefault="00A43AE5" w:rsidP="00A43AE5">
      <w:pPr>
        <w:shd w:val="clear" w:color="auto" w:fill="FFFFFF"/>
        <w:spacing w:after="0" w:line="240" w:lineRule="auto"/>
        <w:rPr>
          <w:rFonts w:eastAsia="Times New Roman" w:cstheme="minorHAnsi"/>
          <w:color w:val="1D2125"/>
          <w:lang w:val="en-US" w:eastAsia="ru-RU"/>
        </w:rPr>
      </w:pPr>
    </w:p>
    <w:p w:rsidR="00F7243B" w:rsidRPr="00A43AE5" w:rsidRDefault="00F7243B" w:rsidP="00A43AE5">
      <w:pPr>
        <w:shd w:val="clear" w:color="auto" w:fill="FFFFFF"/>
        <w:spacing w:after="0" w:line="240" w:lineRule="auto"/>
        <w:rPr>
          <w:rFonts w:eastAsia="Times New Roman" w:cstheme="minorHAnsi"/>
          <w:b/>
          <w:color w:val="1D2125"/>
          <w:sz w:val="28"/>
          <w:szCs w:val="28"/>
          <w:lang w:val="en-US" w:eastAsia="ru-RU"/>
        </w:rPr>
      </w:pPr>
      <w:r w:rsidRPr="00A43AE5">
        <w:rPr>
          <w:rFonts w:eastAsia="Times New Roman" w:cstheme="minorHAnsi"/>
          <w:b/>
          <w:color w:val="1D2125"/>
          <w:sz w:val="28"/>
          <w:szCs w:val="28"/>
          <w:lang w:val="en-US" w:eastAsia="ru-RU"/>
        </w:rPr>
        <w:t>Module 3. See the world. Global Mobility, culture and intercultural communication</w:t>
      </w:r>
    </w:p>
    <w:p w:rsidR="00A43AE5" w:rsidRPr="00A43AE5" w:rsidRDefault="00A43AE5" w:rsidP="00A43AE5">
      <w:pPr>
        <w:shd w:val="clear" w:color="auto" w:fill="FFFFFF"/>
        <w:spacing w:after="0" w:line="240" w:lineRule="auto"/>
        <w:rPr>
          <w:rFonts w:eastAsia="Times New Roman" w:cstheme="minorHAnsi"/>
          <w:b/>
          <w:color w:val="1D2125"/>
          <w:lang w:val="en-US" w:eastAsia="ru-RU"/>
        </w:rPr>
      </w:pPr>
      <w:r w:rsidRPr="00A43AE5">
        <w:rPr>
          <w:rFonts w:eastAsia="Times New Roman" w:cstheme="minorHAnsi"/>
          <w:b/>
          <w:color w:val="1D2125"/>
          <w:lang w:val="en-US" w:eastAsia="ru-RU"/>
        </w:rPr>
        <w:t>Essential Question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What does it mean to communicate successfully in a world where people, cultures and professions constantly interact?</w:t>
      </w: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Travelling abroad is no longer only about tourism.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For a future professional, international mobility may mean:</w:t>
      </w: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studying abroad • attending a conference • joining an international project • completing an internship • working in a multinational team • meeting foreign partners • presenting research • negotiating across cultures • adapting to a new environment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To succeed internationally, students need more than vocabulary for airports and hotels.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They need:</w:t>
      </w: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intercultural awareness • flexibility • professional etiquette • cultural sensitivity • clear communication • tolerance of ambiguity • global awareness • diplomacy • adaptability</w:t>
      </w:r>
    </w:p>
    <w:p w:rsidR="00A24D01" w:rsidRDefault="00A24D01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1D2125"/>
          <w:sz w:val="22"/>
          <w:szCs w:val="22"/>
          <w:lang w:val="en-US"/>
        </w:rPr>
        <w:t>Ex.8-10, p.64-65</w:t>
      </w:r>
    </w:p>
    <w:p w:rsidR="00A24D01" w:rsidRDefault="00A24D01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1D2125"/>
          <w:sz w:val="22"/>
          <w:szCs w:val="22"/>
          <w:lang w:val="en-US"/>
        </w:rPr>
        <w:t>Ex.10-11, p.71</w:t>
      </w:r>
    </w:p>
    <w:p w:rsidR="00A24D01" w:rsidRDefault="00A24D01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1D2125"/>
          <w:sz w:val="22"/>
          <w:szCs w:val="22"/>
          <w:lang w:val="en-US"/>
        </w:rPr>
        <w:t>Ex.9-12, p.76-77</w:t>
      </w: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1D2125"/>
          <w:sz w:val="28"/>
          <w:szCs w:val="28"/>
          <w:lang w:val="en-US"/>
        </w:rPr>
      </w:pPr>
      <w:r w:rsidRPr="00A43AE5">
        <w:rPr>
          <w:rFonts w:asciiTheme="minorHAnsi" w:hAnsiTheme="minorHAnsi" w:cstheme="minorHAnsi"/>
          <w:b/>
          <w:color w:val="1D2125"/>
          <w:sz w:val="28"/>
          <w:szCs w:val="28"/>
          <w:lang w:val="en-US"/>
        </w:rPr>
        <w:t>Module 4. Entertainment. Leisure, culture, experiences and the art of swithing off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b/>
          <w:color w:val="1D2125"/>
          <w:sz w:val="22"/>
          <w:szCs w:val="22"/>
          <w:lang w:val="en-US"/>
        </w:rPr>
        <w:t>Essential question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If entertainment is supposed to help us relax, why do we sometimes finish our free time feeling more tired than before?</w:t>
      </w: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lastRenderedPageBreak/>
        <w:t>Entertainment has never been more accessible.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Within seconds, we can: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stream a film • p</w:t>
      </w:r>
      <w:bookmarkStart w:id="0" w:name="_GoBack"/>
      <w:bookmarkEnd w:id="0"/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lay a game • listen to music • visit a virtual museum • watch short-form videos • attend an online event • communicate with friends • explore another culture</w:t>
      </w:r>
    </w:p>
    <w:p w:rsid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 w:rsidRPr="00A43AE5">
        <w:rPr>
          <w:rFonts w:asciiTheme="minorHAnsi" w:hAnsiTheme="minorHAnsi" w:cstheme="minorHAnsi"/>
          <w:color w:val="1D2125"/>
          <w:sz w:val="22"/>
          <w:szCs w:val="22"/>
          <w:lang w:val="en-US"/>
        </w:rPr>
        <w:t>Yet having unlimited entertainment does not necessarily mean using leisure time well.</w:t>
      </w:r>
    </w:p>
    <w:p w:rsidR="00200FFF" w:rsidRDefault="00200FFF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1D2125"/>
          <w:sz w:val="22"/>
          <w:szCs w:val="22"/>
          <w:lang w:val="en-US"/>
        </w:rPr>
        <w:t>Ex.</w:t>
      </w:r>
      <w:r w:rsidR="003C50B7">
        <w:rPr>
          <w:rFonts w:asciiTheme="minorHAnsi" w:hAnsiTheme="minorHAnsi" w:cstheme="minorHAnsi"/>
          <w:color w:val="1D2125"/>
          <w:sz w:val="22"/>
          <w:szCs w:val="22"/>
          <w:lang w:val="uk-UA"/>
        </w:rPr>
        <w:t>11</w:t>
      </w:r>
      <w:r w:rsidR="003C50B7">
        <w:rPr>
          <w:rFonts w:asciiTheme="minorHAnsi" w:hAnsiTheme="minorHAnsi" w:cstheme="minorHAnsi"/>
          <w:color w:val="1D2125"/>
          <w:sz w:val="22"/>
          <w:szCs w:val="22"/>
          <w:lang w:val="en-US"/>
        </w:rPr>
        <w:t>-13, p.94</w:t>
      </w:r>
    </w:p>
    <w:p w:rsidR="003C50B7" w:rsidRDefault="003C50B7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1D2125"/>
          <w:sz w:val="22"/>
          <w:szCs w:val="22"/>
          <w:lang w:val="en-US"/>
        </w:rPr>
        <w:t>Ex.12-13, p.105-106</w:t>
      </w:r>
    </w:p>
    <w:p w:rsidR="003C50B7" w:rsidRPr="003C50B7" w:rsidRDefault="003C50B7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1D2125"/>
          <w:sz w:val="22"/>
          <w:szCs w:val="22"/>
          <w:lang w:val="en-US"/>
        </w:rPr>
        <w:t>Ex.10-11, p.110-111</w:t>
      </w:r>
    </w:p>
    <w:p w:rsidR="00A43AE5" w:rsidRPr="00A43AE5" w:rsidRDefault="00A43AE5" w:rsidP="00A43AE5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125"/>
          <w:sz w:val="22"/>
          <w:szCs w:val="22"/>
          <w:lang w:val="en-US"/>
        </w:rPr>
      </w:pPr>
    </w:p>
    <w:p w:rsidR="00F7243B" w:rsidRPr="00F7243B" w:rsidRDefault="00F7243B">
      <w:pPr>
        <w:rPr>
          <w:lang w:val="en-US"/>
        </w:rPr>
      </w:pPr>
    </w:p>
    <w:sectPr w:rsidR="00F7243B" w:rsidRPr="00F7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5C0" w:rsidRDefault="008725C0" w:rsidP="00A43AE5">
      <w:pPr>
        <w:spacing w:after="0" w:line="240" w:lineRule="auto"/>
      </w:pPr>
      <w:r>
        <w:separator/>
      </w:r>
    </w:p>
  </w:endnote>
  <w:endnote w:type="continuationSeparator" w:id="0">
    <w:p w:rsidR="008725C0" w:rsidRDefault="008725C0" w:rsidP="00A43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5C0" w:rsidRDefault="008725C0" w:rsidP="00A43AE5">
      <w:pPr>
        <w:spacing w:after="0" w:line="240" w:lineRule="auto"/>
      </w:pPr>
      <w:r>
        <w:separator/>
      </w:r>
    </w:p>
  </w:footnote>
  <w:footnote w:type="continuationSeparator" w:id="0">
    <w:p w:rsidR="008725C0" w:rsidRDefault="008725C0" w:rsidP="00A43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8784A"/>
    <w:multiLevelType w:val="multilevel"/>
    <w:tmpl w:val="10FE5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2F"/>
    <w:rsid w:val="00200FFF"/>
    <w:rsid w:val="003C50B7"/>
    <w:rsid w:val="0044032F"/>
    <w:rsid w:val="008725C0"/>
    <w:rsid w:val="00A24D01"/>
    <w:rsid w:val="00A43AE5"/>
    <w:rsid w:val="00BF33F8"/>
    <w:rsid w:val="00E8347D"/>
    <w:rsid w:val="00F7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88446"/>
  <w15:chartTrackingRefBased/>
  <w15:docId w15:val="{FE91F718-2F5C-4273-AF94-BD29A83C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24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24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72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3AE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43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3AE5"/>
  </w:style>
  <w:style w:type="paragraph" w:styleId="a7">
    <w:name w:val="footer"/>
    <w:basedOn w:val="a"/>
    <w:link w:val="a8"/>
    <w:uiPriority w:val="99"/>
    <w:unhideWhenUsed/>
    <w:rsid w:val="00A43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4</cp:revision>
  <dcterms:created xsi:type="dcterms:W3CDTF">2026-09-29T14:35:00Z</dcterms:created>
  <dcterms:modified xsi:type="dcterms:W3CDTF">2026-09-29T15:31:00Z</dcterms:modified>
</cp:coreProperties>
</file>