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7B305" w14:textId="77777777" w:rsidR="00104E4E" w:rsidRDefault="007637B4" w:rsidP="002139DB">
      <w:pPr>
        <w:pStyle w:val="10"/>
        <w:ind w:firstLine="709"/>
        <w:jc w:val="both"/>
      </w:pPr>
      <w:r>
        <w:t>ЛЕКЦІЯ</w:t>
      </w:r>
    </w:p>
    <w:p w14:paraId="390B91F8" w14:textId="77777777" w:rsidR="00104E4E" w:rsidRDefault="007637B4" w:rsidP="002139DB">
      <w:pPr>
        <w:ind w:firstLine="709"/>
        <w:jc w:val="both"/>
      </w:pPr>
      <w:r>
        <w:rPr>
          <w:b/>
          <w:bCs/>
          <w:color w:val="1F4E79"/>
          <w:sz w:val="44"/>
          <w:szCs w:val="44"/>
        </w:rPr>
        <w:t>Стадії розвитку науки</w:t>
      </w:r>
    </w:p>
    <w:p w14:paraId="0BEBB80E" w14:textId="77777777" w:rsidR="00104E4E" w:rsidRDefault="007637B4" w:rsidP="002139DB">
      <w:pPr>
        <w:ind w:firstLine="709"/>
        <w:jc w:val="both"/>
      </w:pPr>
      <w:r>
        <w:rPr>
          <w:i/>
          <w:iCs/>
          <w:color w:val="666666"/>
          <w:sz w:val="26"/>
          <w:szCs w:val="26"/>
        </w:rPr>
        <w:t>(історико-філософський аналіз)</w:t>
      </w:r>
    </w:p>
    <w:p w14:paraId="6D00A635" w14:textId="77777777" w:rsidR="00104E4E" w:rsidRDefault="007637B4" w:rsidP="002139DB">
      <w:pPr>
        <w:pStyle w:val="1"/>
        <w:spacing w:before="0" w:after="0"/>
        <w:ind w:firstLine="709"/>
        <w:jc w:val="both"/>
      </w:pPr>
      <w:r>
        <w:t>Вступ</w:t>
      </w:r>
    </w:p>
    <w:p w14:paraId="4CF53724" w14:textId="77777777" w:rsidR="00104E4E" w:rsidRDefault="007637B4" w:rsidP="002139DB">
      <w:pPr>
        <w:ind w:firstLine="709"/>
        <w:jc w:val="both"/>
      </w:pPr>
      <w:r>
        <w:t xml:space="preserve">У процесі історичного розвитку постійно зростала роль діячів науки, які одними з перших давали адекватну відповідь на чергові виклики історії. Наука як особлива форма пізнавальної діяльності та соціальний інститут пройшла тривалий шлях становлення — від </w:t>
      </w:r>
      <w:proofErr w:type="spellStart"/>
      <w:r>
        <w:t>пе</w:t>
      </w:r>
      <w:r>
        <w:t>реднаукових</w:t>
      </w:r>
      <w:proofErr w:type="spellEnd"/>
      <w:r>
        <w:t xml:space="preserve"> знань давніх цивілізацій до сучасної </w:t>
      </w:r>
      <w:proofErr w:type="spellStart"/>
      <w:r>
        <w:t>постнекласичної</w:t>
      </w:r>
      <w:proofErr w:type="spellEnd"/>
      <w:r>
        <w:t xml:space="preserve"> раціональності та комп’ютерної революції.</w:t>
      </w:r>
    </w:p>
    <w:p w14:paraId="4CF53724" w14:textId="77777777" w:rsidR="00104E4E" w:rsidRDefault="007637B4" w:rsidP="002139DB">
      <w:pPr>
        <w:ind w:firstLine="709"/>
        <w:jc w:val="both"/>
      </w:pPr>
      <w:r>
        <w:t>Періодизація розвитку науки завжди є певною мірою умовною, адже межі між епохами розмиті, а нові форми знання співіснують зі старими впродовж тривалого часу. Критеріями виокремлення стадій зазвичай слугують тип знання, що переважає, спосіб його обґрунтування, характер зв’язку науки з практикою та її місце в системі культури. Важливо також враховувати, хто і в яких інституціях продукує знання: жрецькі касти, філософські школи, монастирі, університети чи наукові лабораторії. Кожна історична стадія формує власний ідеал наукового знання, власні норми доведення й уявлення про те, що вважати істиною. Саме тому історико-філософський аналіз науки не обмежується переліком відкриттів, а досліджує зміну самих засад пізнавальної діяльності.</w:t>
      </w:r>
      <w:proofErr w:type="spellStart"/>
      <w:proofErr w:type="spellEnd"/>
      <w:proofErr w:type="spellStart"/>
      <w:proofErr w:type="spellEnd"/>
    </w:p>
    <w:p w14:paraId="76512B87" w14:textId="77777777" w:rsidR="00104E4E" w:rsidRDefault="007637B4" w:rsidP="002139DB">
      <w:pPr>
        <w:ind w:firstLine="709"/>
        <w:jc w:val="both"/>
      </w:pPr>
      <w:r>
        <w:t>Виокремлюють наступні періоди (стадії) розвитку науки:</w:t>
      </w:r>
    </w:p>
    <w:p w14:paraId="22FFD6E0" w14:textId="77777777" w:rsidR="00104E4E" w:rsidRDefault="007637B4" w:rsidP="002139DB">
      <w:pPr>
        <w:pStyle w:val="a4"/>
        <w:numPr>
          <w:ilvl w:val="0"/>
          <w:numId w:val="2"/>
        </w:numPr>
        <w:ind w:left="0" w:firstLine="709"/>
        <w:jc w:val="both"/>
      </w:pPr>
      <w:proofErr w:type="spellStart"/>
      <w:r>
        <w:rPr>
          <w:b/>
          <w:bCs/>
        </w:rPr>
        <w:t>Переднаука</w:t>
      </w:r>
      <w:proofErr w:type="spellEnd"/>
      <w:r>
        <w:t xml:space="preserve"> (IV тис. до н.е. – V ст. до н.е.) — створення писемності, розробка начал математики</w:t>
      </w:r>
      <w:r>
        <w:t xml:space="preserve">, хронометрії, технології </w:t>
      </w:r>
      <w:proofErr w:type="spellStart"/>
      <w:r>
        <w:t>ремесел</w:t>
      </w:r>
      <w:proofErr w:type="spellEnd"/>
      <w:r>
        <w:t>;</w:t>
      </w:r>
    </w:p>
    <w:p w14:paraId="4BE31A87" w14:textId="77777777" w:rsidR="00104E4E" w:rsidRDefault="007637B4" w:rsidP="002139DB">
      <w:pPr>
        <w:pStyle w:val="a4"/>
        <w:numPr>
          <w:ilvl w:val="0"/>
          <w:numId w:val="2"/>
        </w:numPr>
        <w:ind w:left="0" w:firstLine="709"/>
        <w:jc w:val="both"/>
      </w:pPr>
      <w:r>
        <w:rPr>
          <w:b/>
          <w:bCs/>
        </w:rPr>
        <w:t>Античність</w:t>
      </w:r>
      <w:r>
        <w:t xml:space="preserve"> (V ст. до н.е. – V ст. н.е.) — формуються основи раціонального мислення, зароджуються європейська філософія, логіка, геометрія Евкліда; наукове знання набуває енциклопедичного характеру (</w:t>
      </w:r>
      <w:proofErr w:type="spellStart"/>
      <w:r>
        <w:t>Арістотель</w:t>
      </w:r>
      <w:proofErr w:type="spellEnd"/>
      <w:r>
        <w:t>);</w:t>
      </w:r>
    </w:p>
    <w:p w14:paraId="627D8E00" w14:textId="77777777" w:rsidR="00104E4E" w:rsidRDefault="007637B4" w:rsidP="002139DB">
      <w:pPr>
        <w:pStyle w:val="a4"/>
        <w:numPr>
          <w:ilvl w:val="0"/>
          <w:numId w:val="2"/>
        </w:numPr>
        <w:ind w:left="0" w:firstLine="709"/>
        <w:jc w:val="both"/>
      </w:pPr>
      <w:r>
        <w:rPr>
          <w:b/>
          <w:bCs/>
        </w:rPr>
        <w:t>Середньові</w:t>
      </w:r>
      <w:r>
        <w:rPr>
          <w:b/>
          <w:bCs/>
        </w:rPr>
        <w:t>ччя</w:t>
      </w:r>
      <w:r>
        <w:t xml:space="preserve"> (V ст. н.е. – XII ст. н.е.) — панівний стан релігії у духовному житті суспільства, утвердження схоластики, розвиток технічних знань;</w:t>
      </w:r>
    </w:p>
    <w:p w14:paraId="05BD717E" w14:textId="77777777" w:rsidR="00104E4E" w:rsidRDefault="007637B4" w:rsidP="002139DB">
      <w:pPr>
        <w:pStyle w:val="a4"/>
        <w:numPr>
          <w:ilvl w:val="0"/>
          <w:numId w:val="2"/>
        </w:numPr>
        <w:ind w:left="0" w:firstLine="709"/>
        <w:jc w:val="both"/>
      </w:pPr>
      <w:r>
        <w:rPr>
          <w:b/>
          <w:bCs/>
        </w:rPr>
        <w:t>Відродження</w:t>
      </w:r>
      <w:r>
        <w:t xml:space="preserve"> (XII ст. – XVI ст.) — виникають європейські університети, зароджується гуманізм, розробляється М. Копернико</w:t>
      </w:r>
      <w:r>
        <w:t>м геліоцентрична концепція Всесвіту; виходить у світ 42-рядкова Біблія — перший друкований твір у Європі, шедевр першодруку, створений Й. Гутенбергом;</w:t>
      </w:r>
    </w:p>
    <w:p w14:paraId="4FB799EE" w14:textId="77777777" w:rsidR="00104E4E" w:rsidRDefault="007637B4" w:rsidP="002139DB">
      <w:pPr>
        <w:pStyle w:val="a4"/>
        <w:numPr>
          <w:ilvl w:val="0"/>
          <w:numId w:val="2"/>
        </w:numPr>
        <w:ind w:left="0" w:firstLine="709"/>
        <w:jc w:val="both"/>
      </w:pPr>
      <w:r>
        <w:rPr>
          <w:b/>
          <w:bCs/>
        </w:rPr>
        <w:t>Новий час</w:t>
      </w:r>
      <w:r>
        <w:t xml:space="preserve"> (XVI ст. – XVIII ст.) — відбувається секуляризація науки, створюється І. Ньютоном механіка, вин</w:t>
      </w:r>
      <w:r>
        <w:t>икає досвідне природознавство, розробляється диференціальне та інтегральне обчислювання, формується механістична картина світу, відбувається перша науково-промислова революція;</w:t>
      </w:r>
    </w:p>
    <w:p w14:paraId="51993147" w14:textId="77777777" w:rsidR="00104E4E" w:rsidRDefault="007637B4" w:rsidP="002139DB">
      <w:pPr>
        <w:pStyle w:val="a4"/>
        <w:numPr>
          <w:ilvl w:val="0"/>
          <w:numId w:val="2"/>
        </w:numPr>
        <w:ind w:left="0" w:firstLine="709"/>
        <w:jc w:val="both"/>
      </w:pPr>
      <w:r>
        <w:rPr>
          <w:b/>
          <w:bCs/>
        </w:rPr>
        <w:t>Новітній час</w:t>
      </w:r>
      <w:r>
        <w:t xml:space="preserve"> (XVIII ст. – XIX ст.) — відбувається диференціація наукових дисцип</w:t>
      </w:r>
      <w:r>
        <w:t>лін, завершується створення класичного природознавства, розробляються неевклідові геометрії, утверджується еволюціонізм;</w:t>
      </w:r>
    </w:p>
    <w:p w14:paraId="7D044742" w14:textId="77777777" w:rsidR="00104E4E" w:rsidRDefault="007637B4" w:rsidP="002139DB">
      <w:pPr>
        <w:pStyle w:val="a4"/>
        <w:numPr>
          <w:ilvl w:val="0"/>
          <w:numId w:val="2"/>
        </w:numPr>
        <w:ind w:left="0" w:firstLine="709"/>
        <w:jc w:val="both"/>
      </w:pPr>
      <w:r>
        <w:rPr>
          <w:b/>
          <w:bCs/>
        </w:rPr>
        <w:t>Сучасність</w:t>
      </w:r>
      <w:r>
        <w:t xml:space="preserve"> (XIX ст. – 1960-ті рр.) — формування наукових товариств, становлення некласичного раціоналізму та релятивізму, відбуваються </w:t>
      </w:r>
      <w:r>
        <w:t>революції у фізиці і біології, зазнають кризи основи математики;</w:t>
      </w:r>
    </w:p>
    <w:p w14:paraId="282EA058" w14:textId="77777777" w:rsidR="00104E4E" w:rsidRDefault="007637B4" w:rsidP="002139DB">
      <w:pPr>
        <w:pStyle w:val="a4"/>
        <w:numPr>
          <w:ilvl w:val="0"/>
          <w:numId w:val="2"/>
        </w:numPr>
        <w:ind w:left="0" w:firstLine="709"/>
        <w:jc w:val="both"/>
      </w:pPr>
      <w:r>
        <w:rPr>
          <w:b/>
          <w:bCs/>
        </w:rPr>
        <w:t>Комп’ютерна революція</w:t>
      </w:r>
      <w:r>
        <w:t xml:space="preserve"> (1960-ті рр. – донині) — становлення </w:t>
      </w:r>
      <w:proofErr w:type="spellStart"/>
      <w:r>
        <w:t>постнекласичної</w:t>
      </w:r>
      <w:proofErr w:type="spellEnd"/>
      <w:r>
        <w:t xml:space="preserve"> раціональності, інформатики; відбувається мілітаризація науки.</w:t>
      </w:r>
    </w:p>
    <w:p w14:paraId="4CF53724" w14:textId="77777777" w:rsidR="00104E4E" w:rsidRDefault="007637B4" w:rsidP="002139DB">
      <w:pPr>
        <w:ind w:firstLine="709"/>
        <w:jc w:val="both"/>
      </w:pPr>
      <w:r>
        <w:t>Наведена періодизація має переважно європоцентричний характер, оскільки саме в Європі Нового часу сформувався той тип науки, який згодом набув глобального поширення. Водночас сучасні історики науки дедалі більше уваги приділяють внеску інших цивілізацій — Індії, Китаю, ісламського світу, без досягнень яких європейська наука навряд чи постала б у відомому нам вигляді. Крім того, різні галузі знання проходили ці стадії неодночасно: математика набула теоретичного характеру ще в античності, фізика — у XVII ст., хімія — наприкінці XVIII ст., а біологія — лише в XIX ст. Тому кожну стадію варто розглядати не як жорстко окреслений відрізок часу, а як домінування певного типу наукової раціональності.</w:t>
      </w:r>
      <w:proofErr w:type="spellStart"/>
      <w:proofErr w:type="spellEnd"/>
      <w:proofErr w:type="spellStart"/>
      <w:proofErr w:type="spellEnd"/>
    </w:p>
    <w:p w14:paraId="1FCA2311" w14:textId="77777777" w:rsidR="00104E4E" w:rsidRDefault="007637B4" w:rsidP="002139DB">
      <w:pPr>
        <w:pStyle w:val="1"/>
        <w:spacing w:before="0" w:after="0"/>
        <w:ind w:firstLine="709"/>
        <w:jc w:val="both"/>
      </w:pPr>
      <w:r>
        <w:t xml:space="preserve">1. </w:t>
      </w:r>
      <w:proofErr w:type="spellStart"/>
      <w:r>
        <w:t>Переднаука</w:t>
      </w:r>
      <w:proofErr w:type="spellEnd"/>
      <w:r>
        <w:t xml:space="preserve"> та перехід до власне науки</w:t>
      </w:r>
    </w:p>
    <w:p w14:paraId="28B00783" w14:textId="77777777" w:rsidR="00104E4E" w:rsidRDefault="007637B4" w:rsidP="002139DB">
      <w:pPr>
        <w:ind w:firstLine="709"/>
        <w:jc w:val="both"/>
      </w:pPr>
      <w:proofErr w:type="spellStart"/>
      <w:r>
        <w:rPr>
          <w:b/>
          <w:bCs/>
        </w:rPr>
        <w:t>Переднаука</w:t>
      </w:r>
      <w:proofErr w:type="spellEnd"/>
      <w:r>
        <w:t xml:space="preserve"> —</w:t>
      </w:r>
      <w:r>
        <w:t xml:space="preserve"> це такий період у становленні наукових знань, коли вони ще не виходили за межі наявної практики. Ці знання моделювали зміни об’єктів, що включені в практичну діяльність, передбачаючи їх можливі стани. Реальні об’єкти на цьому етапі мислення і дії замінюва</w:t>
      </w:r>
      <w:r>
        <w:t>лися ідеальними об’єктами і виступали як абстракції, якими оперувало мислення. Їхні зв’язки і взаємовідношення, операції з ними також формувалися з практики, виступали схемами практичних дій.</w:t>
      </w:r>
    </w:p>
    <w:p w14:paraId="041CF93F" w14:textId="77777777" w:rsidR="00104E4E" w:rsidRDefault="007637B4" w:rsidP="002139DB">
      <w:pPr>
        <w:ind w:firstLine="709"/>
        <w:jc w:val="both"/>
      </w:pPr>
      <w:r>
        <w:t xml:space="preserve">Перехід від </w:t>
      </w:r>
      <w:proofErr w:type="spellStart"/>
      <w:r>
        <w:t>переднауки</w:t>
      </w:r>
      <w:proofErr w:type="spellEnd"/>
      <w:r>
        <w:t xml:space="preserve"> до власне науки був зумовлений новим спос</w:t>
      </w:r>
      <w:r>
        <w:t xml:space="preserve">обом формування ідеальних об’єктів та їхніх </w:t>
      </w:r>
      <w:proofErr w:type="spellStart"/>
      <w:r>
        <w:t>зв’язків</w:t>
      </w:r>
      <w:proofErr w:type="spellEnd"/>
      <w:r>
        <w:t xml:space="preserve">, що моделювали практику. </w:t>
      </w:r>
      <w:r>
        <w:lastRenderedPageBreak/>
        <w:t>Зародився специфічний рух у галузі теоретичного знання, завдяки якому почали формуватися моделі реальності, що вивчалася, нібито зверху по відношенню до існуючої практики, які по</w:t>
      </w:r>
      <w:r>
        <w:t>тім прямо чи опосередковано перевірялися практикою.</w:t>
      </w:r>
    </w:p>
    <w:p w14:paraId="66929264" w14:textId="77777777" w:rsidR="00104E4E" w:rsidRDefault="007637B4" w:rsidP="002139DB">
      <w:pPr>
        <w:ind w:firstLine="709"/>
        <w:jc w:val="both"/>
      </w:pPr>
      <w:r>
        <w:t xml:space="preserve">З цього моменту закінчується етап </w:t>
      </w:r>
      <w:proofErr w:type="spellStart"/>
      <w:r>
        <w:t>переднауки</w:t>
      </w:r>
      <w:proofErr w:type="spellEnd"/>
      <w:r>
        <w:t xml:space="preserve"> і починається наука у власному розумінні цього слова. У ній поряд з емпіричними правилами (які знала і </w:t>
      </w:r>
      <w:proofErr w:type="spellStart"/>
      <w:r>
        <w:t>переднаука</w:t>
      </w:r>
      <w:proofErr w:type="spellEnd"/>
      <w:r>
        <w:t xml:space="preserve">) став формуватися особливий тип знання — </w:t>
      </w:r>
      <w:r>
        <w:rPr>
          <w:b/>
          <w:bCs/>
        </w:rPr>
        <w:t>теор</w:t>
      </w:r>
      <w:r>
        <w:rPr>
          <w:b/>
          <w:bCs/>
        </w:rPr>
        <w:t>ія</w:t>
      </w:r>
      <w:r>
        <w:t>, що відкрила можливості отримувати емпіричні залежності як наслідок з теоретичних постулатів.</w:t>
      </w:r>
    </w:p>
    <w:p w14:paraId="2007027D" w14:textId="77777777" w:rsidR="00104E4E" w:rsidRDefault="007637B4" w:rsidP="002139DB">
      <w:pPr>
        <w:ind w:firstLine="709"/>
        <w:jc w:val="both"/>
      </w:pPr>
      <w:r>
        <w:t>Разом зі змінами в джерелах знань відбувалися зміни і в їхньому категоріальному статусі — знання отримали можливість співвідноситися не лише з існуючим досвідо</w:t>
      </w:r>
      <w:r>
        <w:t>м, але і з якісно новою практикою майбутнього, а тому стали оцінюватися з позицій можливого і необхідного.</w:t>
      </w:r>
    </w:p>
    <w:p w14:paraId="4CF53724" w14:textId="77777777" w:rsidR="00104E4E" w:rsidRDefault="007637B4" w:rsidP="002139DB">
      <w:pPr>
        <w:ind w:firstLine="709"/>
        <w:jc w:val="both"/>
      </w:pPr>
      <w:r>
        <w:t>Типовою формою переднаукового знання був рецепт — опис послідовності дій, що гарантує певний практичний результат. Такий рецепт відповідав на питання «як зробити?», але не пояснював, чому саме так і не інакше. Знання передавалося від учителя до учня, від батька до сина, часто разом із ритуальними приписами, які сприймалися як невід’ємна умова успіху. Помилка в ритуалі могла вважатися так само небезпечною, як і помилка в технології, адже практичне та сакральне ще не були розмежовані. Лише з появою теорії знання звільняється від прив’язки до конкретної ситуації й набуває загального характеру.</w:t>
      </w:r>
      <w:proofErr w:type="spellStart"/>
      <w:proofErr w:type="spellEnd"/>
      <w:proofErr w:type="spellStart"/>
      <w:proofErr w:type="spellEnd"/>
    </w:p>
    <w:p w14:paraId="47F72810" w14:textId="77777777" w:rsidR="00104E4E" w:rsidRDefault="007637B4" w:rsidP="002139DB">
      <w:pPr>
        <w:pStyle w:val="2"/>
        <w:spacing w:before="0" w:after="0"/>
        <w:ind w:firstLine="709"/>
        <w:jc w:val="both"/>
      </w:pPr>
      <w:r>
        <w:t>Основні етапи формування науки у власному сенсі цього слова</w:t>
      </w:r>
    </w:p>
    <w:p w14:paraId="6FC8BF8F" w14:textId="77777777" w:rsidR="00104E4E" w:rsidRDefault="007637B4" w:rsidP="002139DB">
      <w:pPr>
        <w:pStyle w:val="a4"/>
        <w:numPr>
          <w:ilvl w:val="0"/>
          <w:numId w:val="3"/>
        </w:numPr>
        <w:ind w:left="0" w:firstLine="709"/>
        <w:jc w:val="both"/>
      </w:pPr>
      <w:r>
        <w:t>Етап становлення математики;</w:t>
      </w:r>
    </w:p>
    <w:p w14:paraId="0369B150" w14:textId="77777777" w:rsidR="00104E4E" w:rsidRDefault="007637B4" w:rsidP="002139DB">
      <w:pPr>
        <w:pStyle w:val="a4"/>
        <w:numPr>
          <w:ilvl w:val="0"/>
          <w:numId w:val="3"/>
        </w:numPr>
        <w:ind w:left="0" w:firstLine="709"/>
        <w:jc w:val="both"/>
      </w:pPr>
      <w:r>
        <w:t>Етап становлення природознавства;</w:t>
      </w:r>
    </w:p>
    <w:p w14:paraId="08C3EDF5" w14:textId="77777777" w:rsidR="00104E4E" w:rsidRDefault="007637B4" w:rsidP="002139DB">
      <w:pPr>
        <w:pStyle w:val="a4"/>
        <w:numPr>
          <w:ilvl w:val="0"/>
          <w:numId w:val="3"/>
        </w:numPr>
        <w:ind w:left="0" w:firstLine="709"/>
        <w:jc w:val="both"/>
      </w:pPr>
      <w:r>
        <w:t>Етап становлення соціальни</w:t>
      </w:r>
      <w:r>
        <w:t>х і гуманітарних наук.</w:t>
      </w:r>
    </w:p>
    <w:p w14:paraId="5F8C83B4" w14:textId="77777777" w:rsidR="00104E4E" w:rsidRDefault="007637B4" w:rsidP="002139DB">
      <w:pPr>
        <w:ind w:firstLine="709"/>
        <w:jc w:val="both"/>
      </w:pPr>
      <w:r>
        <w:t xml:space="preserve">Першою здійснила перехід від </w:t>
      </w:r>
      <w:proofErr w:type="spellStart"/>
      <w:r>
        <w:t>переднауки</w:t>
      </w:r>
      <w:proofErr w:type="spellEnd"/>
      <w:r>
        <w:t xml:space="preserve"> до власне науки </w:t>
      </w:r>
      <w:r>
        <w:rPr>
          <w:b/>
          <w:bCs/>
        </w:rPr>
        <w:t>математика</w:t>
      </w:r>
      <w:r>
        <w:t>. У процесі її еволюції числа та геометричні фігури почали розглядатися не як прообрази предметів, якими оперують у практичній діяльності, а як відносно самостійні математичні об’єкти, властивості яких підлягали систематичному вивченню.</w:t>
      </w:r>
    </w:p>
    <w:p w14:paraId="2CA576F8" w14:textId="77777777" w:rsidR="00104E4E" w:rsidRDefault="007637B4" w:rsidP="002139DB">
      <w:pPr>
        <w:ind w:firstLine="709"/>
        <w:jc w:val="both"/>
      </w:pPr>
      <w:r>
        <w:t>Після математики сп</w:t>
      </w:r>
      <w:r>
        <w:t>осіб теоретичного пізнання, що базувався на русі думки у царині теоретичних ідеальних об’єктів, закріпився і в природознавстві. Тут утвердився «метод висування гіпотез» та обґрунтування за допомогою досвіду. Досвідна перевірка здійснювалася шляхом експерим</w:t>
      </w:r>
      <w:r>
        <w:t>енту, спостереження та вимірювання, які спрямовувалися теоретичними знаннями.</w:t>
      </w:r>
    </w:p>
    <w:p w14:paraId="62D1D51E" w14:textId="77777777" w:rsidR="00104E4E" w:rsidRDefault="007637B4" w:rsidP="002139DB">
      <w:pPr>
        <w:ind w:firstLine="709"/>
        <w:jc w:val="both"/>
      </w:pPr>
      <w:r>
        <w:t xml:space="preserve">Третім етапом розвитку науки стало формування технічних наук як своєрідного прошарку знань, що поєднував виробництво з природознавством. Незабаром почали формуватися соціальні і </w:t>
      </w:r>
      <w:r>
        <w:t>гуманітарні науки. У цих галузях наукового пізнання також став виникати прошарок особливих теоретичних ідеальних об’єктів (людина, індивід, особистість, діяльність, інтерес, цінність, власність, демократія тощо), оперування якими відкривало можливості пояс</w:t>
      </w:r>
      <w:r>
        <w:t>нення і передбачення феноменів суспільного життя.</w:t>
      </w:r>
    </w:p>
    <w:p w14:paraId="4CF53724" w14:textId="77777777" w:rsidR="00104E4E" w:rsidRDefault="007637B4" w:rsidP="002139DB">
      <w:pPr>
        <w:ind w:firstLine="709"/>
        <w:jc w:val="both"/>
      </w:pPr>
      <w:r>
        <w:t>Становлення технічних наук особливо яскраво виявилося у XIX ст., коли потреби промисловості почали прямо визначати напрями досліджень. Класичним прикладом є праця французького інженера Саді Карно «Роздуми про рушійну силу вогню» (1824), у якій аналіз роботи парової машини привів до формулювання засад термодинаміки. У такий спосіб технічна проблема породила фундаментальну фізичну теорію, яка згодом змінила уявлення про природу енергії. Важливу роль у підготовці інженерів нового типу відіграли політехнічні школи, першою серед яких стала Політехнічна школа в Парижі, заснована 1794 р. Саме в них навчання поєднувало ґрунтовну математичну підготовку з вивченням конкретних технічних дисциплін.</w:t>
      </w:r>
      <w:proofErr w:type="spellStart"/>
      <w:proofErr w:type="spellEnd"/>
      <w:proofErr w:type="spellStart"/>
      <w:proofErr w:type="spellEnd"/>
    </w:p>
    <w:p w14:paraId="47F72810" w14:textId="77777777" w:rsidR="00104E4E" w:rsidRDefault="007637B4" w:rsidP="002139DB">
      <w:pPr>
        <w:pStyle w:val="2"/>
        <w:spacing w:before="0" w:after="0"/>
        <w:ind w:firstLine="709"/>
        <w:jc w:val="both"/>
      </w:pPr>
      <w:r>
        <w:t>Критерії наукового знання</w:t>
      </w:r>
    </w:p>
    <w:p w14:paraId="4CF53724" w14:textId="77777777" w:rsidR="00104E4E" w:rsidRDefault="007637B4" w:rsidP="002139DB">
      <w:pPr>
        <w:ind w:firstLine="709"/>
        <w:jc w:val="both"/>
      </w:pPr>
      <w:r>
        <w:t>Щоб відрізнити науку від інших форм знання, філософія науки виробила низку критеріїв науковості. До них належать об’єктивність, тобто спрямованість на пізнання предмета незалежно від уподобань дослідника, а також системність, що передбачає впорядкованість знань на основі певних принципів. Науковому знанню притаманні обґрунтованість і доказовість: кожне твердження має спиратися на факти, логічні висновки або раніше доведені положення. Суттєвою ознакою є також перевірюваність — можливість підтвердити чи спростувати знання за допомогою спостереження, експерименту або вимірювання. Наука користується спеціальною мовою з чітко визначеними поняттями, що забезпечує однозначність формулювань. Нарешті, наукове знання орієнтоване не лише на пояснення наявного, а й на передбачення нових явищ, що принципово відрізняє його від переднаукових рецептів.</w:t>
      </w:r>
      <w:proofErr w:type="spellStart"/>
      <w:proofErr w:type="spellEnd"/>
      <w:proofErr w:type="spellStart"/>
      <w:proofErr w:type="spellEnd"/>
    </w:p>
    <w:p w14:paraId="26E9D59D" w14:textId="77777777" w:rsidR="00104E4E" w:rsidRDefault="007637B4" w:rsidP="002139DB">
      <w:pPr>
        <w:pStyle w:val="1"/>
        <w:spacing w:before="0" w:after="0"/>
        <w:ind w:firstLine="709"/>
        <w:jc w:val="both"/>
      </w:pPr>
      <w:r>
        <w:t>2. Наука в стародавньому світі</w:t>
      </w:r>
    </w:p>
    <w:p w14:paraId="73B4A938" w14:textId="77777777" w:rsidR="00104E4E" w:rsidRDefault="007637B4" w:rsidP="002139DB">
      <w:pPr>
        <w:ind w:firstLine="709"/>
        <w:jc w:val="both"/>
      </w:pPr>
      <w:r>
        <w:t>Зародження перших форм теоретичного знання зазвичай пов’язують з античністю. Хоча Стародавній Схід, Індія, Китай і дивують нас чудовими винаходами, знання тут мають специфічни</w:t>
      </w:r>
      <w:r>
        <w:t>й характер.</w:t>
      </w:r>
    </w:p>
    <w:p w14:paraId="74CCCA98" w14:textId="77777777" w:rsidR="00104E4E" w:rsidRDefault="007637B4" w:rsidP="002139DB">
      <w:pPr>
        <w:ind w:firstLine="709"/>
        <w:jc w:val="both"/>
      </w:pPr>
      <w:r>
        <w:t xml:space="preserve">У давньоєгипетській цивілізації виник складний апарат державної влади, тісно зрощений із сакральним апаратом жерців. Носіями знань були </w:t>
      </w:r>
      <w:proofErr w:type="spellStart"/>
      <w:r>
        <w:t>жерці</w:t>
      </w:r>
      <w:proofErr w:type="spellEnd"/>
      <w:r>
        <w:t>, залежно від рівня посвячення, які мали ту чи іншу суму знань. Знання існували у релігійно-містичній ф</w:t>
      </w:r>
      <w:r>
        <w:t xml:space="preserve">ормі, і лише </w:t>
      </w:r>
      <w:proofErr w:type="spellStart"/>
      <w:r>
        <w:t>жерці</w:t>
      </w:r>
      <w:proofErr w:type="spellEnd"/>
      <w:r>
        <w:t xml:space="preserve"> могли читати священні книги і як носії практичних знань мали владу над людьми. Вони накопичували знання з математики, хімії, медицини, фармакології, психології, майстерно володіли </w:t>
      </w:r>
      <w:r>
        <w:lastRenderedPageBreak/>
        <w:t>гіпнозом. Майстерне муміфікування свідчить про те, що ста</w:t>
      </w:r>
      <w:r>
        <w:t>родавні єгиптяни мали певні досягнення у галузі медицини, хімії, хірургії, фізики; ними було розроблено іридодіагностику.</w:t>
      </w:r>
    </w:p>
    <w:p w14:paraId="6F850FCB" w14:textId="77777777" w:rsidR="00104E4E" w:rsidRDefault="007637B4" w:rsidP="002139DB">
      <w:pPr>
        <w:ind w:firstLine="709"/>
        <w:jc w:val="both"/>
      </w:pPr>
      <w:r>
        <w:t>Оскільки будь-яка господарська діяльність була пов’язана з обчисленнями, було накопичено великий масив знань у сфері математики: обчис</w:t>
      </w:r>
      <w:r>
        <w:t xml:space="preserve">лення площ, підрахунок виробленого товару, розрахунок виплат, податків; використовувалися пропорції, оскільки розподіл благ велося </w:t>
      </w:r>
      <w:proofErr w:type="spellStart"/>
      <w:r>
        <w:t>пропорційно</w:t>
      </w:r>
      <w:proofErr w:type="spellEnd"/>
      <w:r>
        <w:t xml:space="preserve"> соціальним і професійним рангам. Для практичного вживання створювалося безліч таблиць із готовими рішеннями. Стар</w:t>
      </w:r>
      <w:r>
        <w:t>одавні єгиптяни займалися лише математичними операціями, які були необхідні їх безпосередніх господарських потреб, але вони не створювали теорій — що є однією з найважливіших ознак наукового знання.</w:t>
      </w:r>
    </w:p>
    <w:p w14:paraId="4CF53724" w14:textId="77777777" w:rsidR="00104E4E" w:rsidRDefault="007637B4" w:rsidP="002139DB">
      <w:pPr>
        <w:ind w:firstLine="709"/>
        <w:jc w:val="both"/>
      </w:pPr>
      <w:r>
        <w:t>Про рівень давньоєгипетської математики свідчить папірус Райнда (близько 1650 р. до н.е.), який містить понад вісімдесят задач із розв’язками. Серед них — обчислення площ полів, об’ємів зерносховищ, розподіл хліба між працівниками, дії з дробами. Показово, що задачі подано як зразки для наслідування: у тексті немає загальних формул чи доведень, а лише послідовність дій для конкретного випадку. Єгиптяни, наприклад, обчислювали площу кола з достатньо високою точністю, проте не ставили питання про те, чому цей спосіб правильний. Такий характер знання цілком відповідає поняттю переднауки, коли знання ще не відокремилося від практичної потреби.</w:t>
      </w:r>
      <w:proofErr w:type="spellStart"/>
      <w:proofErr w:type="spellEnd"/>
      <w:proofErr w:type="spellStart"/>
      <w:proofErr w:type="spellEnd"/>
    </w:p>
    <w:p w14:paraId="5EBBD236" w14:textId="77777777" w:rsidR="00104E4E" w:rsidRDefault="007637B4" w:rsidP="002139DB">
      <w:pPr>
        <w:ind w:firstLine="709"/>
        <w:jc w:val="both"/>
      </w:pPr>
      <w:r>
        <w:t xml:space="preserve">Шумери винайшли гончарне коло, колесо, бронзу, кольорове </w:t>
      </w:r>
      <w:r>
        <w:t>скло, встановили, що тривалість року дорівнює 365 дням, 6 годинам, 15 хвилинам 41 секунді (для довідки: сучасне значення — 365 днів, 5 годин, 48 хвилин 46 секунд).</w:t>
      </w:r>
    </w:p>
    <w:p w14:paraId="4CF53724" w14:textId="77777777" w:rsidR="00104E4E" w:rsidRDefault="007637B4" w:rsidP="002139DB">
      <w:pPr>
        <w:ind w:firstLine="709"/>
        <w:jc w:val="both"/>
      </w:pPr>
      <w:r>
        <w:t>Вагомих успіхів досягла й вавилонська математика, яка користувалася шістдесятковою позиційною системою числення. Відлуння цієї системи збереглося до наших днів у поділі години на 60 хвилин, а кола — на 360 градусів. На глиняних табличках вавилонських писарів збереглися таблиці множення, обернених величин, квадратів і кубів, а також розв’язки задач, які сьогодні ми записали б у вигляді квадратних рівнянь. Відома табличка Плімптон 322 (близько XVIII ст. до н.е.) містить перелік числових трійок, пов’язаних співвідношенням, яке згодом отримало назву теореми Піфагора. Вавилонські жерці-астрономи впродовж століть систематично фіксували положення небесних тіл, що дало змогу передбачати місячні затемнення. Проте й ці знання мали рецептурний, обчислювальний характер і не були впорядковані в дедуктивну теорію.</w:t>
      </w:r>
      <w:proofErr w:type="spellStart"/>
      <w:proofErr w:type="spellEnd"/>
      <w:proofErr w:type="spellStart"/>
      <w:proofErr w:type="spellEnd"/>
    </w:p>
    <w:p w14:paraId="47F72810" w14:textId="77777777" w:rsidR="00104E4E" w:rsidRDefault="007637B4" w:rsidP="002139DB">
      <w:pPr>
        <w:pStyle w:val="2"/>
        <w:spacing w:before="0" w:after="0"/>
        <w:ind w:firstLine="709"/>
        <w:jc w:val="both"/>
      </w:pPr>
      <w:r>
        <w:t>Знання Стародавньої Індії та Китаю</w:t>
      </w:r>
    </w:p>
    <w:p w14:paraId="4CF53724" w14:textId="77777777" w:rsidR="00104E4E" w:rsidRDefault="007637B4" w:rsidP="002139DB">
      <w:pPr>
        <w:ind w:firstLine="709"/>
        <w:jc w:val="both"/>
      </w:pPr>
      <w:r>
        <w:t>Стародавня Індія зробила неоціненний внесок у світову математику, створивши десяткову позиційну систему числення з використанням нуля. Саме ця система через посередництво арабських учених потрапила до Європи й дістала там назву «арабських цифр». Індійський математик і астроном Аріабхата (V ст.) обчислював значення числа π з високою точністю та припускав обертання Землі навколо своєї осі. Брахмагупта (VII ст.) сформулював правила дій з нулем і від’ємними числами, які європейська математика засвоїла значно пізніше. Разом з тим індійське знання було тісно вплетене в релігійно-філософські системи, а його розвиток значною мірою підпорядковувався ритуальним потребам, зокрема спорудженню жертовників точної форми.</w:t>
      </w:r>
      <w:proofErr w:type="spellStart"/>
      <w:proofErr w:type="spellEnd"/>
      <w:proofErr w:type="spellStart"/>
      <w:proofErr w:type="spellEnd"/>
    </w:p>
    <w:p w14:paraId="4CF53724" w14:textId="77777777" w:rsidR="00104E4E" w:rsidRDefault="007637B4" w:rsidP="002139DB">
      <w:pPr>
        <w:ind w:firstLine="709"/>
        <w:jc w:val="both"/>
      </w:pPr>
      <w:r>
        <w:t>Давній Китай подарував людству чимало винаходів, які згодом докорінно змінили європейську цивілізацію: папір, компас, порох і книгодрукування. Китайські астрономи вели одні з найдовших у світі безперервних записів небесних явищ, зокрема спостережень комет і появ «нових зірок». Високого рівня досягли китайська медицина, агрономія, гідротехніка й металургія. Проте китайське знання мало переважно прикладний і адміністративний характер: воно слугувало державному управлінню, календарю, сільському господарству. Британський історик науки Джозеф Нідем поставив відоме питання, чому за таких значних досягнень сучасна наука виникла не в Китаї, а в Європі. Відповідь на нього дослідники шукають у соціальній структурі, світоглядних засадах і відсутності культури публічного доведення, яка склалася в античній Греції.</w:t>
      </w:r>
      <w:proofErr w:type="spellStart"/>
      <w:proofErr w:type="spellEnd"/>
      <w:proofErr w:type="spellStart"/>
      <w:proofErr w:type="spellEnd"/>
    </w:p>
    <w:p w14:paraId="667C3802" w14:textId="77777777" w:rsidR="00104E4E" w:rsidRDefault="007637B4" w:rsidP="002139DB">
      <w:pPr>
        <w:pStyle w:val="2"/>
        <w:spacing w:before="0" w:after="0"/>
        <w:ind w:firstLine="709"/>
        <w:jc w:val="both"/>
      </w:pPr>
      <w:r>
        <w:t>Культурний переворот у Стародавній Греції</w:t>
      </w:r>
    </w:p>
    <w:p w14:paraId="467D8F20" w14:textId="77777777" w:rsidR="00104E4E" w:rsidRDefault="007637B4" w:rsidP="002139DB">
      <w:pPr>
        <w:ind w:firstLine="709"/>
        <w:jc w:val="both"/>
      </w:pPr>
      <w:r>
        <w:t>Формування зародків наукових знань і методів пов’я</w:t>
      </w:r>
      <w:r>
        <w:t>зують із тим культурним переворотом, який стався у Стародавній Греції. «Велика колонізація», що охопила VIII–VI ст. до н.е. і полягала в основі грецьких поселень на чужій території, дала можливість грекам вийти з ізоляції, сприяла розвитку підприємливості,</w:t>
      </w:r>
      <w:r>
        <w:t xml:space="preserve"> винахідливості, виховувала терпимість до інших поглядів, звичаїв, культур. Саме тоді ремесло починає відокремлюватися від сільського господарства, виникає товарне виробництво, розвиваються товарно-грошові відносини, розквітає культура, філософія, зароджує</w:t>
      </w:r>
      <w:r>
        <w:t>ться натурфілософія.</w:t>
      </w:r>
    </w:p>
    <w:p w14:paraId="59E895C4" w14:textId="77777777" w:rsidR="00104E4E" w:rsidRDefault="007637B4" w:rsidP="002139DB">
      <w:pPr>
        <w:ind w:firstLine="709"/>
        <w:jc w:val="both"/>
      </w:pPr>
      <w:r>
        <w:t>Перші відносно розвинені зразки знань з математики виникли в контексті культури античного полісу, з присутніми їй цінностями публічної дискусії, демонстраціями доведення і обґрунтування як умовами отримання істини.</w:t>
      </w:r>
    </w:p>
    <w:p w14:paraId="4CF53724" w14:textId="77777777" w:rsidR="00104E4E" w:rsidRDefault="007637B4" w:rsidP="002139DB">
      <w:pPr>
        <w:ind w:firstLine="709"/>
        <w:jc w:val="both"/>
      </w:pPr>
      <w:r>
        <w:t>У полісі громадянин мав переконувати інших не посиланням на авторитет правителя чи жерця, а за допомогою аргументів, доступних кожному учасникові народних зборів. Така практика публічної суперечки поступово перенеслася й у сферу пізнання: істинним почали вважати те, що можна довести. Традиція пов’язує з Фалесом Мілетським (VI ст. до н.е.) перші спроби не просто сформулювати геометричне положення, а й обґрунтувати його. Піфагорійці проголосили число першоосновою світу, заклавши ідею про математичну впорядкованість космосу. Відкриття ними несумірних відрізків стало першою кризою основ математики й засвідчило, що теоретичне мислення здатне виходити за межі наочного досвіду.</w:t>
      </w:r>
      <w:proofErr w:type="spellStart"/>
      <w:proofErr w:type="spellEnd"/>
      <w:proofErr w:type="spellStart"/>
      <w:proofErr w:type="spellEnd"/>
    </w:p>
    <w:p w14:paraId="4AC6638F" w14:textId="77777777" w:rsidR="00104E4E" w:rsidRDefault="007637B4" w:rsidP="002139DB">
      <w:pPr>
        <w:pStyle w:val="2"/>
        <w:spacing w:before="0" w:after="0"/>
        <w:ind w:firstLine="709"/>
        <w:jc w:val="both"/>
      </w:pPr>
      <w:r>
        <w:t>Антична наука</w:t>
      </w:r>
    </w:p>
    <w:p w14:paraId="37E6393F" w14:textId="77777777" w:rsidR="00104E4E" w:rsidRDefault="007637B4" w:rsidP="002139DB">
      <w:pPr>
        <w:ind w:firstLine="709"/>
        <w:jc w:val="both"/>
      </w:pPr>
      <w:r>
        <w:t>Античн</w:t>
      </w:r>
      <w:r>
        <w:t xml:space="preserve">і філософи, розробивши необхідні засоби для переходу до теоретичного етапу розвитку математики, започаткували численні спроби систематизувати математичні знання, здобуті у давніх цивілізаціях, шляхом залучення процедури доведення. Це мало успіх. Найкращих </w:t>
      </w:r>
      <w:r>
        <w:t xml:space="preserve">результатів у цій справі досягли Фалес, піфагорійці, Платон. Зазначений процес завершився в епоху еллінізму створенням першого зразка розвиненої наукової теорії — </w:t>
      </w:r>
      <w:r>
        <w:rPr>
          <w:b/>
          <w:bCs/>
        </w:rPr>
        <w:t>Евклідової геометрії</w:t>
      </w:r>
      <w:r>
        <w:t xml:space="preserve"> (III ст. до н.е.).</w:t>
      </w:r>
    </w:p>
    <w:p w14:paraId="162EE6A1" w14:textId="77777777" w:rsidR="00104E4E" w:rsidRDefault="007637B4" w:rsidP="002139DB">
      <w:pPr>
        <w:ind w:firstLine="709"/>
        <w:jc w:val="both"/>
      </w:pPr>
      <w:r>
        <w:t>В античній культурі знання про штучне («</w:t>
      </w:r>
      <w:proofErr w:type="spellStart"/>
      <w:r>
        <w:t>техне</w:t>
      </w:r>
      <w:proofErr w:type="spellEnd"/>
      <w:r>
        <w:t>») протиставлялося знанню про природне («</w:t>
      </w:r>
      <w:proofErr w:type="spellStart"/>
      <w:r>
        <w:t>фюсіс</w:t>
      </w:r>
      <w:proofErr w:type="spellEnd"/>
      <w:r>
        <w:t xml:space="preserve">»). Антична наука в епоху еллінізму підійшла впритул до поєднання математичного опису природи з експериментом (Архімед, </w:t>
      </w:r>
      <w:proofErr w:type="spellStart"/>
      <w:r>
        <w:t>Герон</w:t>
      </w:r>
      <w:proofErr w:type="spellEnd"/>
      <w:r>
        <w:t xml:space="preserve">, </w:t>
      </w:r>
      <w:proofErr w:type="spellStart"/>
      <w:r>
        <w:t>Папп</w:t>
      </w:r>
      <w:proofErr w:type="spellEnd"/>
      <w:r>
        <w:t>), але вона не зробила вирішальног</w:t>
      </w:r>
      <w:r>
        <w:t>о кроку до конституювання експерименту як способу пізнання природи.</w:t>
      </w:r>
    </w:p>
    <w:p w14:paraId="4CF53724" w14:textId="77777777" w:rsidR="00104E4E" w:rsidRDefault="007637B4" w:rsidP="002139DB">
      <w:pPr>
        <w:ind w:firstLine="709"/>
        <w:jc w:val="both"/>
      </w:pPr>
      <w:r>
        <w:t>Центром науки елліністичного світу стала Александрія, де за правління династії Птолемеїв було засновано Мусейон з величезною бібліотекою. Тут працювали вчені різних спеціальностей, які отримували державне утримання й могли повністю присвятити себе дослідженням, що було прообразом пізніших академій. Ератосфен Кіренський на основі спостережень тіні Сонця в різних містах обчислив довжину кола Землі з дивовижною для свого часу точністю. Аристарх Самоський висунув припущення про рух Землі навколо Сонця, яке, втім, не знайшло підтримки сучасників. Гіппарх склав каталог зірок і відкрив явище передування рівнодень. Підсумком античної астрономії став «Альмагест» Клавдія Птолемея (II ст. н.е.), геоцентрична система якого панувала в Європі майже півтора тисячоліття.</w:t>
      </w:r>
      <w:proofErr w:type="spellStart"/>
      <w:proofErr w:type="spellEnd"/>
      <w:proofErr w:type="spellStart"/>
      <w:proofErr w:type="spellEnd"/>
    </w:p>
    <w:p w14:paraId="4CF53724" w14:textId="77777777" w:rsidR="00104E4E" w:rsidRDefault="007637B4" w:rsidP="002139DB">
      <w:pPr>
        <w:ind w:firstLine="709"/>
        <w:jc w:val="both"/>
      </w:pPr>
      <w:r>
        <w:t>Дослідники називають кілька причин, через які антична наука так і не перетворила експеримент на основний метод пізнання. Насамперед, у рабовласницькому суспільстві фізична праця вважалася негідною вільної людини, а отже, маніпуляції з речами не сприймалися як шлях до істини. Крім того, в античному світогляді панувало уявлення про принципову відмінність природного руху від штучного, тож результат, отриманий за допомогою пристрою, не міг, на думку греків, розкрити справжню природу речей. Ідеалом знання вважалося споглядання вічного й незмінного, а не практичне перетворення світу. Навіть винаходи Архімеда і Герона розглядалися здебільшого як дотепні забавки або військові хитрощі, а не як засоби пізнання.</w:t>
      </w:r>
      <w:proofErr w:type="spellStart"/>
      <w:proofErr w:type="spellEnd"/>
      <w:proofErr w:type="spellStart"/>
      <w:proofErr w:type="spellEnd"/>
    </w:p>
    <w:p w14:paraId="20525F92" w14:textId="77777777" w:rsidR="00104E4E" w:rsidRDefault="007637B4" w:rsidP="002139DB">
      <w:pPr>
        <w:pStyle w:val="2"/>
        <w:spacing w:before="0" w:after="0"/>
        <w:ind w:firstLine="709"/>
        <w:jc w:val="both"/>
      </w:pPr>
      <w:r>
        <w:t>«Триєдине ціле»: філософія, знання, наука</w:t>
      </w:r>
    </w:p>
    <w:p w14:paraId="1329168B" w14:textId="77777777" w:rsidR="00104E4E" w:rsidRDefault="007637B4" w:rsidP="002139DB">
      <w:pPr>
        <w:ind w:firstLine="709"/>
        <w:jc w:val="both"/>
      </w:pPr>
      <w:r>
        <w:lastRenderedPageBreak/>
        <w:t xml:space="preserve">В античності та середні віки в основному мало місце філософське пізнання світу. Тут поняття «філософія», «знання», «наука» фактично збігалися: це </w:t>
      </w:r>
      <w:r>
        <w:t>було по суті «триєдине ціле», не розділене ще на свої частини.</w:t>
      </w:r>
    </w:p>
    <w:p w14:paraId="2A52964F" w14:textId="77777777" w:rsidR="00104E4E" w:rsidRDefault="007637B4" w:rsidP="002139DB">
      <w:pPr>
        <w:ind w:firstLine="709"/>
        <w:jc w:val="both"/>
      </w:pPr>
      <w:r>
        <w:t xml:space="preserve">В рамках філософії поєднувалися відомості та знання і про «перші причини та загальні засади», про окремі природні явища, про життя людей та історію людства, про сам процес пізнання; </w:t>
      </w:r>
      <w:proofErr w:type="spellStart"/>
      <w:r>
        <w:t>формулювала</w:t>
      </w:r>
      <w:r>
        <w:t>ся</w:t>
      </w:r>
      <w:proofErr w:type="spellEnd"/>
      <w:r>
        <w:t xml:space="preserve"> певна сукупність логічних (</w:t>
      </w:r>
      <w:proofErr w:type="spellStart"/>
      <w:r>
        <w:t>Арістотель</w:t>
      </w:r>
      <w:proofErr w:type="spellEnd"/>
      <w:r>
        <w:t>) та математичних (Евклід) знань тощо. Всі ці знання існували в межах єдиного цілого (традиційно званого філософією) у вигляді її окремих аспектів, сторін. Інакше кажучи, елементи, передумови, «ростки» майбутньої нау</w:t>
      </w:r>
      <w:r>
        <w:t>ки формувалися у надрах іншої духовної системи, але вони ще не виділялися як автономне, самостійне ціле.</w:t>
      </w:r>
    </w:p>
    <w:p w14:paraId="3D5D16F0" w14:textId="77777777" w:rsidR="00104E4E" w:rsidRDefault="007637B4" w:rsidP="002139DB">
      <w:pPr>
        <w:ind w:firstLine="709"/>
        <w:jc w:val="both"/>
      </w:pPr>
      <w:proofErr w:type="spellStart"/>
      <w:r>
        <w:t>Арістотель</w:t>
      </w:r>
      <w:proofErr w:type="spellEnd"/>
      <w:r>
        <w:t xml:space="preserve"> створив цілісну систему формальної логіки, «першу філософію» та діалектичний метод. Грецький філософ широко використовує у своїх роботах заг</w:t>
      </w:r>
      <w:r>
        <w:t xml:space="preserve">альне поняття класифікації (особливо важливе для пізнання природи) і дає майстерний аналіз тих складнощів, із якими пов’язані взаємини різних класів об’єктів. Своє теоретичне вчення </w:t>
      </w:r>
      <w:proofErr w:type="spellStart"/>
      <w:r>
        <w:t>Арістотель</w:t>
      </w:r>
      <w:proofErr w:type="spellEnd"/>
      <w:r>
        <w:t xml:space="preserve"> застосував також до величезного матеріалу, зібраного безпосеред</w:t>
      </w:r>
      <w:r>
        <w:t xml:space="preserve">нім спостереженням у зоології, фізиці, соціології. Ми можемо виявити у нього початки майже всіх наших конкретних наук — як природничих, так і тих, що пов’язані з активністю людського духу. Він заклав основи того прагнення точного аналізу кожної конкретної </w:t>
      </w:r>
      <w:r>
        <w:t>ситуації, що зрештою призвело до формування сучасної європейської науки.</w:t>
      </w:r>
    </w:p>
    <w:p w14:paraId="4CF53724" w14:textId="77777777" w:rsidR="00104E4E" w:rsidRDefault="007637B4" w:rsidP="002139DB">
      <w:pPr>
        <w:ind w:firstLine="709"/>
        <w:jc w:val="both"/>
      </w:pPr>
      <w:r>
        <w:t>Водночас саме авторитет арістотелівської фізики надовго загальмував розвиток природознавства. Арістотель розрізняв природний рух, властивий тілу від природи (наприклад, падіння важкого тіла до центру світу), і насильницький рух, спричинений зовнішньою силою. На його думку, важчі тіла падають швидше за легші, а для підтримання руху потрібна постійна дія рушія. Ці положення, що здавалися очевидними з погляду повсякденного досвіду, були спростовані лише в XVII ст. працями Галілея та Ньютона. Не менш впливовим було вчення Арістотеля про чотири причини — матеріальну, формальну, рушійну й цільову, — яке визначало тип пояснення в науці аж до Нового часу.</w:t>
      </w:r>
      <w:proofErr w:type="spellStart"/>
      <w:proofErr w:type="spellEnd"/>
      <w:proofErr w:type="spellStart"/>
      <w:proofErr w:type="spellEnd"/>
    </w:p>
    <w:p w14:paraId="3745BE8B" w14:textId="77777777" w:rsidR="00104E4E" w:rsidRDefault="007637B4" w:rsidP="002139DB">
      <w:pPr>
        <w:pStyle w:val="1"/>
        <w:spacing w:before="0" w:after="0"/>
        <w:ind w:firstLine="709"/>
        <w:jc w:val="both"/>
      </w:pPr>
      <w:r>
        <w:t>3. Становлення природознавства та експерименту</w:t>
      </w:r>
    </w:p>
    <w:p w14:paraId="09ABADAC" w14:textId="77777777" w:rsidR="00104E4E" w:rsidRDefault="007637B4" w:rsidP="002139DB">
      <w:pPr>
        <w:ind w:firstLine="709"/>
        <w:jc w:val="both"/>
      </w:pPr>
      <w:r>
        <w:t>Природознавство, засноване на поєднанні математичного опису природи з її експериментальним дослідженням, теж формувалося в результаті ку</w:t>
      </w:r>
      <w:r>
        <w:t>льтурних змін, але в основному тих, що відбувалися в епоху Ренесансу і переходу до епохи Нового часу. Йдеться насамперед про утвердження в науці експерименту.</w:t>
      </w:r>
    </w:p>
    <w:p w14:paraId="47F72810" w14:textId="77777777" w:rsidR="00104E4E" w:rsidRDefault="007637B4" w:rsidP="002139DB">
      <w:pPr>
        <w:pStyle w:val="2"/>
        <w:spacing w:before="0" w:after="0"/>
        <w:ind w:firstLine="709"/>
        <w:jc w:val="both"/>
      </w:pPr>
      <w:r>
        <w:t>Середньовічна наука як передумова природознавства</w:t>
      </w:r>
    </w:p>
    <w:p w14:paraId="4CF53724" w14:textId="77777777" w:rsidR="00104E4E" w:rsidRDefault="007637B4" w:rsidP="002139DB">
      <w:pPr>
        <w:ind w:firstLine="709"/>
        <w:jc w:val="both"/>
      </w:pPr>
      <w:r>
        <w:t>Поширене уявлення про середньовіччя як «темні віки» науки є значним спрощенням. У той час як Західна Європа переживала занепад античної освіченості, наукова традиція активно розвивалася в ісламському світі. У Багдаді в IX ст. діяв «Дім мудрості», де перекладали арабською мовою твори Арістотеля, Евкліда, Птолемея, Галена та індійських математиків. Аль-Хорезмі створив трактат, назва якого дала науці термін «алгебра», а від його імені походить слово «алгоритм». Ібн аль-Хайсам (Альгазен) у «Книзі оптики» широко застосовував експериментальну перевірку тверджень про поширення світла та будову зору. «Канон лікарської науки» Ібн Сіни (Авіценни) впродовж століть був основним підручником медицини в європейських університетах.</w:t>
      </w:r>
      <w:proofErr w:type="spellStart"/>
      <w:proofErr w:type="spellEnd"/>
      <w:proofErr w:type="spellStart"/>
      <w:proofErr w:type="spellEnd"/>
    </w:p>
    <w:p w14:paraId="4CF53724" w14:textId="77777777" w:rsidR="00104E4E" w:rsidRDefault="007637B4" w:rsidP="002139DB">
      <w:pPr>
        <w:ind w:firstLine="709"/>
        <w:jc w:val="both"/>
      </w:pPr>
      <w:r>
        <w:t>У Західній Європі з XII ст. розпочинається активний переклад арабських і грецьких текстів латиною, що повернуло європейцям значну частину античної спадщини. Тоді ж виникають перші університети: Болонський (кінець XI ст.), Паризький (близько 1200 р.), Оксфордський і Кембриджський. Панівною формою інтелектуальної діяльності стає схоластика — прагнення раціонально обґрунтувати й систематизувати догмати віри за допомогою арістотелівської логіки. Попри залежність від теології, схоластика виховала культуру точних визначень, суворої аргументації та розрізнення понять, яку згодом успадкувала наука.</w:t>
      </w:r>
      <w:proofErr w:type="spellStart"/>
      <w:proofErr w:type="spellEnd"/>
      <w:proofErr w:type="spellStart"/>
      <w:proofErr w:type="spellEnd"/>
    </w:p>
    <w:p w14:paraId="4CF53724" w14:textId="77777777" w:rsidR="00104E4E" w:rsidRDefault="007637B4" w:rsidP="002139DB">
      <w:pPr>
        <w:ind w:firstLine="709"/>
        <w:jc w:val="both"/>
      </w:pPr>
      <w:r>
        <w:t>Уже в межах середньовічної думки з’являються ідеї, що передують науці Нового часу. Оксфордські мислителі Роберт Гросетест і Роджер Бекон (XIII ст.) наголошували на значенні математики та досвіду для пізнання природи; саме Роджеру Бекону належить вислів про «досвідну науку». Вільям Оккам сформулював принцип економії мислення, відомий як «лезо Оккама»: не слід збільшувати кількість сутностей без потреби. Паризькі вчені XIV ст. Жан Бурідан і Ніколь Орем розробили теорію імпетусу, яка критикувала арістотелівське вчення про рух, а Орем запропонував графічне зображення зміни величин. Ці ідеї ще не утворили нової науки, але підготували ґрунт для радикального перевороту XVI–XVII ст.</w:t>
      </w:r>
      <w:proofErr w:type="spellStart"/>
      <w:proofErr w:type="spellEnd"/>
      <w:proofErr w:type="spellStart"/>
      <w:proofErr w:type="spellEnd"/>
    </w:p>
    <w:p w14:paraId="47F72810" w14:textId="77777777" w:rsidR="00104E4E" w:rsidRDefault="007637B4" w:rsidP="002139DB">
      <w:pPr>
        <w:pStyle w:val="2"/>
        <w:spacing w:before="0" w:after="0"/>
        <w:ind w:firstLine="709"/>
        <w:jc w:val="both"/>
      </w:pPr>
      <w:r>
        <w:t>Наукова революція XVI–XVII ст.</w:t>
      </w:r>
    </w:p>
    <w:p w14:paraId="4CF53724" w14:textId="77777777" w:rsidR="00104E4E" w:rsidRDefault="007637B4" w:rsidP="002139DB">
      <w:pPr>
        <w:ind w:firstLine="709"/>
        <w:jc w:val="both"/>
      </w:pPr>
      <w:r>
        <w:t>Терміном «наукова революція» історики позначають сукупність змін у природознавстві, що розпочалися виходом книги Миколая Коперника «Про обертання небесних сфер» (1543) і завершилися появою «Математичних начал натуральної філософії» Ісаака Ньютона (1687). Геліоцентрична система Коперника не лише змінила астрономічну картину світу, а й позбавила Землю, а разом із нею й людину, центрального місця у Всесвіті. Йоганн Кеплер, спираючись на точні спостереження Тихо Браге, встановив закони руху планет і довів, що їхні орбіти є еліпсами, а не колами. Тим самим було зруйновано давню віру в досконалість кругового руху небесних тіл.</w:t>
      </w:r>
      <w:proofErr w:type="spellStart"/>
      <w:proofErr w:type="spellEnd"/>
      <w:proofErr w:type="spellStart"/>
      <w:proofErr w:type="spellEnd"/>
    </w:p>
    <w:p w14:paraId="4CF53724" w14:textId="77777777" w:rsidR="00104E4E" w:rsidRDefault="007637B4" w:rsidP="002139DB">
      <w:pPr>
        <w:ind w:firstLine="709"/>
        <w:jc w:val="both"/>
      </w:pPr>
      <w:r>
        <w:t>Ключовою фігурою наукової революції став Галілео Галілей. Здійснивши з 1609 р. спостереження за допомогою телескопа, він відкрив супутники Юпітера, фази Венери, гори на Місяці та плями на Сонці, що суперечило уявленню про незмінність небес. Галілей досліджував рух тіл по похилій площині й дійшов висновку, що всі тіла за відсутності опору падають з однаковим прискоренням. Йому належить думка, що книга природи написана мовою математики, а її літерами є трикутники, кола та інші геометричні фігури. Засудження Галілея інквізицією 1633 р. стало символом конфлікту між новою наукою та церковним авторитетом.</w:t>
      </w:r>
      <w:proofErr w:type="spellStart"/>
      <w:proofErr w:type="spellEnd"/>
      <w:proofErr w:type="spellStart"/>
      <w:proofErr w:type="spellEnd"/>
    </w:p>
    <w:p w14:paraId="4CF53724" w14:textId="77777777" w:rsidR="00104E4E" w:rsidRDefault="007637B4" w:rsidP="002139DB">
      <w:pPr>
        <w:ind w:firstLine="709"/>
        <w:jc w:val="both"/>
      </w:pPr>
      <w:r>
        <w:t>Паралельно формувалася методологія нової науки. Френсіс Бекон у «Новому Органоні» (1620) обґрунтував індуктивний метод і закликав очистити розум від «ідолів» — упереджень роду, печери, ринку й театру. Його гасло «Знання — сила» виражало нове розуміння мети пізнання як панування людини над природою. Рене Декарт у «Міркуванні про метод» (1637) запропонував раціоналістичну програму, засновану на методичному сумніві, аналізі та дедукції. Синтез емпіричного та раціонального підходів здійснив Ньютон, чиї закони механіки й закон всесвітнього тяжіння об’єднали земну і небесну фізику в єдину теорію. Не можна недооцінювати і роль книгодрукування: винахід Гутенберга забезпечив швидке й точне поширення наукових текстів, таблиць та ілюстрацій серед учених різних країн.</w:t>
      </w:r>
      <w:proofErr w:type="spellStart"/>
      <w:proofErr w:type="spellEnd"/>
      <w:proofErr w:type="spellStart"/>
      <w:proofErr w:type="spellEnd"/>
    </w:p>
    <w:p w14:paraId="1A32446D" w14:textId="77777777" w:rsidR="00104E4E" w:rsidRDefault="007637B4" w:rsidP="002139DB">
      <w:pPr>
        <w:ind w:firstLine="709"/>
        <w:jc w:val="both"/>
      </w:pPr>
      <w:r>
        <w:t xml:space="preserve">Ідея експерименту як методу пізнання і перевірки істинності наукових суджень могла укорінитися в </w:t>
      </w:r>
      <w:r>
        <w:t>науці лише за умови наявності наступних світоглядних настанов:</w:t>
      </w:r>
    </w:p>
    <w:p w14:paraId="1577D222" w14:textId="77777777" w:rsidR="00104E4E" w:rsidRDefault="007637B4" w:rsidP="002139DB">
      <w:pPr>
        <w:pStyle w:val="a4"/>
        <w:numPr>
          <w:ilvl w:val="0"/>
          <w:numId w:val="4"/>
        </w:numPr>
        <w:ind w:left="0" w:firstLine="709"/>
        <w:jc w:val="both"/>
      </w:pPr>
      <w:r>
        <w:t>розуміння суб’єкта пізнання як такого, що протистоїть природі і активно впливає на її об’єкти;</w:t>
      </w:r>
    </w:p>
    <w:p w14:paraId="30C50F3C" w14:textId="77777777" w:rsidR="00104E4E" w:rsidRDefault="007637B4" w:rsidP="002139DB">
      <w:pPr>
        <w:pStyle w:val="a4"/>
        <w:numPr>
          <w:ilvl w:val="0"/>
          <w:numId w:val="4"/>
        </w:numPr>
        <w:ind w:left="0" w:firstLine="709"/>
        <w:jc w:val="both"/>
      </w:pPr>
      <w:r>
        <w:t>розгляд результатів експерименту, які є продуктом штучного, створеного людиною, як такого, що прин</w:t>
      </w:r>
      <w:r>
        <w:t>ципово не відрізняється від природних станів і підпорядковується законам природи та виявляє їхню дію;</w:t>
      </w:r>
    </w:p>
    <w:p w14:paraId="12E64312" w14:textId="77777777" w:rsidR="00104E4E" w:rsidRDefault="007637B4" w:rsidP="002139DB">
      <w:pPr>
        <w:pStyle w:val="a4"/>
        <w:numPr>
          <w:ilvl w:val="0"/>
          <w:numId w:val="4"/>
        </w:numPr>
        <w:ind w:left="0" w:firstLine="709"/>
        <w:jc w:val="both"/>
      </w:pPr>
      <w:r>
        <w:t>розгляд природи як закономірно упорядкованого поля об’єктів, де індивідуальна неповторність кожної речі нібито розчиняється у дії законів, які керують рух</w:t>
      </w:r>
      <w:r>
        <w:t>ом і змінами якісного розмаїття речей і однаково діють у всіх точках простору і впродовж усіх моментів часу.</w:t>
      </w:r>
    </w:p>
    <w:p w14:paraId="26A7CDF3" w14:textId="77777777" w:rsidR="00104E4E" w:rsidRDefault="007637B4" w:rsidP="002139DB">
      <w:pPr>
        <w:ind w:firstLine="709"/>
        <w:jc w:val="both"/>
      </w:pPr>
      <w:r>
        <w:t>В античний і середньовічний періоди існували лише елементи, передумови, «шматочки» науки, але не сама наука у власному значенні слова (як зазначена</w:t>
      </w:r>
      <w:r>
        <w:t xml:space="preserve"> «цілісна триєдність»), яка виникає лише в Новий час, у процесі </w:t>
      </w:r>
      <w:proofErr w:type="spellStart"/>
      <w:r>
        <w:t>відпочкування</w:t>
      </w:r>
      <w:proofErr w:type="spellEnd"/>
      <w:r>
        <w:t xml:space="preserve"> науки від традиційної філософії. Як писав у зв’язку з цим В. І. Вернадський, основа нової науки нашого часу — «це по суті створення XVII–XX </w:t>
      </w:r>
      <w:r>
        <w:lastRenderedPageBreak/>
        <w:t>ст., хоча окремі спроби та досить вдал</w:t>
      </w:r>
      <w:r>
        <w:t>і її побудови сягають глибини століть… Сучасний науковий апарат майже цілком створений у останні три сторіччя, але до нього потрапили уривки з наукових апаратів минулого».</w:t>
      </w:r>
    </w:p>
    <w:p w14:paraId="4CF53724" w14:textId="77777777" w:rsidR="00104E4E" w:rsidRDefault="007637B4" w:rsidP="002139DB">
      <w:pPr>
        <w:ind w:firstLine="709"/>
        <w:jc w:val="both"/>
      </w:pPr>
      <w:r>
        <w:t>Отже, наука в сучасному розумінні постає тоді, коли експеримент і математичний опис природи поєднуються в єдиний метод. Експеримент при цьому відрізняється від простого спостереження тим, що дослідник свідомо створює штучні умови, в яких досліджуване явище виявляється в «чистому» вигляді. Галілей, наприклад, досліджуючи падіння тіл, намагався мінімізувати вплив опору повітря й тертя, щоб виявити закон руху як такий. Такий підхід передбачає ідеалізацію, тобто уявне конструювання об’єкта, якого немає в досвіді, але який дає змогу зрозуміти реальні процеси.</w:t>
      </w:r>
      <w:proofErr w:type="spellStart"/>
      <w:proofErr w:type="spellEnd"/>
      <w:proofErr w:type="spellStart"/>
      <w:proofErr w:type="spellEnd"/>
    </w:p>
    <w:p w14:paraId="0E94B6E7" w14:textId="77777777" w:rsidR="00104E4E" w:rsidRDefault="007637B4" w:rsidP="002139DB">
      <w:pPr>
        <w:pStyle w:val="2"/>
        <w:spacing w:before="0" w:after="0"/>
        <w:ind w:firstLine="709"/>
        <w:jc w:val="both"/>
      </w:pPr>
      <w:r>
        <w:t>Диференціація знання в Новий час</w:t>
      </w:r>
    </w:p>
    <w:p w14:paraId="7A39644D" w14:textId="77777777" w:rsidR="00104E4E" w:rsidRDefault="007637B4" w:rsidP="002139DB">
      <w:pPr>
        <w:ind w:firstLine="709"/>
        <w:jc w:val="both"/>
      </w:pPr>
      <w:r>
        <w:t>У Новий час прискореними темпами розвивається процес розмежування між філософією та приватними науками. Процес диференціації нерозчленованого раніше знання йде за трьома основними напрямами:</w:t>
      </w:r>
    </w:p>
    <w:p w14:paraId="06C9DA82" w14:textId="77777777" w:rsidR="00104E4E" w:rsidRDefault="007637B4" w:rsidP="002139DB">
      <w:pPr>
        <w:pStyle w:val="a4"/>
        <w:numPr>
          <w:ilvl w:val="0"/>
          <w:numId w:val="5"/>
        </w:numPr>
        <w:ind w:left="0" w:firstLine="709"/>
        <w:jc w:val="both"/>
      </w:pPr>
      <w:r>
        <w:t>Відділення науки від філософії.</w:t>
      </w:r>
    </w:p>
    <w:p w14:paraId="08D05C83" w14:textId="77777777" w:rsidR="00104E4E" w:rsidRDefault="007637B4" w:rsidP="002139DB">
      <w:pPr>
        <w:pStyle w:val="a4"/>
        <w:numPr>
          <w:ilvl w:val="0"/>
          <w:numId w:val="5"/>
        </w:numPr>
        <w:ind w:left="0" w:firstLine="709"/>
        <w:jc w:val="both"/>
      </w:pPr>
      <w:r>
        <w:t>Виділення в рамках науки як цілог</w:t>
      </w:r>
      <w:r>
        <w:t>о окремих приватних наук — механіки, астрономії, фізики, хімії, біології та інших.</w:t>
      </w:r>
    </w:p>
    <w:p w14:paraId="3C79B24E" w14:textId="77777777" w:rsidR="00104E4E" w:rsidRDefault="007637B4" w:rsidP="002139DB">
      <w:pPr>
        <w:pStyle w:val="a4"/>
        <w:numPr>
          <w:ilvl w:val="0"/>
          <w:numId w:val="5"/>
        </w:numPr>
        <w:ind w:left="0" w:firstLine="709"/>
        <w:jc w:val="both"/>
      </w:pPr>
      <w:r>
        <w:t>Виокремлення у цілісному філософському знанні таких філософських дисциплін, як онтологія, філософія природи, філософія історії, гносеологія, логіка та ін.</w:t>
      </w:r>
    </w:p>
    <w:p w14:paraId="23BA3454" w14:textId="77777777" w:rsidR="00104E4E" w:rsidRDefault="007637B4" w:rsidP="002139DB">
      <w:pPr>
        <w:ind w:firstLine="709"/>
        <w:jc w:val="both"/>
      </w:pPr>
      <w:r>
        <w:t>Для виникнення нау</w:t>
      </w:r>
      <w:r>
        <w:t>ки в XVI–XVII ст. необхідний був певний рівень розвитку самого знання, «запас» необхідної та достатньої кількості фактів, які б підлягали опису, систематизації та теоретичному узагальненню. Тому першими виникають механіка, астрономія та математика, де таки</w:t>
      </w:r>
      <w:r>
        <w:t>х фактів було накопичено більше. Вони й утворюють «первинне ціле» єдиної науки як такої, «науки взагалі» на відміну від філософії. Відтепер основним завданням пізнання стало не «обплутування противника аргументацією» (як у схоластів), а вивчення — на основ</w:t>
      </w:r>
      <w:r>
        <w:t>і реальних фактів — самої природи, об’єктивної дійсності.</w:t>
      </w:r>
    </w:p>
    <w:p w14:paraId="397633C3" w14:textId="77777777" w:rsidR="00104E4E" w:rsidRDefault="007637B4" w:rsidP="002139DB">
      <w:pPr>
        <w:pStyle w:val="2"/>
        <w:spacing w:before="0" w:after="0"/>
        <w:ind w:firstLine="709"/>
        <w:jc w:val="both"/>
      </w:pPr>
      <w:r>
        <w:t>Новий стиль мислення (XVI–XVII ст.)</w:t>
      </w:r>
    </w:p>
    <w:p w14:paraId="06AC90FE" w14:textId="77777777" w:rsidR="00104E4E" w:rsidRDefault="007637B4" w:rsidP="002139DB">
      <w:pPr>
        <w:ind w:firstLine="709"/>
        <w:jc w:val="both"/>
      </w:pPr>
      <w:r>
        <w:t>У XVI–XVII ст. складається новий стиль мислення. Його характерні риси:</w:t>
      </w:r>
    </w:p>
    <w:p w14:paraId="254308E3" w14:textId="77777777" w:rsidR="00104E4E" w:rsidRDefault="007637B4" w:rsidP="002139DB">
      <w:pPr>
        <w:pStyle w:val="a4"/>
        <w:numPr>
          <w:ilvl w:val="0"/>
          <w:numId w:val="6"/>
        </w:numPr>
        <w:ind w:left="0" w:firstLine="709"/>
        <w:jc w:val="both"/>
      </w:pPr>
      <w:r>
        <w:t xml:space="preserve">ставлення до природи як самодостатнього природного, «автоматичного» об’єкта, позбавленого </w:t>
      </w:r>
      <w:proofErr w:type="spellStart"/>
      <w:r>
        <w:t>а</w:t>
      </w:r>
      <w:r>
        <w:t>нтропоморфно</w:t>
      </w:r>
      <w:proofErr w:type="spellEnd"/>
      <w:r>
        <w:t>-символічного елемента, даного в безпосередній діяльності і практичного освоєння;</w:t>
      </w:r>
    </w:p>
    <w:p w14:paraId="17B8B12D" w14:textId="77777777" w:rsidR="00104E4E" w:rsidRDefault="007637B4" w:rsidP="002139DB">
      <w:pPr>
        <w:pStyle w:val="a4"/>
        <w:numPr>
          <w:ilvl w:val="0"/>
          <w:numId w:val="6"/>
        </w:numPr>
        <w:ind w:left="0" w:firstLine="709"/>
        <w:jc w:val="both"/>
      </w:pPr>
      <w:r>
        <w:t xml:space="preserve">відмова від принципу конкретності (наївно </w:t>
      </w:r>
      <w:proofErr w:type="spellStart"/>
      <w:r>
        <w:t>квалітативістське</w:t>
      </w:r>
      <w:proofErr w:type="spellEnd"/>
      <w:r>
        <w:t xml:space="preserve"> тілесно-фізичне мислення античності та середньовіччя);</w:t>
      </w:r>
    </w:p>
    <w:p w14:paraId="2371D47B" w14:textId="77777777" w:rsidR="00104E4E" w:rsidRDefault="007637B4" w:rsidP="002139DB">
      <w:pPr>
        <w:pStyle w:val="a4"/>
        <w:numPr>
          <w:ilvl w:val="0"/>
          <w:numId w:val="6"/>
        </w:numPr>
        <w:ind w:left="0" w:firstLine="709"/>
        <w:jc w:val="both"/>
      </w:pPr>
      <w:r>
        <w:t xml:space="preserve">становлення принципу суворої кількісної оцінки </w:t>
      </w:r>
      <w:r>
        <w:t>(у галузі соціальної — процес становлення меркантилізму, лихварства, статистики тощо; у галузі наукової — з успіхами винахідництва, створенням вимірювальної апаратури); жорстко детерміністська причинно-наслідкова типологія явищ дійсності;</w:t>
      </w:r>
    </w:p>
    <w:p w14:paraId="60F130F3" w14:textId="77777777" w:rsidR="00104E4E" w:rsidRDefault="007637B4" w:rsidP="002139DB">
      <w:pPr>
        <w:pStyle w:val="a4"/>
        <w:numPr>
          <w:ilvl w:val="0"/>
          <w:numId w:val="6"/>
        </w:numPr>
        <w:ind w:left="0" w:firstLine="709"/>
        <w:jc w:val="both"/>
      </w:pPr>
      <w:r>
        <w:t xml:space="preserve">введення </w:t>
      </w:r>
      <w:proofErr w:type="spellStart"/>
      <w:r>
        <w:t>каузаліз</w:t>
      </w:r>
      <w:r>
        <w:t>му</w:t>
      </w:r>
      <w:proofErr w:type="spellEnd"/>
      <w:r>
        <w:t>;</w:t>
      </w:r>
    </w:p>
    <w:p w14:paraId="1FEFB1F2" w14:textId="77777777" w:rsidR="00104E4E" w:rsidRDefault="007637B4" w:rsidP="002139DB">
      <w:pPr>
        <w:pStyle w:val="a4"/>
        <w:numPr>
          <w:ilvl w:val="0"/>
          <w:numId w:val="6"/>
        </w:numPr>
        <w:ind w:left="0" w:firstLine="709"/>
        <w:jc w:val="both"/>
      </w:pPr>
      <w:proofErr w:type="spellStart"/>
      <w:r>
        <w:t>інструменталістське</w:t>
      </w:r>
      <w:proofErr w:type="spellEnd"/>
      <w:r>
        <w:t xml:space="preserve"> трактування природи та її атрибутів — простору, часу, руху, причинності тощо, які механічно комбінуються поряд із складовими будь-яку річ </w:t>
      </w:r>
      <w:proofErr w:type="spellStart"/>
      <w:r>
        <w:t>онтологічно</w:t>
      </w:r>
      <w:proofErr w:type="spellEnd"/>
      <w:r>
        <w:t xml:space="preserve"> фундаментальними формами;</w:t>
      </w:r>
    </w:p>
    <w:p w14:paraId="498A5852" w14:textId="77777777" w:rsidR="00104E4E" w:rsidRDefault="007637B4" w:rsidP="002139DB">
      <w:pPr>
        <w:pStyle w:val="a4"/>
        <w:numPr>
          <w:ilvl w:val="0"/>
          <w:numId w:val="6"/>
        </w:numPr>
        <w:ind w:left="0" w:firstLine="709"/>
        <w:jc w:val="both"/>
      </w:pPr>
      <w:r>
        <w:t xml:space="preserve">образ геометризованої </w:t>
      </w:r>
      <w:proofErr w:type="spellStart"/>
      <w:r>
        <w:t>гомогенно</w:t>
      </w:r>
      <w:proofErr w:type="spellEnd"/>
      <w:r>
        <w:t>-унітарної дійсності, кер</w:t>
      </w:r>
      <w:r>
        <w:t>ованої єдиними кількісними законами;</w:t>
      </w:r>
    </w:p>
    <w:p w14:paraId="5B6B1F99" w14:textId="77777777" w:rsidR="00104E4E" w:rsidRDefault="007637B4" w:rsidP="002139DB">
      <w:pPr>
        <w:pStyle w:val="a4"/>
        <w:numPr>
          <w:ilvl w:val="0"/>
          <w:numId w:val="6"/>
        </w:numPr>
        <w:ind w:left="0" w:firstLine="709"/>
        <w:jc w:val="both"/>
      </w:pPr>
      <w:r>
        <w:t>визнання в динаміці універсального методу опису поведінки навколишніх явищ (не речові моделі, а формальні геометричні схеми та рівняння).</w:t>
      </w:r>
    </w:p>
    <w:p w14:paraId="4CF53724" w14:textId="77777777" w:rsidR="00104E4E" w:rsidRDefault="007637B4" w:rsidP="002139DB">
      <w:pPr>
        <w:ind w:firstLine="709"/>
        <w:jc w:val="both"/>
      </w:pPr>
      <w:r>
        <w:t>Узагальненим вираженням нового стилю мислення стала механістична картина світу, згідно з якою Всесвіт уподібнювався величезному годиннику, що діє за незмінними законами механіки. Будь-яке явище — від руху планет до функціонування живого організму — розглядалося як переміщення матеріальних частинок під дією сил. Декарт, наприклад, трактував тварин як складні автомати, позбавлені душі. Крайнім виразом механістичного детермінізму стала ідея П’єра-Симона Лапласа (1814) про розум, який, знаючи положення і швидкості всіх частинок у певний момент, міг би точно обчислити як майбутнє, так і минуле Всесвіту. Ця картина світу впродовж двох століть слугувала світоглядною основою науки й була подолана лише в XX ст.</w:t>
      </w:r>
      <w:proofErr w:type="spellStart"/>
      <w:proofErr w:type="spellEnd"/>
      <w:proofErr w:type="spellStart"/>
      <w:proofErr w:type="spellEnd"/>
    </w:p>
    <w:p w14:paraId="37A81A4F" w14:textId="77777777" w:rsidR="00104E4E" w:rsidRDefault="007637B4" w:rsidP="002139DB">
      <w:pPr>
        <w:pStyle w:val="1"/>
        <w:spacing w:before="0" w:after="0"/>
        <w:ind w:firstLine="709"/>
        <w:jc w:val="both"/>
      </w:pPr>
      <w:r>
        <w:t>4. Соціально-економічні умови становлення науки Нового часу</w:t>
      </w:r>
    </w:p>
    <w:p w14:paraId="4706077D" w14:textId="77777777" w:rsidR="00104E4E" w:rsidRDefault="007637B4" w:rsidP="002139DB">
      <w:pPr>
        <w:pStyle w:val="2"/>
        <w:spacing w:before="0" w:after="0"/>
        <w:ind w:firstLine="709"/>
        <w:jc w:val="both"/>
      </w:pPr>
      <w:r>
        <w:t>Техніко-економічні ум</w:t>
      </w:r>
      <w:r>
        <w:t>ови</w:t>
      </w:r>
    </w:p>
    <w:p w14:paraId="4D5A287E" w14:textId="77777777" w:rsidR="00104E4E" w:rsidRDefault="007637B4" w:rsidP="002139DB">
      <w:pPr>
        <w:ind w:firstLine="709"/>
        <w:jc w:val="both"/>
      </w:pPr>
      <w:r>
        <w:lastRenderedPageBreak/>
        <w:t>Епоха індустріалізму характеризується посиленням запровадження наукових знань у виробництво та виникненням потреб наукового управління соціальними процесами. Інтенсивний розвиток промислового виробництва породив потреби у конструюванні численних інжене</w:t>
      </w:r>
      <w:r>
        <w:t>рних устаткувань і приладів, що створювало стимули і передумови становлення технічних наук.</w:t>
      </w:r>
    </w:p>
    <w:p w14:paraId="4CF53724" w14:textId="77777777" w:rsidR="00104E4E" w:rsidRDefault="007637B4" w:rsidP="002139DB">
      <w:pPr>
        <w:ind w:firstLine="709"/>
        <w:jc w:val="both"/>
      </w:pPr>
      <w:r>
        <w:t>Промисловий переворот, що розпочався в Англії в другій половині XVIII ст., відкрив нову сторінку у взаємодії науки та виробництва. Удосконалення парової машини Джеймсом Ваттом стало можливим, зокрема, завдяки його співпраці з ученими Університету Глазго. У XIX ст. наука дедалі більше випереджає техніку: відкриття електромагнітної індукції Майклом Фарадеєм (1831) через кілька десятиліть лягло в основу електротехнічної промисловості. Німецька хімічна промисловість виросла безпосередньо з лабораторних досліджень синтетичних барвників і добрив. Так поступово утверджувалося розуміння науки як безпосередньої продуктивної сили суспільства.</w:t>
      </w:r>
      <w:proofErr w:type="spellStart"/>
      <w:proofErr w:type="spellEnd"/>
      <w:proofErr w:type="spellStart"/>
      <w:proofErr w:type="spellEnd"/>
    </w:p>
    <w:p w14:paraId="16D03AB3" w14:textId="77777777" w:rsidR="00104E4E" w:rsidRDefault="007637B4" w:rsidP="002139DB">
      <w:pPr>
        <w:pStyle w:val="2"/>
        <w:spacing w:before="0" w:after="0"/>
        <w:ind w:firstLine="709"/>
        <w:jc w:val="both"/>
      </w:pPr>
      <w:r>
        <w:t>Буржуазні революції</w:t>
      </w:r>
    </w:p>
    <w:p w14:paraId="4D689F19" w14:textId="77777777" w:rsidR="00104E4E" w:rsidRDefault="007637B4" w:rsidP="002139DB">
      <w:pPr>
        <w:ind w:firstLine="709"/>
        <w:jc w:val="both"/>
      </w:pPr>
      <w:r>
        <w:t>Наприкінці XVI – на початку XVII ст. відбувається буржуазна революція в Нідерландах, що відіграла важливу роль у розвитку нових, а саме капіталі</w:t>
      </w:r>
      <w:r>
        <w:t>стичних відносин (які йшли на зміну феодальним) у ряді країн Європи. Із середини XVII ст. буржуазна революція розгортається в Англії — найбільш розвиненій у промисловому відношенні європейській країні.</w:t>
      </w:r>
    </w:p>
    <w:p w14:paraId="41AC5328" w14:textId="77777777" w:rsidR="00104E4E" w:rsidRDefault="007637B4" w:rsidP="002139DB">
      <w:pPr>
        <w:ind w:firstLine="709"/>
        <w:jc w:val="both"/>
      </w:pPr>
      <w:r>
        <w:t>Якщо у феодальному суспільстві наукові знання, що форм</w:t>
      </w:r>
      <w:r>
        <w:t>уються у вигляді «зачатків», були «покірною служницею церкви» (були «розчинені» в «ефірі» релігійної свідомості) і їм не дозволено було виходити за рамки, встановлені вірою, то новому класу, що народжується, — буржуазії — потрібна була «повнокровна» наука,</w:t>
      </w:r>
      <w:r>
        <w:t xml:space="preserve"> тобто така система наукового знання, яка — насамперед для розвитку промисловості — досліджувала б властивості фізичних тіл та форми прояву сил природи.</w:t>
      </w:r>
    </w:p>
    <w:p w14:paraId="0AFEED8A" w14:textId="77777777" w:rsidR="00104E4E" w:rsidRDefault="007637B4" w:rsidP="002139DB">
      <w:pPr>
        <w:ind w:firstLine="709"/>
        <w:jc w:val="both"/>
      </w:pPr>
      <w:r>
        <w:t>Індустріальний розвиток спричинив відносно швидку трансформацію соціальних структур, руйнацію традиційн</w:t>
      </w:r>
      <w:r>
        <w:t xml:space="preserve">их громадських </w:t>
      </w:r>
      <w:proofErr w:type="spellStart"/>
      <w:r>
        <w:t>зв’язків</w:t>
      </w:r>
      <w:proofErr w:type="spellEnd"/>
      <w:r>
        <w:t>, які витіснялися відносинами «матеріальної залежності» (Карл Маркс).</w:t>
      </w:r>
    </w:p>
    <w:p w14:paraId="70EB8FF6" w14:textId="77777777" w:rsidR="00104E4E" w:rsidRDefault="007637B4" w:rsidP="002139DB">
      <w:pPr>
        <w:ind w:firstLine="709"/>
        <w:jc w:val="both"/>
      </w:pPr>
      <w:r>
        <w:t>Буржуазні революції дали потужний поштовх для небаченого розвитку промисловості та торгівлі, будівництва, гірничої та військової справи, мореплавання тощо. Найважл</w:t>
      </w:r>
      <w:r>
        <w:t>ивішим чинником усіх цих змін виявляється наука, і перш за все експериментально-математичне природознавство, яке саме в XVII ст. переживає період свого становлення. Поступово складаються у самостійні галузі знання астрономія, механіка, фізика, хімія та інш</w:t>
      </w:r>
      <w:r>
        <w:t>і приватні науки.</w:t>
      </w:r>
    </w:p>
    <w:p w14:paraId="4CF53724" w14:textId="77777777" w:rsidR="00104E4E" w:rsidRDefault="007637B4" w:rsidP="002139DB">
      <w:pPr>
        <w:ind w:firstLine="709"/>
        <w:jc w:val="both"/>
      </w:pPr>
      <w:r>
        <w:t>Американський соціолог Роберт Мертон у праці «Наука, техніка і суспільство в Англії XVII століття» (1938) звернув увагу на зв’язок становлення науки з протестантською, зокрема пуританською, етикою. На його думку, пуританські цінності — цінування праці, раціональної організації життя та пізнання творіння як способу прославлення Бога — сприяли зростанню престижу природознавства. Серед засновників Лондонського Королівського товариства справді було чимало людей, близьких до пуританського середовища. Ця теза, відома як «теза Мертона», досі дискутується, проте вона переконливо показала, що наука розвивається не у вакуумі, а в конкретному культурному й релігійному контексті.</w:t>
      </w:r>
      <w:proofErr w:type="spellStart"/>
      <w:proofErr w:type="spellEnd"/>
      <w:proofErr w:type="spellStart"/>
      <w:proofErr w:type="spellEnd"/>
    </w:p>
    <w:p w14:paraId="17FEBF7D" w14:textId="77777777" w:rsidR="00104E4E" w:rsidRDefault="007637B4" w:rsidP="002139DB">
      <w:pPr>
        <w:ind w:firstLine="709"/>
        <w:jc w:val="both"/>
      </w:pPr>
      <w:r>
        <w:t>Слід у зв’язку з цим сказати про те, що поняття «наука» та «природознавство» в той період (і навіть пізніше) практично ототожнювалися, оскільки формування суспільствознавства (соціальних, гуманітарних наук) за своїми темпами відбувалося д</w:t>
      </w:r>
      <w:r>
        <w:t>ещо повільніше.</w:t>
      </w:r>
    </w:p>
    <w:p w14:paraId="4CF53724" w14:textId="77777777" w:rsidR="00104E4E" w:rsidRDefault="007637B4" w:rsidP="002139DB">
      <w:pPr>
        <w:ind w:firstLine="709"/>
        <w:jc w:val="both"/>
      </w:pPr>
      <w:r>
        <w:t>Важливим чинником розвитку науки стали Великі географічні відкриття, які поставили перед європейцями складні практичні завдання. Далекі морські подорожі вимагали точних методів визначення координат корабля, досконалих карт і надійних навігаційних приладів. Проблема визначення довготи в морі впродовж XVII–XVIII ст. стимулювала розвиток астрономії, механіки й годинникової справи. Водночас знайомство з новими землями, рослинами й тваринами істотно розширило емпіричну базу природознавства й поставило під сумнів авторитет античних авторів, які нічого не знали про ці світи.</w:t>
      </w:r>
      <w:proofErr w:type="spellStart"/>
      <w:proofErr w:type="spellEnd"/>
      <w:proofErr w:type="spellStart"/>
      <w:proofErr w:type="spellEnd"/>
    </w:p>
    <w:p w14:paraId="2304E046" w14:textId="77777777" w:rsidR="00104E4E" w:rsidRDefault="007637B4" w:rsidP="002139DB">
      <w:pPr>
        <w:pStyle w:val="1"/>
        <w:spacing w:before="0" w:after="0"/>
        <w:ind w:firstLine="709"/>
        <w:jc w:val="both"/>
      </w:pPr>
      <w:r>
        <w:t>5. Формування соціальних і гуманітарних наук</w:t>
      </w:r>
    </w:p>
    <w:p w14:paraId="0D1CAA4F" w14:textId="77777777" w:rsidR="00104E4E" w:rsidRDefault="007637B4" w:rsidP="002139DB">
      <w:pPr>
        <w:ind w:firstLine="709"/>
        <w:jc w:val="both"/>
      </w:pPr>
      <w:r>
        <w:t>Виникають перші програми побудови наук про суспільство (К. А. Сен-</w:t>
      </w:r>
      <w:proofErr w:type="spellStart"/>
      <w:r>
        <w:t>Сімон</w:t>
      </w:r>
      <w:proofErr w:type="spellEnd"/>
      <w:r>
        <w:t xml:space="preserve">, О. </w:t>
      </w:r>
      <w:proofErr w:type="spellStart"/>
      <w:r>
        <w:t>Конт</w:t>
      </w:r>
      <w:proofErr w:type="spellEnd"/>
      <w:r>
        <w:t>, К. Маркс). Спочатку виникла ідея побудувати соціальні науки як просте продовження природничих наук (К. А. Сен-</w:t>
      </w:r>
      <w:proofErr w:type="spellStart"/>
      <w:r>
        <w:t>Сімон</w:t>
      </w:r>
      <w:proofErr w:type="spellEnd"/>
      <w:r>
        <w:t xml:space="preserve">, О. </w:t>
      </w:r>
      <w:proofErr w:type="spellStart"/>
      <w:r>
        <w:t>Конт</w:t>
      </w:r>
      <w:proofErr w:type="spellEnd"/>
      <w:r>
        <w:t>). Потім була установлена специфіка соціальних об’</w:t>
      </w:r>
      <w:r>
        <w:t xml:space="preserve">єктів як таких систем, що історично розвиваються (О. </w:t>
      </w:r>
      <w:proofErr w:type="spellStart"/>
      <w:r>
        <w:t>Конт</w:t>
      </w:r>
      <w:proofErr w:type="spellEnd"/>
      <w:r>
        <w:t>, Г. Спенсер).</w:t>
      </w:r>
    </w:p>
    <w:p w14:paraId="4CF53724" w14:textId="77777777" w:rsidR="00104E4E" w:rsidRDefault="007637B4" w:rsidP="002139DB">
      <w:pPr>
        <w:ind w:firstLine="709"/>
        <w:jc w:val="both"/>
      </w:pPr>
      <w:r>
        <w:t>Огюст Конт, якого вважають засновником позитивізму та самого терміна «соціологія», сформулював закон трьох стадій розвитку людського мислення. Згідно з цим законом, пізнання проходить теологічну стадію, на якій явища пояснюються дією надприродних сил, метафізичну, коли їх пояснюють абстрактними сутностями, і позитивну, на якій наука обмежується встановленням законів зв’язку між явищами. Конт також запропонував класифікацію наук за зростанням складності їхнього предмета: математика, астрономія, фізика, хімія, біологія і, нарешті, соціологія. Герберт Спенсер поширив ідею еволюції на розвиток суспільства, розглядаючи його як організм, що ускладнюється й диференціюється. Карл Маркс, у свою чергу, запропонував розглядати суспільство як систему, в основі якої лежать економічні відносини.</w:t>
      </w:r>
      <w:proofErr w:type="spellStart"/>
      <w:proofErr w:type="spellEnd"/>
      <w:proofErr w:type="spellStart"/>
      <w:proofErr w:type="spellEnd"/>
    </w:p>
    <w:p w14:paraId="4CF53724" w14:textId="77777777" w:rsidR="00104E4E" w:rsidRDefault="007637B4" w:rsidP="002139DB">
      <w:pPr>
        <w:ind w:firstLine="709"/>
        <w:jc w:val="both"/>
      </w:pPr>
      <w:r>
        <w:t>Наприкінці XIX ст. зростає кількість самостійних соціальних і гуманітарних дисциплін. У 1879 р. Вільгельм Вундт відкрив у Лейпцигу першу лабораторію експериментальної психології, що стало символічною датою відокремлення психології від філософії. Еміль Дюркгейм наполягав на тому, що соціальні факти слід розглядати як речі, тобто вивчати їх об’єктивними методами. Формуються також економіка, лінгвістика, етнологія, історична наука з критичним аналізом джерел. Кожна з цих дисциплін шукала власний предмет і метод, прагнучи водночас досягти рівня строгості, притаманного природознавству.</w:t>
      </w:r>
      <w:proofErr w:type="spellStart"/>
      <w:proofErr w:type="spellEnd"/>
      <w:proofErr w:type="spellStart"/>
      <w:proofErr w:type="spellEnd"/>
    </w:p>
    <w:p w14:paraId="1FBE5A1D" w14:textId="77777777" w:rsidR="00104E4E" w:rsidRDefault="007637B4" w:rsidP="002139DB">
      <w:pPr>
        <w:ind w:firstLine="709"/>
        <w:jc w:val="both"/>
      </w:pPr>
      <w:r>
        <w:t>Формування гуманітарних наук, основними об’єктами яких були стани культури, духовні феномени, що відображені в текстах, супроводжувалося виявленням низки специфічних процедур їх дослід</w:t>
      </w:r>
      <w:r>
        <w:t xml:space="preserve">ження, а саме: віднесення до цінностей, розуміння, ідеографічний метод, </w:t>
      </w:r>
      <w:proofErr w:type="spellStart"/>
      <w:r>
        <w:t>наративний</w:t>
      </w:r>
      <w:proofErr w:type="spellEnd"/>
      <w:r>
        <w:t xml:space="preserve"> опис тощо. Установлення цих особливостей породило протиставлення «наук про природу» і «наук про дух». Це протиставлення мало певні підстави в науці XIX і початку XX століть.</w:t>
      </w:r>
    </w:p>
    <w:p w14:paraId="4CF53724" w14:textId="77777777" w:rsidR="00104E4E" w:rsidRDefault="007637B4" w:rsidP="002139DB">
      <w:pPr>
        <w:ind w:firstLine="709"/>
        <w:jc w:val="both"/>
      </w:pPr>
      <w:r>
        <w:t>Теоретичне обґрунтування відмінності гуманітарного знання запропонував німецький філософ Вільгельм Дільтей, який у праці «Вступ до наук про дух» (1883) протиставив пояснення, властиве природознавству, розумінню, властивому наукам про дух. На його думку, природу ми пояснюємо, а душевне життя розуміємо, адже дослідник культури сам є її частиною і може «вживатися» в переживання інших людей. Вільгельм Віндельбанд запропонував розрізняти номотетичні науки, що встановлюють загальні закони, та ідеографічні, що описують неповторні індивідуальні події. Генріх Ріккерт розвинув цю думку, протиставивши «науки про природу» і «науки про культуру», де ключову роль відіграє віднесення явищ до цінностей. Макс Вебер спробував поєднати розуміння і пояснення в концепції «розуміючої соціології», наголошуючи водночас на ідеалі свободи науки від оцінних суджень.</w:t>
      </w:r>
      <w:proofErr w:type="spellStart"/>
      <w:proofErr w:type="spellEnd"/>
      <w:proofErr w:type="spellStart"/>
      <w:proofErr w:type="spellEnd"/>
    </w:p>
    <w:p w14:paraId="4CF53724" w14:textId="77777777" w:rsidR="00104E4E" w:rsidRDefault="007637B4" w:rsidP="002139DB">
      <w:pPr>
        <w:ind w:firstLine="709"/>
        <w:jc w:val="both"/>
      </w:pPr>
      <w:r>
        <w:t>У XX ст. жорстке протиставлення природничих і гуманітарних наук поступово послаблюється. З одного боку, в гуманітарних дослідженнях поширюються кількісні методи, статистика, математичне моделювання й комп’ютерний аналіз текстів. З іншого боку, природознавство, досліджуючи складні системи, дедалі частіше змушене враховувати історичність своїх об’єктів і роль спостерігача. Сьогодні особливо плідними виявляються дослідження на межі цих галузей — у когнітивній науці, цифровій гуманітаристиці, біоетиці, дослідженнях медіа.</w:t>
      </w:r>
      <w:proofErr w:type="spellStart"/>
      <w:proofErr w:type="spellEnd"/>
      <w:proofErr w:type="spellStart"/>
      <w:proofErr w:type="spellEnd"/>
    </w:p>
    <w:p w14:paraId="6493D3F7" w14:textId="77777777" w:rsidR="00104E4E" w:rsidRDefault="007637B4" w:rsidP="002139DB">
      <w:pPr>
        <w:pStyle w:val="1"/>
        <w:spacing w:before="0" w:after="0"/>
        <w:ind w:firstLine="709"/>
        <w:jc w:val="both"/>
      </w:pPr>
      <w:r>
        <w:lastRenderedPageBreak/>
        <w:t>6. Становлення науки як соціального інституту</w:t>
      </w:r>
    </w:p>
    <w:p w14:paraId="163784DF" w14:textId="77777777" w:rsidR="00104E4E" w:rsidRDefault="007637B4" w:rsidP="002139DB">
      <w:pPr>
        <w:ind w:firstLine="709"/>
        <w:jc w:val="both"/>
      </w:pPr>
      <w:r>
        <w:t>Як особливий соціальний інститут наука почала формуватися в XVII–XVIII століттях, коли в Європі виникли перші наукові товариства і академії. Товариство природознавців конституюється в XVII ст. завдяки створенн</w:t>
      </w:r>
      <w:r>
        <w:t>ю академій і наукових товариств у межах «Республіки вчених», що виникла як приватне листування науковців латиною.</w:t>
      </w:r>
    </w:p>
    <w:p w14:paraId="6AF12631" w14:textId="77777777" w:rsidR="00104E4E" w:rsidRDefault="007637B4" w:rsidP="002139DB">
      <w:pPr>
        <w:ind w:firstLine="709"/>
        <w:jc w:val="both"/>
      </w:pPr>
      <w:r>
        <w:t>Наприкінці XVIII – у першій половині XIX ст. поглиблення спеціалізації наукової діяльності привело до виникнення дисциплінарних об’єднань досл</w:t>
      </w:r>
      <w:r>
        <w:t>ідників. Виникають наукові журнали, наприклад, журнал «Хімічні аннали», навколо якого консолідувалося єдине товариство німецьких хіміків.</w:t>
      </w:r>
    </w:p>
    <w:p w14:paraId="4CF53724" w14:textId="77777777" w:rsidR="00104E4E" w:rsidRDefault="007637B4" w:rsidP="002139DB">
      <w:pPr>
        <w:ind w:firstLine="709"/>
        <w:jc w:val="both"/>
      </w:pPr>
      <w:r>
        <w:t>Формування науки як соціального інституту передбачало появу особливих норм поведінки вчених. Роберт Мертон (1942) описав їх як етос науки, що включає чотири основні імперативи. Універсалізм означає, що оцінка наукових тверджень не залежить від національності, релігії чи соціального статусу їхнього автора. Спільність (комунізм у мертонівському значенні) передбачає, що результати досліджень є надбанням усієї наукової спільноти, а не приватною власністю вченого. Безкорисливість вимагає, щоб дослідник керувався прагненням до істини, а не особистою вигодою. Організований скептицизм зобов’язує критично перевіряти будь-які твердження, у тому числі й ті, що належать визнаним авторитетам.</w:t>
      </w:r>
      <w:proofErr w:type="spellStart"/>
      <w:proofErr w:type="spellEnd"/>
      <w:proofErr w:type="spellStart"/>
      <w:proofErr w:type="spellEnd"/>
    </w:p>
    <w:p w14:paraId="40531512" w14:textId="77777777" w:rsidR="00104E4E" w:rsidRDefault="007637B4" w:rsidP="002139DB">
      <w:pPr>
        <w:ind w:firstLine="709"/>
        <w:jc w:val="both"/>
      </w:pPr>
      <w:r>
        <w:t>Основним продуктом наукової діяльності стає наукова стаття поряд з монографією. Латина поступається місцем національни</w:t>
      </w:r>
      <w:r>
        <w:t>м мовам. На зміну «Республіці вчених» приходить множина дисциплінарно орієнтованих товариств. Поряд з академічними установами, що виникли в XVII – на початку XVIII ст. (Лондонське Королівське товариство — 1660 р.; Паризька академія наук — 1666 р.; Берлінсь</w:t>
      </w:r>
      <w:r>
        <w:t xml:space="preserve">ка академія наук — 1700 р.), формуються нові асоціації вчених: «Французька національна консерваторія мистецтв і </w:t>
      </w:r>
      <w:proofErr w:type="spellStart"/>
      <w:r>
        <w:t>ремесел</w:t>
      </w:r>
      <w:proofErr w:type="spellEnd"/>
      <w:r>
        <w:t>» (1794), «Збори німецьких природознавців» (1822), «Британська асоціація сприяння прогресу науки» (1831) та ін.</w:t>
      </w:r>
    </w:p>
    <w:p w14:paraId="4CF53724" w14:textId="77777777" w:rsidR="00104E4E" w:rsidRDefault="007637B4" w:rsidP="002139DB">
      <w:pPr>
        <w:ind w:firstLine="709"/>
        <w:jc w:val="both"/>
      </w:pPr>
      <w:r>
        <w:t>Першим науковим журналом у сучасному розумінні вважають «Philosophical Transactions» Лондонського Королівського товариства, перший випуск якого вийшов 1665 р. Журнали дали змогу швидко оприлюднювати нові результати, закріплювати пріоритет автора на відкриття та піддавати результати критиці колег. Згодом склалася система рецензування, за якої рукопис перед публікацією оцінюють незалежні фахівці. Кількість наукових журналів з того часу зростала надзвичайно швидко, що спричинило появу реферативних видань і бібліографічних покажчиків. Сьогодні публікація в рецензованому журналі залишається основною формою визнання наукового результату.</w:t>
      </w:r>
      <w:proofErr w:type="spellStart"/>
      <w:proofErr w:type="spellEnd"/>
      <w:proofErr w:type="spellStart"/>
      <w:proofErr w:type="spellEnd"/>
    </w:p>
    <w:p w14:paraId="4E5C2356" w14:textId="77777777" w:rsidR="00104E4E" w:rsidRDefault="007637B4" w:rsidP="002139DB">
      <w:pPr>
        <w:ind w:firstLine="709"/>
        <w:jc w:val="both"/>
      </w:pPr>
      <w:r>
        <w:t>Змінюється система освіти</w:t>
      </w:r>
      <w:r>
        <w:t>. У XIX ст. освіта починає будуватися на основі спеціалізації за окремими галузями наукового знання, що відповідало конституюванню дисциплінарної організації науки. Продовжують відкриватися нові університети, наприклад, Харківський (1805), Київський (1834)</w:t>
      </w:r>
      <w:r>
        <w:t>, Одеський (1865) та ін.</w:t>
      </w:r>
    </w:p>
    <w:p w14:paraId="4CF53724" w14:textId="77777777" w:rsidR="00104E4E" w:rsidRDefault="007637B4" w:rsidP="002139DB">
      <w:pPr>
        <w:ind w:firstLine="709"/>
        <w:jc w:val="both"/>
      </w:pPr>
      <w:r>
        <w:t>Вирішальним кроком в інституалізації науки стала реформа університетської освіти, пов’язана з ім’ям Вільгельма фон Гумбольдта. Заснований 1810 р. Берлінський університет утілював принцип єдності викладання й дослідження: професор мав не лише передавати знання, а й створювати нове, залучаючи до цього студентів. Модель дослідницького університету виявилася надзвичайно успішною й згодом поширилася в Європі та США. Показовим прикладом стала хімічна лабораторія Юстуса Лібіха в Гіссені, де студенти вперше масово навчалися через безпосередню участь у дослідженнях. Саме в таких лабораторіях сформувалася професія науковця, яка вимагала спеціальної підготовки та забезпечувала засоби до існування.</w:t>
      </w:r>
      <w:proofErr w:type="spellStart"/>
      <w:proofErr w:type="spellEnd"/>
      <w:proofErr w:type="spellStart"/>
      <w:proofErr w:type="spellEnd"/>
    </w:p>
    <w:p w14:paraId="4CF53724" w14:textId="77777777" w:rsidR="00104E4E" w:rsidRDefault="007637B4" w:rsidP="002139DB">
      <w:pPr>
        <w:ind w:firstLine="709"/>
        <w:jc w:val="both"/>
      </w:pPr>
      <w:r>
        <w:t>В Україні традиції вищої освіти сягають ще Острозької академії (1576) та Києво-Могилянської академії, що виросла з колегіуму, заснованого 1632 р. Харківський університет було відкрито 1805 р. з ініціативи Василя Каразіна на кошти місцевої громади. У 1661 р. було засновано Львівський університет — один із найстаріших у Центрально-Східній Європі. Важливу роль в організації української науки відіграло Наукове товариство імені Шевченка у Львові, яке з 1892 р. набуло наукового характеру і за головування Михайла Грушевського фактично виконувало функції національної академії. Помітний внесок у світову науку зробили українські вчені, зокрема Іван Пулюй, чиї дослідження катодних променів передували відкриттю рентгенівського випромінювання. У 1918 р. в Києві було засновано Українську академію наук, яка стала провідною науковою установою країни.</w:t>
      </w:r>
      <w:proofErr w:type="spellStart"/>
      <w:proofErr w:type="spellEnd"/>
      <w:proofErr w:type="spellStart"/>
      <w:proofErr w:type="spellEnd"/>
    </w:p>
    <w:p w14:paraId="3FC4853D" w14:textId="77777777" w:rsidR="00104E4E" w:rsidRDefault="007637B4" w:rsidP="002139DB">
      <w:pPr>
        <w:pStyle w:val="1"/>
        <w:spacing w:before="0" w:after="0"/>
        <w:ind w:firstLine="709"/>
        <w:jc w:val="both"/>
      </w:pPr>
      <w:r>
        <w:t>7. Наука у XX–XXI століттях</w:t>
      </w:r>
    </w:p>
    <w:p w14:paraId="71385DAF" w14:textId="77777777" w:rsidR="00104E4E" w:rsidRDefault="007637B4" w:rsidP="002139DB">
      <w:pPr>
        <w:ind w:firstLine="709"/>
        <w:jc w:val="both"/>
      </w:pPr>
      <w:r>
        <w:t>У XX ст. наука перетворилася на особливий тип продукування наукових знань, який включав:</w:t>
      </w:r>
    </w:p>
    <w:p w14:paraId="1A6EEB54" w14:textId="77777777" w:rsidR="00104E4E" w:rsidRDefault="007637B4" w:rsidP="002139DB">
      <w:pPr>
        <w:pStyle w:val="a4"/>
        <w:numPr>
          <w:ilvl w:val="0"/>
          <w:numId w:val="7"/>
        </w:numPr>
        <w:ind w:left="0" w:firstLine="709"/>
        <w:jc w:val="both"/>
      </w:pPr>
      <w:r>
        <w:t>множину видів об’єднання вчених, у тому числі і великі дослідницькі колективи;</w:t>
      </w:r>
    </w:p>
    <w:p w14:paraId="2C46A698" w14:textId="77777777" w:rsidR="00104E4E" w:rsidRDefault="007637B4" w:rsidP="002139DB">
      <w:pPr>
        <w:pStyle w:val="a4"/>
        <w:numPr>
          <w:ilvl w:val="0"/>
          <w:numId w:val="7"/>
        </w:numPr>
        <w:ind w:left="0" w:firstLine="709"/>
        <w:jc w:val="both"/>
      </w:pPr>
      <w:r>
        <w:t>цілеспрямоване фінансування та спец</w:t>
      </w:r>
      <w:r>
        <w:t>ифічну промислово-технічну базу, що обслуговувала науковий пошук;</w:t>
      </w:r>
    </w:p>
    <w:p w14:paraId="2D71EE16" w14:textId="77777777" w:rsidR="00104E4E" w:rsidRDefault="007637B4" w:rsidP="002139DB">
      <w:pPr>
        <w:pStyle w:val="a4"/>
        <w:numPr>
          <w:ilvl w:val="0"/>
          <w:numId w:val="7"/>
        </w:numPr>
        <w:ind w:left="0" w:firstLine="709"/>
        <w:jc w:val="both"/>
      </w:pPr>
      <w:r>
        <w:t>складний поділ праці та підготовку кадрів.</w:t>
      </w:r>
    </w:p>
    <w:p w14:paraId="4CF53724" w14:textId="77777777" w:rsidR="00104E4E" w:rsidRDefault="007637B4" w:rsidP="002139DB">
      <w:pPr>
        <w:ind w:firstLine="709"/>
        <w:jc w:val="both"/>
      </w:pPr>
      <w:r>
        <w:t>Зростання масштабів науки в XX ст. американський історик науки Дерек де Солла Прайс описав у книзі «Мала наука, велика наука» (1963). Він показав, що кількість учених, наукових журналів і публікацій зростала експоненційно, подвоюючись приблизно кожні 10–15 років. Символом «великої науки» став Мангеттенський проєкт, у межах якого тисячі науковців та інженерів працювали над створенням атомної зброї. Після Другої світової війни уряди провідних держав визнали науку стратегічним ресурсом: у доповіді Веннівара Буша «Наука — безмежний рубіж» (1945) обґрунтовувалася необхідність державного фінансування фундаментальних досліджень. У 1954 р. було засновано Європейську організацію ядерних досліджень (ЦЕРН), що стала прикладом міжнародної співпраці в галузі фундаментальної науки. Відтоді великі міжнародні проєкти — від дослідження космосу до розшифрування геному людини — стали характерною рисою науки.</w:t>
      </w:r>
      <w:proofErr w:type="spellStart"/>
      <w:proofErr w:type="spellEnd"/>
      <w:proofErr w:type="spellStart"/>
      <w:proofErr w:type="spellEnd"/>
    </w:p>
    <w:p w14:paraId="06C785CE" w14:textId="77777777" w:rsidR="00104E4E" w:rsidRDefault="007637B4" w:rsidP="002139DB">
      <w:pPr>
        <w:ind w:firstLine="709"/>
        <w:jc w:val="both"/>
      </w:pPr>
      <w:r>
        <w:t>Дисциплінарно орієнтовані дослідження у цей час почали доповнюватися міждисциплінарними і проблемно-спрямованими науковими пошуками. Стаціонарні об’єднання вчених (науково-дослідні інститути, академії, наукові центри при університетах) об’єднуються з нефор</w:t>
      </w:r>
      <w:r>
        <w:t>мальними товариствами за зразком «незримого коледжу».</w:t>
      </w:r>
    </w:p>
    <w:p w14:paraId="4CF53724" w14:textId="77777777" w:rsidR="00104E4E" w:rsidRDefault="007637B4" w:rsidP="002139DB">
      <w:pPr>
        <w:ind w:firstLine="709"/>
        <w:jc w:val="both"/>
      </w:pPr>
      <w:r>
        <w:t>Характерною особливістю кінця XX ст. стала поява нових форм виробництва знання. Британський соціолог Майкл Гіббонс та його співавтори (1994) запропонували розрізняти «Модус 1» — традиційну дисциплінарну науку, що розвивається в університетах за власною логікою, і «Модус 2» — знання, яке виробляється в контексті його застосування, міждисциплінарними командами за участі бізнесу, держави й громадськості. Сільвіо Фунтович і Джером Раветц (1993) увели поняття «постнормальної науки» для ситуацій, коли факти невизначені, цінності суперечливі, ставки високі, а рішення потрібно ухвалювати терміново. Прикладами таких ситуацій є зміна клімату, пандемії, техногенні катастрофи. У цих умовах до обговорення наукових проблем залучаються не лише фахівці, а й ширше коло зацікавлених сторін.</w:t>
      </w:r>
      <w:proofErr w:type="spellStart"/>
      <w:proofErr w:type="spellEnd"/>
      <w:proofErr w:type="spellStart"/>
      <w:proofErr w:type="spellEnd"/>
    </w:p>
    <w:p w14:paraId="47F72810" w14:textId="77777777" w:rsidR="00104E4E" w:rsidRDefault="007637B4" w:rsidP="002139DB">
      <w:pPr>
        <w:pStyle w:val="2"/>
        <w:spacing w:before="0" w:after="0"/>
        <w:ind w:firstLine="709"/>
        <w:jc w:val="both"/>
      </w:pPr>
      <w:r>
        <w:t>Типи наукової раціональності</w:t>
      </w:r>
    </w:p>
    <w:p w14:paraId="4CF53724" w14:textId="77777777" w:rsidR="00104E4E" w:rsidRDefault="007637B4" w:rsidP="002139DB">
      <w:pPr>
        <w:ind w:firstLine="709"/>
        <w:jc w:val="both"/>
      </w:pPr>
      <w:r>
        <w:t>У сучасній філософії науки розвиток науки від Нового часу до сьогодення часто описують як зміну трьох типів наукової раціональності — класичного, некласичного та постнекласичного. Класична наука (XVII – кінець XIX ст.) прагнула усунути з опису й пояснення все, що стосується суб’єкта пізнання та засобів його діяльності. Ідеалом вважалося знання про об’єкт «самий по собі», а світ розумівся як сукупність простих механічних систем. Некласична наука (кінець XIX – середина XX ст.) виникає разом із теорією відносності (1905, 1915) та квантовою механікою (1920-ті рр.), які показали, що результат пізнання залежить від засобів і умов спостереження. Постнекласична наука (з останньої третини XX ст.) досліджує складні системи, що саморозвиваються, — біосферу, суспільство, глобальну економіку, людський мозок. Вона враховує не лише засоби пізнання, а й ціннісно-цільові орієнтації дослідників, а також соціальні наслідки наукової діяльності. Важливе місце в постнекласичній науці посідає синергетика — теорія самоорганізації, розвинена у 1970-х рр. Германом Гакеном та Іллєю Пригожиним.</w:t>
      </w:r>
      <w:proofErr w:type="spellStart"/>
      <w:proofErr w:type="spellEnd"/>
      <w:proofErr w:type="spellStart"/>
      <w:proofErr w:type="spellEnd"/>
    </w:p>
    <w:p w14:paraId="47F72810" w14:textId="77777777" w:rsidR="00104E4E" w:rsidRDefault="007637B4" w:rsidP="002139DB">
      <w:pPr>
        <w:pStyle w:val="2"/>
        <w:spacing w:before="0" w:after="0"/>
        <w:ind w:firstLine="709"/>
        <w:jc w:val="both"/>
      </w:pPr>
      <w:r>
        <w:t>Філософське осмислення динаміки науки</w:t>
      </w:r>
    </w:p>
    <w:p w14:paraId="4CF53724" w14:textId="77777777" w:rsidR="00104E4E" w:rsidRDefault="007637B4" w:rsidP="002139DB">
      <w:pPr>
        <w:ind w:firstLine="709"/>
        <w:jc w:val="both"/>
      </w:pPr>
      <w:r>
        <w:t>У XX ст. сформувалися впливові концепції, що пояснюють, як саме змінюється наукове знання. Карл Поппер у праці «Логіка наукового дослідження» (1934) запропонував критерій фальсифікованості: науковою є лише та теорія, яку принципово можна спростувати досвідом. На думку Поппера, наука розвивається через висування сміливих гіпотез і їх суворе критичне випробування, а не через нагромадження підтверджень. Томас Кун у книзі «Структура наукових революцій» (1962) показав, що історія науки складається з періодів «нормальної науки», коли дослідження ведуться в межах загальноприйнятої парадигми, та наукових революцій, під час яких одна парадигма змінюється іншою. Парадигмою Кун називав сукупність теорій, методів, зразків розв’язання задач і цінностей, які поділяє наукова спільнота. Імре Лакатос запропонував концепцію науково-дослідницьких програм, кожна з яких має «тверде ядро» основних положень і «захисний пояс» допоміжних гіпотез. Пол Фейєрабенд, критикуючи ідею єдиного наукового методу, висунув провокаційне гасло «все годиться». Ці концепції переконливо засвідчили, що розвиток науки не є простим лінійним накопиченням істин, а має складний, часом революційний характер.</w:t>
      </w:r>
      <w:proofErr w:type="spellStart"/>
      <w:proofErr w:type="spellEnd"/>
      <w:proofErr w:type="spellStart"/>
      <w:proofErr w:type="spellEnd"/>
    </w:p>
    <w:p w14:paraId="2F64F213" w14:textId="77777777" w:rsidR="00104E4E" w:rsidRDefault="007637B4" w:rsidP="002139DB">
      <w:pPr>
        <w:ind w:firstLine="709"/>
        <w:jc w:val="both"/>
      </w:pPr>
      <w:r>
        <w:t xml:space="preserve">Наприкінці XX ст. виникнення комп’ютерної мережі та Інтернету зумовило появу нових типів наукової комунікації (комп’ютерні статті, монографії, комп’ютерні журнали, дискусії з використанням комп’ютерної </w:t>
      </w:r>
      <w:r>
        <w:t>мережі тощо). У межах Інтернету виникають певні аналоги «Республіки вчених», ведеться широке обговорення результатів досліджень, ідей, гіпотез. Усе це відбувається з широким використанням англійської мови, подібно тому, як у XVII ст. виконувала свої функці</w:t>
      </w:r>
      <w:r>
        <w:t>ї латинь.</w:t>
      </w:r>
    </w:p>
    <w:p w14:paraId="4CF53724" w14:textId="77777777" w:rsidR="00104E4E" w:rsidRDefault="007637B4" w:rsidP="002139DB">
      <w:pPr>
        <w:ind w:firstLine="709"/>
        <w:jc w:val="both"/>
      </w:pPr>
      <w:r>
        <w:t>Інтернет, що поступово змінює всю систему наукової комунікації, сам виник у науковому середовищі. Всесвітню павутину запропонував 1989 р. Тім Бернерс-Лі, який працював у ЦЕРН, саме для зручного обміну інформацією між ученими. У 1991 р. було запущено репозиторій arXiv, де фізики, а згодом і математики та інформатики почали оприлюднювати препринти своїх статей ще до рецензування. Будапештська ініціатива відкритого доступу (2002) проголосила принцип вільного доступу до результатів наукових досліджень, фінансованих суспільством. Сьогодні наукометричні бази даних, цифрові ідентифікатори публікацій і науковців, онлайн-платформи спільної роботи стали невід’ємною частиною щоденної діяльності вченого.</w:t>
      </w:r>
      <w:proofErr w:type="spellStart"/>
      <w:proofErr w:type="spellEnd"/>
      <w:proofErr w:type="spellStart"/>
      <w:proofErr w:type="spellEnd"/>
    </w:p>
    <w:p w14:paraId="4CF53724" w14:textId="77777777" w:rsidR="00104E4E" w:rsidRDefault="007637B4" w:rsidP="002139DB">
      <w:pPr>
        <w:ind w:firstLine="709"/>
        <w:jc w:val="both"/>
      </w:pPr>
      <w:r>
        <w:t>На початку XXI ст. наука вступила в епоху великих даних і штучного інтелекту. Дослідники дедалі частіше працюють не з окремими спостереженнями, а з величезними масивами даних, отриманими від телескопів, прискорювачів, секвенаторів геному чи соціальних мереж. Методи машинного навчання дають змогу виявляти закономірності, які людина не здатна помітити самостійно. Показовим прикладом є система AlphaFold, яка на початку 2020-х рр. навчилася з високою точністю передбачати просторову будову білків, що десятиліттями залишалося однією з найскладніших проблем біології. Водночас такі досягнення ставлять нові філософські питання: чи можна вважати знанням результат, отриманий «непрозорою» моделлю, яку неможливо до кінця пояснити, і хто несе відповідальність за наукові висновки, зроблені за участі штучного інтелекту.</w:t>
      </w:r>
      <w:proofErr w:type="spellStart"/>
      <w:proofErr w:type="spellEnd"/>
      <w:proofErr w:type="spellStart"/>
      <w:proofErr w:type="spellEnd"/>
    </w:p>
    <w:p w14:paraId="4CF53724" w14:textId="77777777" w:rsidR="00104E4E" w:rsidRDefault="007637B4" w:rsidP="002139DB">
      <w:pPr>
        <w:ind w:firstLine="709"/>
        <w:jc w:val="both"/>
      </w:pPr>
      <w:r>
        <w:t>Не менш гостро постає питання соціальної відповідальності науки. Мілітаризація науки, яку згадано в періодизації, означає, що значна частина досліджень спрямовується на військові потреби, а багато технологій мають подвійне призначення. Для України, яка протистоїть збройній агресії, питання оборонних досліджень, безпілотних систем, кібербезпеки та захисту інформаційного простору набули життєво важливого значення. Водночас наукова спільнота повинна зберігати етичні норми, відкритість критиці та відповідальність за наслідки застосування своїх відкриттів. Саме поєднання ефективності та етичної відповідальності є однією з головних вимог до науки постнекласичної доби.</w:t>
      </w:r>
      <w:proofErr w:type="spellStart"/>
      <w:proofErr w:type="spellEnd"/>
      <w:proofErr w:type="spellStart"/>
      <w:proofErr w:type="spellEnd"/>
    </w:p>
    <w:p w14:paraId="4EA78C42" w14:textId="77777777" w:rsidR="00104E4E" w:rsidRDefault="007637B4" w:rsidP="002139DB">
      <w:pPr>
        <w:pStyle w:val="1"/>
        <w:spacing w:before="0" w:after="0"/>
        <w:ind w:firstLine="709"/>
        <w:jc w:val="both"/>
      </w:pPr>
      <w:r>
        <w:lastRenderedPageBreak/>
        <w:t>Висновки</w:t>
      </w:r>
    </w:p>
    <w:p w14:paraId="0CBC9327" w14:textId="77777777" w:rsidR="00104E4E" w:rsidRDefault="007637B4" w:rsidP="002139DB">
      <w:pPr>
        <w:ind w:firstLine="709"/>
        <w:jc w:val="both"/>
      </w:pPr>
      <w:r>
        <w:t xml:space="preserve">Таким чином, розвиток науки пройшов складний історичний шлях: від </w:t>
      </w:r>
      <w:proofErr w:type="spellStart"/>
      <w:r>
        <w:t>переднаукових</w:t>
      </w:r>
      <w:proofErr w:type="spellEnd"/>
      <w:r>
        <w:t xml:space="preserve"> практичних знань давніх цивілізацій через античну теоретичну математику та філософію, середньовічну схоластику, ренесансний гуманізм і </w:t>
      </w:r>
      <w:proofErr w:type="spellStart"/>
      <w:r>
        <w:t>коперніканський</w:t>
      </w:r>
      <w:proofErr w:type="spellEnd"/>
      <w:r>
        <w:t xml:space="preserve"> перево</w:t>
      </w:r>
      <w:r>
        <w:t xml:space="preserve">рот — до експериментально-математичного природознавства Нового часу, класичної науки XIX ст., некласичної науки XX ст. і сучасної </w:t>
      </w:r>
      <w:proofErr w:type="spellStart"/>
      <w:r>
        <w:t>постнекласичної</w:t>
      </w:r>
      <w:proofErr w:type="spellEnd"/>
      <w:r>
        <w:t xml:space="preserve"> раціональності, тісно пов’язаної з інформаційними технологіями та глобальними комунікаціями.</w:t>
      </w:r>
    </w:p>
    <w:p w14:paraId="3965E41C" w14:textId="77777777" w:rsidR="00104E4E" w:rsidRDefault="007637B4" w:rsidP="002139DB">
      <w:pPr>
        <w:ind w:firstLine="709"/>
        <w:jc w:val="both"/>
      </w:pPr>
      <w:r>
        <w:t>Ключовими момента</w:t>
      </w:r>
      <w:r>
        <w:t xml:space="preserve">ми цього шляху стали: виникнення теорії як особливого типу знання; утвердження експерименту; диференціація наук і відокремлення їх від філософії; формування науки як соціального інституту; перехід від класичної до некласичної та </w:t>
      </w:r>
      <w:proofErr w:type="spellStart"/>
      <w:r>
        <w:t>постнекласичної</w:t>
      </w:r>
      <w:proofErr w:type="spellEnd"/>
      <w:r>
        <w:t xml:space="preserve"> раціонально</w:t>
      </w:r>
      <w:r>
        <w:t>сті.</w:t>
      </w:r>
    </w:p>
    <w:p w14:paraId="14ECCEB5" w14:textId="77777777" w:rsidR="00104E4E" w:rsidRDefault="007637B4" w:rsidP="002139DB">
      <w:pPr>
        <w:ind w:firstLine="709"/>
        <w:jc w:val="both"/>
      </w:pPr>
      <w:r>
        <w:t xml:space="preserve">Сьогодні наука продовжує розвиватися в умовах комп’ютерної революції, </w:t>
      </w:r>
      <w:proofErr w:type="spellStart"/>
      <w:r>
        <w:t>міждисциплінарності</w:t>
      </w:r>
      <w:proofErr w:type="spellEnd"/>
      <w:r>
        <w:t xml:space="preserve"> та глобалізації наукової комунікації, зберігаючи свою роль одного з найважливіших чинників цивілізаційного прогресу.</w:t>
      </w:r>
    </w:p>
    <w:p w14:paraId="4CF53724" w14:textId="77777777" w:rsidR="00104E4E" w:rsidRDefault="007637B4" w:rsidP="002139DB">
      <w:pPr>
        <w:ind w:firstLine="709"/>
        <w:jc w:val="both"/>
      </w:pPr>
      <w:r>
        <w:t>Вивчення стадій розвитку науки має не лише історичне, а й методологічне значення для кожного дослідника. Воно показує, що норми науковості, методи та ідеали знання історично мінливі, а тому жоден етап не варто вважати остаточним. Розуміння того, як наука долала кризи й змінювала парадигми, допомагає критично ставитися до сучасних теорій і бути відкритим до нових підходів. Нарешті, історико-філософський погляд на науку нагадує, що вона є не лише системою знань, а й людською діяльністю, вписаною в культуру, суспільство та систему цінностей.</w:t>
      </w:r>
      <w:proofErr w:type="spellStart"/>
      <w:proofErr w:type="spellEnd"/>
      <w:proofErr w:type="spellStart"/>
      <w:proofErr w:type="spellEnd"/>
    </w:p>
    <w:sectPr w:rsidR="00104E4E">
      <w:headerReference w:type="default" r:id="rId7"/>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3B1F0" w14:textId="77777777" w:rsidR="007637B4" w:rsidRDefault="007637B4">
      <w:r>
        <w:separator/>
      </w:r>
    </w:p>
  </w:endnote>
  <w:endnote w:type="continuationSeparator" w:id="0">
    <w:p w14:paraId="2FE71F60" w14:textId="77777777" w:rsidR="007637B4" w:rsidRDefault="00763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F4343" w14:textId="77777777" w:rsidR="00104E4E" w:rsidRDefault="007637B4">
    <w:pPr>
      <w:jc w:val="center"/>
    </w:pPr>
    <w:r>
      <w:rPr>
        <w:sz w:val="20"/>
        <w:szCs w:val="20"/>
      </w:rPr>
      <w:t xml:space="preserve">Сторінка </w:t>
    </w:r>
    <w:r>
      <w:rPr>
        <w:sz w:val="20"/>
        <w:szCs w:val="20"/>
      </w:rPr>
      <w:fldChar w:fldCharType="begin"/>
    </w:r>
    <w:r>
      <w:rPr>
        <w:sz w:val="20"/>
        <w:szCs w:val="20"/>
      </w:rPr>
      <w:instrText>PAGE</w:instrText>
    </w:r>
    <w:r>
      <w:rPr>
        <w:sz w:val="20"/>
        <w:szCs w:val="20"/>
      </w:rPr>
      <w:fldChar w:fldCharType="separate"/>
    </w:r>
    <w:r w:rsidR="002139DB">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2A236" w14:textId="77777777" w:rsidR="007637B4" w:rsidRDefault="007637B4">
      <w:r>
        <w:separator/>
      </w:r>
    </w:p>
  </w:footnote>
  <w:footnote w:type="continuationSeparator" w:id="0">
    <w:p w14:paraId="228FE029" w14:textId="77777777" w:rsidR="007637B4" w:rsidRDefault="007637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F1CA4" w14:textId="77777777" w:rsidR="00104E4E" w:rsidRDefault="007637B4">
    <w:pPr>
      <w:pBdr>
        <w:bottom w:val="single" w:sz="6" w:space="4" w:color="2E75B6"/>
      </w:pBdr>
      <w:jc w:val="right"/>
    </w:pPr>
    <w:r>
      <w:rPr>
        <w:i/>
        <w:iCs/>
        <w:color w:val="666666"/>
        <w:sz w:val="20"/>
        <w:szCs w:val="20"/>
      </w:rPr>
      <w:t>Стадії розвитку науки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D1B4F"/>
    <w:multiLevelType w:val="hybridMultilevel"/>
    <w:tmpl w:val="D4266C1E"/>
    <w:lvl w:ilvl="0" w:tplc="4B14A668">
      <w:start w:val="1"/>
      <w:numFmt w:val="bullet"/>
      <w:lvlText w:val="•"/>
      <w:lvlJc w:val="left"/>
      <w:pPr>
        <w:ind w:left="720" w:hanging="360"/>
      </w:pPr>
    </w:lvl>
    <w:lvl w:ilvl="1" w:tplc="7AA2FA04">
      <w:numFmt w:val="decimal"/>
      <w:lvlText w:val=""/>
      <w:lvlJc w:val="left"/>
    </w:lvl>
    <w:lvl w:ilvl="2" w:tplc="FB28ECA4">
      <w:numFmt w:val="decimal"/>
      <w:lvlText w:val=""/>
      <w:lvlJc w:val="left"/>
    </w:lvl>
    <w:lvl w:ilvl="3" w:tplc="D95AF71A">
      <w:numFmt w:val="decimal"/>
      <w:lvlText w:val=""/>
      <w:lvlJc w:val="left"/>
    </w:lvl>
    <w:lvl w:ilvl="4" w:tplc="58EA8614">
      <w:numFmt w:val="decimal"/>
      <w:lvlText w:val=""/>
      <w:lvlJc w:val="left"/>
    </w:lvl>
    <w:lvl w:ilvl="5" w:tplc="499C5E9E">
      <w:numFmt w:val="decimal"/>
      <w:lvlText w:val=""/>
      <w:lvlJc w:val="left"/>
    </w:lvl>
    <w:lvl w:ilvl="6" w:tplc="60728E8E">
      <w:numFmt w:val="decimal"/>
      <w:lvlText w:val=""/>
      <w:lvlJc w:val="left"/>
    </w:lvl>
    <w:lvl w:ilvl="7" w:tplc="462A3EBC">
      <w:numFmt w:val="decimal"/>
      <w:lvlText w:val=""/>
      <w:lvlJc w:val="left"/>
    </w:lvl>
    <w:lvl w:ilvl="8" w:tplc="258018CC">
      <w:numFmt w:val="decimal"/>
      <w:lvlText w:val=""/>
      <w:lvlJc w:val="left"/>
    </w:lvl>
  </w:abstractNum>
  <w:abstractNum w:abstractNumId="1" w15:restartNumberingAfterBreak="0">
    <w:nsid w:val="0CC0610D"/>
    <w:multiLevelType w:val="hybridMultilevel"/>
    <w:tmpl w:val="EDDE1186"/>
    <w:lvl w:ilvl="0" w:tplc="8D5EEB30">
      <w:start w:val="1"/>
      <w:numFmt w:val="decimal"/>
      <w:lvlText w:val="%1."/>
      <w:lvlJc w:val="left"/>
      <w:pPr>
        <w:ind w:left="720" w:hanging="360"/>
      </w:pPr>
    </w:lvl>
    <w:lvl w:ilvl="1" w:tplc="57E2E378">
      <w:numFmt w:val="decimal"/>
      <w:lvlText w:val=""/>
      <w:lvlJc w:val="left"/>
    </w:lvl>
    <w:lvl w:ilvl="2" w:tplc="0A2A376C">
      <w:numFmt w:val="decimal"/>
      <w:lvlText w:val=""/>
      <w:lvlJc w:val="left"/>
    </w:lvl>
    <w:lvl w:ilvl="3" w:tplc="AE80E732">
      <w:numFmt w:val="decimal"/>
      <w:lvlText w:val=""/>
      <w:lvlJc w:val="left"/>
    </w:lvl>
    <w:lvl w:ilvl="4" w:tplc="0D18C022">
      <w:numFmt w:val="decimal"/>
      <w:lvlText w:val=""/>
      <w:lvlJc w:val="left"/>
    </w:lvl>
    <w:lvl w:ilvl="5" w:tplc="68E45746">
      <w:numFmt w:val="decimal"/>
      <w:lvlText w:val=""/>
      <w:lvlJc w:val="left"/>
    </w:lvl>
    <w:lvl w:ilvl="6" w:tplc="A0E279B6">
      <w:numFmt w:val="decimal"/>
      <w:lvlText w:val=""/>
      <w:lvlJc w:val="left"/>
    </w:lvl>
    <w:lvl w:ilvl="7" w:tplc="A780462E">
      <w:numFmt w:val="decimal"/>
      <w:lvlText w:val=""/>
      <w:lvlJc w:val="left"/>
    </w:lvl>
    <w:lvl w:ilvl="8" w:tplc="9F6805E4">
      <w:numFmt w:val="decimal"/>
      <w:lvlText w:val=""/>
      <w:lvlJc w:val="left"/>
    </w:lvl>
  </w:abstractNum>
  <w:abstractNum w:abstractNumId="2" w15:restartNumberingAfterBreak="0">
    <w:nsid w:val="1BD31382"/>
    <w:multiLevelType w:val="hybridMultilevel"/>
    <w:tmpl w:val="49CEB4F0"/>
    <w:lvl w:ilvl="0" w:tplc="F1DC433C">
      <w:start w:val="1"/>
      <w:numFmt w:val="bullet"/>
      <w:lvlText w:val="•"/>
      <w:lvlJc w:val="left"/>
      <w:pPr>
        <w:ind w:left="720" w:hanging="360"/>
      </w:pPr>
    </w:lvl>
    <w:lvl w:ilvl="1" w:tplc="D9309C58">
      <w:numFmt w:val="decimal"/>
      <w:lvlText w:val=""/>
      <w:lvlJc w:val="left"/>
    </w:lvl>
    <w:lvl w:ilvl="2" w:tplc="729EA87A">
      <w:numFmt w:val="decimal"/>
      <w:lvlText w:val=""/>
      <w:lvlJc w:val="left"/>
    </w:lvl>
    <w:lvl w:ilvl="3" w:tplc="E3B66070">
      <w:numFmt w:val="decimal"/>
      <w:lvlText w:val=""/>
      <w:lvlJc w:val="left"/>
    </w:lvl>
    <w:lvl w:ilvl="4" w:tplc="4232EE7A">
      <w:numFmt w:val="decimal"/>
      <w:lvlText w:val=""/>
      <w:lvlJc w:val="left"/>
    </w:lvl>
    <w:lvl w:ilvl="5" w:tplc="6F78AC26">
      <w:numFmt w:val="decimal"/>
      <w:lvlText w:val=""/>
      <w:lvlJc w:val="left"/>
    </w:lvl>
    <w:lvl w:ilvl="6" w:tplc="B4686B62">
      <w:numFmt w:val="decimal"/>
      <w:lvlText w:val=""/>
      <w:lvlJc w:val="left"/>
    </w:lvl>
    <w:lvl w:ilvl="7" w:tplc="EA9045B0">
      <w:numFmt w:val="decimal"/>
      <w:lvlText w:val=""/>
      <w:lvlJc w:val="left"/>
    </w:lvl>
    <w:lvl w:ilvl="8" w:tplc="C0D8AD5A">
      <w:numFmt w:val="decimal"/>
      <w:lvlText w:val=""/>
      <w:lvlJc w:val="left"/>
    </w:lvl>
  </w:abstractNum>
  <w:abstractNum w:abstractNumId="3" w15:restartNumberingAfterBreak="0">
    <w:nsid w:val="21DF2E3B"/>
    <w:multiLevelType w:val="hybridMultilevel"/>
    <w:tmpl w:val="9FB428C0"/>
    <w:lvl w:ilvl="0" w:tplc="C21AD2EA">
      <w:start w:val="1"/>
      <w:numFmt w:val="bullet"/>
      <w:lvlText w:val="•"/>
      <w:lvlJc w:val="left"/>
      <w:pPr>
        <w:ind w:left="720" w:hanging="360"/>
      </w:pPr>
    </w:lvl>
    <w:lvl w:ilvl="1" w:tplc="F120E5C4">
      <w:numFmt w:val="decimal"/>
      <w:lvlText w:val=""/>
      <w:lvlJc w:val="left"/>
    </w:lvl>
    <w:lvl w:ilvl="2" w:tplc="469AE15A">
      <w:numFmt w:val="decimal"/>
      <w:lvlText w:val=""/>
      <w:lvlJc w:val="left"/>
    </w:lvl>
    <w:lvl w:ilvl="3" w:tplc="DA56B520">
      <w:numFmt w:val="decimal"/>
      <w:lvlText w:val=""/>
      <w:lvlJc w:val="left"/>
    </w:lvl>
    <w:lvl w:ilvl="4" w:tplc="0C6C0C6C">
      <w:numFmt w:val="decimal"/>
      <w:lvlText w:val=""/>
      <w:lvlJc w:val="left"/>
    </w:lvl>
    <w:lvl w:ilvl="5" w:tplc="C9C4E790">
      <w:numFmt w:val="decimal"/>
      <w:lvlText w:val=""/>
      <w:lvlJc w:val="left"/>
    </w:lvl>
    <w:lvl w:ilvl="6" w:tplc="3DA69060">
      <w:numFmt w:val="decimal"/>
      <w:lvlText w:val=""/>
      <w:lvlJc w:val="left"/>
    </w:lvl>
    <w:lvl w:ilvl="7" w:tplc="2CE6C5FE">
      <w:numFmt w:val="decimal"/>
      <w:lvlText w:val=""/>
      <w:lvlJc w:val="left"/>
    </w:lvl>
    <w:lvl w:ilvl="8" w:tplc="3AE247E8">
      <w:numFmt w:val="decimal"/>
      <w:lvlText w:val=""/>
      <w:lvlJc w:val="left"/>
    </w:lvl>
  </w:abstractNum>
  <w:abstractNum w:abstractNumId="4" w15:restartNumberingAfterBreak="0">
    <w:nsid w:val="420F0419"/>
    <w:multiLevelType w:val="hybridMultilevel"/>
    <w:tmpl w:val="DFCA0BB6"/>
    <w:lvl w:ilvl="0" w:tplc="90F467D0">
      <w:start w:val="1"/>
      <w:numFmt w:val="decimal"/>
      <w:lvlText w:val="%1."/>
      <w:lvlJc w:val="left"/>
      <w:pPr>
        <w:ind w:left="720" w:hanging="360"/>
      </w:pPr>
    </w:lvl>
    <w:lvl w:ilvl="1" w:tplc="31F024F6">
      <w:numFmt w:val="decimal"/>
      <w:lvlText w:val=""/>
      <w:lvlJc w:val="left"/>
    </w:lvl>
    <w:lvl w:ilvl="2" w:tplc="53A0990C">
      <w:numFmt w:val="decimal"/>
      <w:lvlText w:val=""/>
      <w:lvlJc w:val="left"/>
    </w:lvl>
    <w:lvl w:ilvl="3" w:tplc="0EE01A28">
      <w:numFmt w:val="decimal"/>
      <w:lvlText w:val=""/>
      <w:lvlJc w:val="left"/>
    </w:lvl>
    <w:lvl w:ilvl="4" w:tplc="EC6456FC">
      <w:numFmt w:val="decimal"/>
      <w:lvlText w:val=""/>
      <w:lvlJc w:val="left"/>
    </w:lvl>
    <w:lvl w:ilvl="5" w:tplc="8BEE8D52">
      <w:numFmt w:val="decimal"/>
      <w:lvlText w:val=""/>
      <w:lvlJc w:val="left"/>
    </w:lvl>
    <w:lvl w:ilvl="6" w:tplc="2F7E4ABC">
      <w:numFmt w:val="decimal"/>
      <w:lvlText w:val=""/>
      <w:lvlJc w:val="left"/>
    </w:lvl>
    <w:lvl w:ilvl="7" w:tplc="5C46601C">
      <w:numFmt w:val="decimal"/>
      <w:lvlText w:val=""/>
      <w:lvlJc w:val="left"/>
    </w:lvl>
    <w:lvl w:ilvl="8" w:tplc="96664270">
      <w:numFmt w:val="decimal"/>
      <w:lvlText w:val=""/>
      <w:lvlJc w:val="left"/>
    </w:lvl>
  </w:abstractNum>
  <w:abstractNum w:abstractNumId="5" w15:restartNumberingAfterBreak="0">
    <w:nsid w:val="50BF703E"/>
    <w:multiLevelType w:val="hybridMultilevel"/>
    <w:tmpl w:val="A4C8F7FE"/>
    <w:lvl w:ilvl="0" w:tplc="4F9C6A0E">
      <w:start w:val="1"/>
      <w:numFmt w:val="bullet"/>
      <w:lvlText w:val="●"/>
      <w:lvlJc w:val="left"/>
      <w:pPr>
        <w:ind w:left="720" w:hanging="360"/>
      </w:pPr>
    </w:lvl>
    <w:lvl w:ilvl="1" w:tplc="15DCE29C">
      <w:start w:val="1"/>
      <w:numFmt w:val="bullet"/>
      <w:lvlText w:val="○"/>
      <w:lvlJc w:val="left"/>
      <w:pPr>
        <w:ind w:left="1440" w:hanging="360"/>
      </w:pPr>
    </w:lvl>
    <w:lvl w:ilvl="2" w:tplc="14602DAE">
      <w:start w:val="1"/>
      <w:numFmt w:val="bullet"/>
      <w:lvlText w:val="■"/>
      <w:lvlJc w:val="left"/>
      <w:pPr>
        <w:ind w:left="2160" w:hanging="360"/>
      </w:pPr>
    </w:lvl>
    <w:lvl w:ilvl="3" w:tplc="C57465E6">
      <w:start w:val="1"/>
      <w:numFmt w:val="bullet"/>
      <w:lvlText w:val="●"/>
      <w:lvlJc w:val="left"/>
      <w:pPr>
        <w:ind w:left="2880" w:hanging="360"/>
      </w:pPr>
    </w:lvl>
    <w:lvl w:ilvl="4" w:tplc="9F96AF02">
      <w:start w:val="1"/>
      <w:numFmt w:val="bullet"/>
      <w:lvlText w:val="○"/>
      <w:lvlJc w:val="left"/>
      <w:pPr>
        <w:ind w:left="3600" w:hanging="360"/>
      </w:pPr>
    </w:lvl>
    <w:lvl w:ilvl="5" w:tplc="818C5A50">
      <w:start w:val="1"/>
      <w:numFmt w:val="bullet"/>
      <w:lvlText w:val="■"/>
      <w:lvlJc w:val="left"/>
      <w:pPr>
        <w:ind w:left="4320" w:hanging="360"/>
      </w:pPr>
    </w:lvl>
    <w:lvl w:ilvl="6" w:tplc="0B481A5A">
      <w:start w:val="1"/>
      <w:numFmt w:val="bullet"/>
      <w:lvlText w:val="●"/>
      <w:lvlJc w:val="left"/>
      <w:pPr>
        <w:ind w:left="5040" w:hanging="360"/>
      </w:pPr>
    </w:lvl>
    <w:lvl w:ilvl="7" w:tplc="37C28B44">
      <w:start w:val="1"/>
      <w:numFmt w:val="bullet"/>
      <w:lvlText w:val="●"/>
      <w:lvlJc w:val="left"/>
      <w:pPr>
        <w:ind w:left="5760" w:hanging="360"/>
      </w:pPr>
    </w:lvl>
    <w:lvl w:ilvl="8" w:tplc="3CD66DC0">
      <w:start w:val="1"/>
      <w:numFmt w:val="bullet"/>
      <w:lvlText w:val="●"/>
      <w:lvlJc w:val="left"/>
      <w:pPr>
        <w:ind w:left="6480" w:hanging="360"/>
      </w:pPr>
    </w:lvl>
  </w:abstractNum>
  <w:abstractNum w:abstractNumId="6" w15:restartNumberingAfterBreak="0">
    <w:nsid w:val="52037F52"/>
    <w:multiLevelType w:val="hybridMultilevel"/>
    <w:tmpl w:val="5D5CE5DA"/>
    <w:lvl w:ilvl="0" w:tplc="72B29DEA">
      <w:start w:val="1"/>
      <w:numFmt w:val="decimal"/>
      <w:lvlText w:val="%1."/>
      <w:lvlJc w:val="left"/>
      <w:pPr>
        <w:ind w:left="720" w:hanging="360"/>
      </w:pPr>
    </w:lvl>
    <w:lvl w:ilvl="1" w:tplc="B8308160">
      <w:numFmt w:val="decimal"/>
      <w:lvlText w:val=""/>
      <w:lvlJc w:val="left"/>
    </w:lvl>
    <w:lvl w:ilvl="2" w:tplc="9FF4D314">
      <w:numFmt w:val="decimal"/>
      <w:lvlText w:val=""/>
      <w:lvlJc w:val="left"/>
    </w:lvl>
    <w:lvl w:ilvl="3" w:tplc="2E1679CC">
      <w:numFmt w:val="decimal"/>
      <w:lvlText w:val=""/>
      <w:lvlJc w:val="left"/>
    </w:lvl>
    <w:lvl w:ilvl="4" w:tplc="FE5227E6">
      <w:numFmt w:val="decimal"/>
      <w:lvlText w:val=""/>
      <w:lvlJc w:val="left"/>
    </w:lvl>
    <w:lvl w:ilvl="5" w:tplc="F2962DC6">
      <w:numFmt w:val="decimal"/>
      <w:lvlText w:val=""/>
      <w:lvlJc w:val="left"/>
    </w:lvl>
    <w:lvl w:ilvl="6" w:tplc="72884B78">
      <w:numFmt w:val="decimal"/>
      <w:lvlText w:val=""/>
      <w:lvlJc w:val="left"/>
    </w:lvl>
    <w:lvl w:ilvl="7" w:tplc="BBBEEED2">
      <w:numFmt w:val="decimal"/>
      <w:lvlText w:val=""/>
      <w:lvlJc w:val="left"/>
    </w:lvl>
    <w:lvl w:ilvl="8" w:tplc="7B944A2A">
      <w:numFmt w:val="decimal"/>
      <w:lvlText w:val=""/>
      <w:lvlJc w:val="left"/>
    </w:lvl>
  </w:abstractNum>
  <w:abstractNum w:abstractNumId="7" w15:restartNumberingAfterBreak="0">
    <w:nsid w:val="68892CBE"/>
    <w:multiLevelType w:val="hybridMultilevel"/>
    <w:tmpl w:val="7FC41396"/>
    <w:lvl w:ilvl="0" w:tplc="D902A38C">
      <w:start w:val="1"/>
      <w:numFmt w:val="decimal"/>
      <w:lvlText w:val="%1."/>
      <w:lvlJc w:val="left"/>
      <w:pPr>
        <w:ind w:left="720" w:hanging="360"/>
      </w:pPr>
    </w:lvl>
    <w:lvl w:ilvl="1" w:tplc="99E0BDD2">
      <w:numFmt w:val="decimal"/>
      <w:lvlText w:val=""/>
      <w:lvlJc w:val="left"/>
    </w:lvl>
    <w:lvl w:ilvl="2" w:tplc="A716A37E">
      <w:numFmt w:val="decimal"/>
      <w:lvlText w:val=""/>
      <w:lvlJc w:val="left"/>
    </w:lvl>
    <w:lvl w:ilvl="3" w:tplc="8DDE090A">
      <w:numFmt w:val="decimal"/>
      <w:lvlText w:val=""/>
      <w:lvlJc w:val="left"/>
    </w:lvl>
    <w:lvl w:ilvl="4" w:tplc="20A22BDE">
      <w:numFmt w:val="decimal"/>
      <w:lvlText w:val=""/>
      <w:lvlJc w:val="left"/>
    </w:lvl>
    <w:lvl w:ilvl="5" w:tplc="514A1EBE">
      <w:numFmt w:val="decimal"/>
      <w:lvlText w:val=""/>
      <w:lvlJc w:val="left"/>
    </w:lvl>
    <w:lvl w:ilvl="6" w:tplc="A7F4F084">
      <w:numFmt w:val="decimal"/>
      <w:lvlText w:val=""/>
      <w:lvlJc w:val="left"/>
    </w:lvl>
    <w:lvl w:ilvl="7" w:tplc="BCEAE382">
      <w:numFmt w:val="decimal"/>
      <w:lvlText w:val=""/>
      <w:lvlJc w:val="left"/>
    </w:lvl>
    <w:lvl w:ilvl="8" w:tplc="AEE4FFDE">
      <w:numFmt w:val="decimal"/>
      <w:lvlText w:val=""/>
      <w:lvlJc w:val="left"/>
    </w:lvl>
  </w:abstractNum>
  <w:abstractNum w:abstractNumId="8" w15:restartNumberingAfterBreak="0">
    <w:nsid w:val="6C153040"/>
    <w:multiLevelType w:val="hybridMultilevel"/>
    <w:tmpl w:val="7D86D98E"/>
    <w:lvl w:ilvl="0" w:tplc="BEF2C262">
      <w:start w:val="1"/>
      <w:numFmt w:val="decimal"/>
      <w:lvlText w:val="%1."/>
      <w:lvlJc w:val="left"/>
      <w:pPr>
        <w:ind w:left="720" w:hanging="360"/>
      </w:pPr>
    </w:lvl>
    <w:lvl w:ilvl="1" w:tplc="ACA6E314">
      <w:numFmt w:val="decimal"/>
      <w:lvlText w:val=""/>
      <w:lvlJc w:val="left"/>
    </w:lvl>
    <w:lvl w:ilvl="2" w:tplc="26BEA220">
      <w:numFmt w:val="decimal"/>
      <w:lvlText w:val=""/>
      <w:lvlJc w:val="left"/>
    </w:lvl>
    <w:lvl w:ilvl="3" w:tplc="0EBC8406">
      <w:numFmt w:val="decimal"/>
      <w:lvlText w:val=""/>
      <w:lvlJc w:val="left"/>
    </w:lvl>
    <w:lvl w:ilvl="4" w:tplc="59625C40">
      <w:numFmt w:val="decimal"/>
      <w:lvlText w:val=""/>
      <w:lvlJc w:val="left"/>
    </w:lvl>
    <w:lvl w:ilvl="5" w:tplc="8D5A291E">
      <w:numFmt w:val="decimal"/>
      <w:lvlText w:val=""/>
      <w:lvlJc w:val="left"/>
    </w:lvl>
    <w:lvl w:ilvl="6" w:tplc="BD08974C">
      <w:numFmt w:val="decimal"/>
      <w:lvlText w:val=""/>
      <w:lvlJc w:val="left"/>
    </w:lvl>
    <w:lvl w:ilvl="7" w:tplc="CB1EE43A">
      <w:numFmt w:val="decimal"/>
      <w:lvlText w:val=""/>
      <w:lvlJc w:val="left"/>
    </w:lvl>
    <w:lvl w:ilvl="8" w:tplc="179E5A28">
      <w:numFmt w:val="decimal"/>
      <w:lvlText w:val=""/>
      <w:lvlJc w:val="left"/>
    </w:lvl>
  </w:abstractNum>
  <w:abstractNum w:abstractNumId="9" w15:restartNumberingAfterBreak="0">
    <w:nsid w:val="7E9611C8"/>
    <w:multiLevelType w:val="hybridMultilevel"/>
    <w:tmpl w:val="A516C8AE"/>
    <w:lvl w:ilvl="0" w:tplc="41523C4A">
      <w:start w:val="1"/>
      <w:numFmt w:val="bullet"/>
      <w:lvlText w:val="•"/>
      <w:lvlJc w:val="left"/>
      <w:pPr>
        <w:ind w:left="720" w:hanging="360"/>
      </w:pPr>
    </w:lvl>
    <w:lvl w:ilvl="1" w:tplc="64D0EFB8">
      <w:numFmt w:val="decimal"/>
      <w:lvlText w:val=""/>
      <w:lvlJc w:val="left"/>
    </w:lvl>
    <w:lvl w:ilvl="2" w:tplc="1292C384">
      <w:numFmt w:val="decimal"/>
      <w:lvlText w:val=""/>
      <w:lvlJc w:val="left"/>
    </w:lvl>
    <w:lvl w:ilvl="3" w:tplc="147E99BC">
      <w:numFmt w:val="decimal"/>
      <w:lvlText w:val=""/>
      <w:lvlJc w:val="left"/>
    </w:lvl>
    <w:lvl w:ilvl="4" w:tplc="3208C206">
      <w:numFmt w:val="decimal"/>
      <w:lvlText w:val=""/>
      <w:lvlJc w:val="left"/>
    </w:lvl>
    <w:lvl w:ilvl="5" w:tplc="FCB68FE8">
      <w:numFmt w:val="decimal"/>
      <w:lvlText w:val=""/>
      <w:lvlJc w:val="left"/>
    </w:lvl>
    <w:lvl w:ilvl="6" w:tplc="4670A818">
      <w:numFmt w:val="decimal"/>
      <w:lvlText w:val=""/>
      <w:lvlJc w:val="left"/>
    </w:lvl>
    <w:lvl w:ilvl="7" w:tplc="42D8B706">
      <w:numFmt w:val="decimal"/>
      <w:lvlText w:val=""/>
      <w:lvlJc w:val="left"/>
    </w:lvl>
    <w:lvl w:ilvl="8" w:tplc="D9AE6E20">
      <w:numFmt w:val="decimal"/>
      <w:lvlText w:val=""/>
      <w:lvlJc w:val="left"/>
    </w:lvl>
  </w:abstractNum>
  <w:num w:numId="1">
    <w:abstractNumId w:val="5"/>
    <w:lvlOverride w:ilvl="0">
      <w:startOverride w:val="1"/>
    </w:lvlOverride>
  </w:num>
  <w:num w:numId="2">
    <w:abstractNumId w:val="8"/>
    <w:lvlOverride w:ilvl="0">
      <w:startOverride w:val="1"/>
    </w:lvlOverride>
  </w:num>
  <w:num w:numId="3">
    <w:abstractNumId w:val="1"/>
    <w:lvlOverride w:ilvl="0">
      <w:startOverride w:val="1"/>
    </w:lvlOverride>
  </w:num>
  <w:num w:numId="4">
    <w:abstractNumId w:val="7"/>
    <w:lvlOverride w:ilvl="0">
      <w:startOverride w:val="1"/>
    </w:lvlOverride>
  </w:num>
  <w:num w:numId="5">
    <w:abstractNumId w:val="4"/>
    <w:lvlOverride w:ilvl="0">
      <w:startOverride w:val="1"/>
    </w:lvlOverride>
  </w:num>
  <w:num w:numId="6">
    <w:abstractNumId w:val="0"/>
    <w:lvlOverride w:ilvl="0">
      <w:startOverride w:val="1"/>
    </w:lvlOverride>
  </w:num>
  <w:num w:numId="7">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E4E"/>
    <w:rsid w:val="00104E4E"/>
    <w:rsid w:val="002139DB"/>
    <w:rsid w:val="007637B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6B581"/>
  <w15:docId w15:val="{62EFAC00-DC6B-46D5-9CB1-499EEEC66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spacing w:before="360" w:after="240"/>
      <w:jc w:val="center"/>
      <w:outlineLvl w:val="0"/>
    </w:pPr>
    <w:rPr>
      <w:b/>
      <w:bCs/>
      <w:color w:val="1F4E79"/>
      <w:sz w:val="36"/>
      <w:szCs w:val="36"/>
    </w:rPr>
  </w:style>
  <w:style w:type="paragraph" w:styleId="2">
    <w:name w:val="heading 2"/>
    <w:uiPriority w:val="9"/>
    <w:unhideWhenUsed/>
    <w:qFormat/>
    <w:pPr>
      <w:spacing w:before="280" w:after="160"/>
      <w:outlineLvl w:val="1"/>
    </w:pPr>
    <w:rPr>
      <w:b/>
      <w:bCs/>
      <w:color w:val="2E75B6"/>
      <w:sz w:val="32"/>
      <w:szCs w:val="32"/>
    </w:rPr>
  </w:style>
  <w:style w:type="paragraph" w:styleId="3">
    <w:name w:val="heading 3"/>
    <w:uiPriority w:val="9"/>
    <w:semiHidden/>
    <w:unhideWhenUsed/>
    <w:qFormat/>
    <w:pPr>
      <w:spacing w:before="200" w:after="120"/>
      <w:outlineLvl w:val="2"/>
    </w:pPr>
    <w:rPr>
      <w:b/>
      <w:bCs/>
      <w:color w:val="404040"/>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pPr>
      <w:spacing w:after="200"/>
      <w:jc w:val="center"/>
    </w:pPr>
    <w:rPr>
      <w:b/>
      <w:bCs/>
      <w:color w:val="1F4E79"/>
      <w:sz w:val="48"/>
      <w:szCs w:val="48"/>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ви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інцевої ви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12831</Words>
  <Characters>7314</Characters>
  <Application>Microsoft Office Word</Application>
  <DocSecurity>0</DocSecurity>
  <Lines>60</Lines>
  <Paragraphs>40</Paragraphs>
  <ScaleCrop>false</ScaleCrop>
  <Company/>
  <LinksUpToDate>false</LinksUpToDate>
  <CharactersWithSpaces>20105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Слюсар Вадим Миколайович</cp:lastModifiedBy>
  <cp:revision>2</cp:revision>
  <dcterms:created xsi:type="dcterms:W3CDTF">2026-09-28T05:38:00Z</dcterms:created>
  <dcterms:modified xsi:type="dcterms:W3CDTF">2026-09-28T05:45:00Z</dcterms:modified>
</cp:coreProperties>
</file>