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rPr>
          <w:b/>
          <w:bCs/>
          <w:color w:val="224D83"/>
          <w:sz w:val="32"/>
          <w:szCs w:val="32"/>
        </w:rPr>
        <w:t xml:space="preserve">Конспект лекції 3</w:t>
      </w:r>
    </w:p>
    <w:p>
      <w:pPr>
        <w:spacing w:after="240"/>
      </w:pPr>
      <w:r>
        <w:rPr>
          <w:b/>
          <w:bCs/>
          <w:color w:val="5B6472"/>
          <w:sz w:val="22"/>
          <w:szCs w:val="22"/>
        </w:rPr>
        <w:t xml:space="preserve">Планетарні межі (Planetary Boundaries)</w:t>
      </w:r>
    </w:p>
    <w:p>
      <w:pPr>
        <w:pStyle w:val="Heading2"/>
        <w:spacing w:after="120" w:before="300"/>
      </w:pPr>
      <w:r>
        <w:rPr>
          <w:b/>
          <w:bCs/>
          <w:color w:val="224D83"/>
          <w:sz w:val="25"/>
          <w:szCs w:val="25"/>
        </w:rPr>
        <w:t xml:space="preserve">Вступ</w:t>
      </w:r>
    </w:p>
    <w:p>
      <w:pPr>
        <w:spacing w:after="160" w:line="300"/>
        <w:jc w:val="both"/>
      </w:pPr>
      <w:r>
        <w:rPr>
          <w:sz w:val="21"/>
          <w:szCs w:val="21"/>
        </w:rPr>
        <w:t xml:space="preserve">Практично кожне рішення про виробництво, споживання чи розвиток економіки тією чи іншою мірою впливає на природні системи планети. Але чи існує межа, за якою цей вплив стає незворотним? Саме на це запитання намагається відповісти концепція планетарних меж (Planetary Boundaries) — один із найвпливовіших наукових фреймворків XXI століття для оцінки стану Землі як єдиної взаємопов'язаної системи.</w:t>
      </w:r>
    </w:p>
    <w:p>
      <w:pPr>
        <w:pStyle w:val="Heading2"/>
        <w:spacing w:after="120" w:before="300"/>
      </w:pPr>
      <w:r>
        <w:rPr>
          <w:b/>
          <w:bCs/>
          <w:color w:val="224D83"/>
          <w:sz w:val="25"/>
          <w:szCs w:val="25"/>
        </w:rPr>
        <w:t xml:space="preserve">Історія виникнення концепції</w:t>
      </w:r>
    </w:p>
    <w:p>
      <w:pPr>
        <w:spacing w:after="160" w:line="300"/>
        <w:jc w:val="both"/>
      </w:pPr>
      <w:r>
        <w:rPr>
          <w:sz w:val="21"/>
          <w:szCs w:val="21"/>
        </w:rPr>
        <w:t xml:space="preserve">Концепцію вперше представила міжнародна група вчених на чолі зі шведським кліматологом Йоганом Рокстрьомом (Johan Rockström), тодішнім директором Стокгольмського центру стійкості (Stockholm Resilience Centre). У 2009 році в журналі Nature вийшла стаття «A safe operating space for humanity» («Безпечний операційний простір для людства»), у якій автори вперше окреслили дев'ять критичних процесів земної системи та запропонували для кожного з них кількісний поріг — межу, перевищення якої підвищує ризик різких, масштабних і часто незворотних змін у навколишньому середовищі. Вже на момент публікації дослідники стверджували, що людство перетнуло три з дев'яти меж: зміну клімату, втрату біорізноманіття та порушення азотного циклу.</w:t>
      </w:r>
    </w:p>
    <w:p>
      <w:pPr>
        <w:spacing w:after="160" w:line="300"/>
        <w:jc w:val="both"/>
      </w:pPr>
      <w:r>
        <w:rPr>
          <w:sz w:val="21"/>
          <w:szCs w:val="21"/>
        </w:rPr>
        <w:t xml:space="preserve">Концепція не залишалася незмінною. У 2015 році група під керівництвом Вілла Стеффена (Will Steffen) опублікувала в журналі Science оновлений аналіз, який додав четверту перетнуту межу — зміни землекористування, пов'язані здебільшого з масштабною вирубкою лісів і перетворенням природних екосистем на сільськогосподарські угіддя.</w:t>
      </w:r>
    </w:p>
    <w:p>
      <w:pPr>
        <w:spacing w:after="160" w:line="300"/>
        <w:jc w:val="both"/>
      </w:pPr>
      <w:r>
        <w:rPr>
          <w:sz w:val="21"/>
          <w:szCs w:val="21"/>
        </w:rPr>
        <w:t xml:space="preserve">Наступні роки дослідники поступово уточнювали методологію оцінки решти меж, для яких на момент перших публікацій ще бракувало достатньо надійних кількісних показників. У 2022 році межу нових сутностей (novel entities) — тобто забруднення планети синтетичними хімічними речовинами, пластиком та іншими штучними матеріалами — визнали п'ятою перетнутою межею. У 2023 році команда під керівництвом Кетрін Річардсон (Katherine Richardson) вперше в історії проєкту здійснила кількісну оцінку всіх дев'яти меж одночасно й опублікувала результати в журналі Science Advances: шоста межа, зміни прісноводних систем, також виявилася перетнутою.</w:t>
      </w:r>
    </w:p>
    <w:p>
      <w:pPr>
        <w:spacing w:after="160" w:line="300"/>
        <w:jc w:val="both"/>
      </w:pPr>
      <w:r>
        <w:rPr>
          <w:sz w:val="21"/>
          <w:szCs w:val="21"/>
        </w:rPr>
        <w:t xml:space="preserve">Нарешті, у 2025 році Потсдамський інститут дослідження впливу на клімат (Potsdam Institute for Climate Impact Research), який з 2024 року щорічно готує звіт Planetary Health Check, зафіксував перетинання сьомої межі — закислення океану. Станом на вересень 2025 року безпечними залишаються лише дві межі з дев'яти: аерозольне забруднення атмосфери та виснаження озонового шару стратосфери — причому останній є яскравим прикладом того, як скоординовані міжнародні дії (Монреальський протокол 1987 року про заборону озоноруйнівних речовин) здатні розвернути негативний тренд і повернути систему в безпечну зону.</w:t>
      </w:r>
    </w:p>
    <w:p>
      <w:pPr>
        <w:pStyle w:val="Heading2"/>
        <w:spacing w:after="120" w:before="300"/>
      </w:pPr>
      <w:r>
        <w:rPr>
          <w:b/>
          <w:bCs/>
          <w:color w:val="224D83"/>
          <w:sz w:val="25"/>
          <w:szCs w:val="25"/>
        </w:rPr>
        <w:t xml:space="preserve">Що таке планетарна межа</w:t>
      </w:r>
    </w:p>
    <w:p>
      <w:pPr>
        <w:pBdr>
          <w:left w:val="single" w:color="224D83" w:sz="24" w:space="8"/>
        </w:pBdr>
        <w:shd w:fill="EAF1F8" w:val="clear"/>
        <w:spacing w:after="200" w:before="160" w:line="300"/>
        <w:ind w:left="60"/>
        <w:jc w:val="both"/>
      </w:pPr>
      <w:r>
        <w:rPr>
          <w:b/>
          <w:bCs/>
          <w:color w:val="224D83"/>
          <w:sz w:val="21"/>
          <w:szCs w:val="21"/>
        </w:rPr>
        <w:t xml:space="preserve">Планетарна межа — </w:t>
      </w:r>
      <w:r>
        <w:rPr>
          <w:color w:val="1F2933"/>
          <w:sz w:val="21"/>
          <w:szCs w:val="21"/>
        </w:rPr>
        <w:t xml:space="preserve">це науково обґрунтований поріг втручання людства в один із ключових процесів земної системи, перевищення якого різко підвищує ризик масштабних, часто раптових і потенційно незворотних змін у навколишньому середовищі.</w:t>
      </w:r>
    </w:p>
    <w:p>
      <w:pPr>
        <w:spacing w:after="160" w:line="300"/>
        <w:jc w:val="both"/>
      </w:pPr>
      <w:r>
        <w:rPr>
          <w:sz w:val="21"/>
          <w:szCs w:val="21"/>
        </w:rPr>
        <w:t xml:space="preserve">Важливо розуміти: перетинання межі не означає миттєвої катастрофи. Це сигнал про те, що людство залишає зону відносної передбачуваності й входить у зону зростаючого ризику, де ймовірність дестабілізації системи суттєво зростає.</w:t>
      </w:r>
    </w:p>
    <w:p>
      <w:pPr>
        <w:spacing w:after="160" w:line="300"/>
        <w:jc w:val="both"/>
      </w:pPr>
      <w:r>
        <w:rPr>
          <w:sz w:val="21"/>
          <w:szCs w:val="21"/>
        </w:rPr>
        <w:t xml:space="preserve">В основі концепції лежить ідея безпечного операційного простору (safe operating space) — умовної «зони комфорту» земної системи, в межах якої підтримується стабільність, подібна до голоцену. Голоцен — це геологічна епоха, що триває приблизно 11 700 років і характеризується відносно стабільним кліматом і сприятливими умовами для життя. Саме в цей період виникло сільське господарство, зародилися перші цивілізації і, зрештою, розвинулося сучасне людство з усією його технологічною й соціальною складністю. Автори концепції наголошують: ми не маємо жодних гарантій, що цивілізація здатна процвітати за межами умов, подібних до голоценових, а тому розсудливо тримати ключові параметри планети в межах цього історично перевіреного діапазону.</w:t>
      </w:r>
    </w:p>
    <w:p>
      <w:pPr>
        <w:pStyle w:val="Heading2"/>
        <w:spacing w:after="120" w:before="300"/>
      </w:pPr>
      <w:r>
        <w:rPr>
          <w:b/>
          <w:bCs/>
          <w:color w:val="224D83"/>
          <w:sz w:val="25"/>
          <w:szCs w:val="25"/>
        </w:rPr>
        <w:t xml:space="preserve">Огляд дев'яти планетарних меж</w:t>
      </w:r>
    </w:p>
    <w:p>
      <w:pPr>
        <w:spacing w:after="160" w:line="300"/>
        <w:jc w:val="both"/>
      </w:pPr>
      <w:r>
        <w:rPr>
          <w:sz w:val="21"/>
          <w:szCs w:val="21"/>
        </w:rPr>
        <w:t xml:space="preserve">Фреймворк охоплює дев'ять процесів, кожен з яких по-своєму регулює стабільність земної системи:</w:t>
      </w:r>
    </w:p>
    <w:p>
      <w:pPr>
        <w:pStyle w:val="ListParagraph"/>
        <w:numPr>
          <w:ilvl w:val="0"/>
          <w:numId w:val="2"/>
        </w:numPr>
        <w:spacing w:after="130" w:line="290"/>
      </w:pPr>
      <w:r>
        <w:rPr>
          <w:b/>
          <w:bCs/>
          <w:sz w:val="21"/>
          <w:szCs w:val="21"/>
        </w:rPr>
        <w:t xml:space="preserve">Зміна клімату</w:t>
      </w:r>
      <w:r>
        <w:rPr>
          <w:sz w:val="21"/>
          <w:szCs w:val="21"/>
        </w:rPr>
        <w:t xml:space="preserve"> — накопичення парникових газів в атмосфері та пов'язане з цим підвищення глобальної температури.</w:t>
      </w:r>
    </w:p>
    <w:p>
      <w:pPr>
        <w:pStyle w:val="ListParagraph"/>
        <w:numPr>
          <w:ilvl w:val="0"/>
          <w:numId w:val="2"/>
        </w:numPr>
        <w:spacing w:after="130" w:line="290"/>
      </w:pPr>
      <w:r>
        <w:rPr>
          <w:b/>
          <w:bCs/>
          <w:sz w:val="21"/>
          <w:szCs w:val="21"/>
        </w:rPr>
        <w:t xml:space="preserve">Цілісність біосфери</w:t>
      </w:r>
      <w:r>
        <w:rPr>
          <w:sz w:val="21"/>
          <w:szCs w:val="21"/>
        </w:rPr>
        <w:t xml:space="preserve"> — втрата видів і деградація функцій екосистем (раніше ця межа називалася «втрата біорізноманіття»).</w:t>
      </w:r>
    </w:p>
    <w:p>
      <w:pPr>
        <w:pStyle w:val="ListParagraph"/>
        <w:numPr>
          <w:ilvl w:val="0"/>
          <w:numId w:val="2"/>
        </w:numPr>
        <w:spacing w:after="130" w:line="290"/>
      </w:pPr>
      <w:r>
        <w:rPr>
          <w:b/>
          <w:bCs/>
          <w:sz w:val="21"/>
          <w:szCs w:val="21"/>
        </w:rPr>
        <w:t xml:space="preserve">Зміни землекористування</w:t>
      </w:r>
      <w:r>
        <w:rPr>
          <w:sz w:val="21"/>
          <w:szCs w:val="21"/>
        </w:rPr>
        <w:t xml:space="preserve"> — перетворення природних екосистем, передусім лісів, на сільськогосподарські та урбанізовані території.</w:t>
      </w:r>
    </w:p>
    <w:p>
      <w:pPr>
        <w:pStyle w:val="ListParagraph"/>
        <w:numPr>
          <w:ilvl w:val="0"/>
          <w:numId w:val="2"/>
        </w:numPr>
        <w:spacing w:after="130" w:line="290"/>
      </w:pPr>
      <w:r>
        <w:rPr>
          <w:b/>
          <w:bCs/>
          <w:sz w:val="21"/>
          <w:szCs w:val="21"/>
        </w:rPr>
        <w:t xml:space="preserve">Прісна вода</w:t>
      </w:r>
      <w:r>
        <w:rPr>
          <w:sz w:val="21"/>
          <w:szCs w:val="21"/>
        </w:rPr>
        <w:t xml:space="preserve"> — зміни в глобальному кругообігу води, включно з річковим стоком і вологістю ґрунтів.</w:t>
      </w:r>
    </w:p>
    <w:p>
      <w:pPr>
        <w:pStyle w:val="ListParagraph"/>
        <w:numPr>
          <w:ilvl w:val="0"/>
          <w:numId w:val="2"/>
        </w:numPr>
        <w:spacing w:after="130" w:line="290"/>
      </w:pPr>
      <w:r>
        <w:rPr>
          <w:b/>
          <w:bCs/>
          <w:sz w:val="21"/>
          <w:szCs w:val="21"/>
        </w:rPr>
        <w:t xml:space="preserve">Біогеохімічні потоки</w:t>
      </w:r>
      <w:r>
        <w:rPr>
          <w:sz w:val="21"/>
          <w:szCs w:val="21"/>
        </w:rPr>
        <w:t xml:space="preserve"> — порушення природних циклів азоту та фосфору внаслідок надмірного використання добрив.</w:t>
      </w:r>
    </w:p>
    <w:p>
      <w:pPr>
        <w:pStyle w:val="ListParagraph"/>
        <w:numPr>
          <w:ilvl w:val="0"/>
          <w:numId w:val="2"/>
        </w:numPr>
        <w:spacing w:after="130" w:line="290"/>
      </w:pPr>
      <w:r>
        <w:rPr>
          <w:b/>
          <w:bCs/>
          <w:sz w:val="21"/>
          <w:szCs w:val="21"/>
        </w:rPr>
        <w:t xml:space="preserve">Закислення океану</w:t>
      </w:r>
      <w:r>
        <w:rPr>
          <w:sz w:val="21"/>
          <w:szCs w:val="21"/>
        </w:rPr>
        <w:t xml:space="preserve"> — зниження pH морської води через поглинання надлишкового CO₂.</w:t>
      </w:r>
    </w:p>
    <w:p>
      <w:pPr>
        <w:pStyle w:val="ListParagraph"/>
        <w:numPr>
          <w:ilvl w:val="0"/>
          <w:numId w:val="2"/>
        </w:numPr>
        <w:spacing w:after="130" w:line="290"/>
      </w:pPr>
      <w:r>
        <w:rPr>
          <w:b/>
          <w:bCs/>
          <w:sz w:val="21"/>
          <w:szCs w:val="21"/>
        </w:rPr>
        <w:t xml:space="preserve">Нові сутності</w:t>
      </w:r>
      <w:r>
        <w:rPr>
          <w:sz w:val="21"/>
          <w:szCs w:val="21"/>
        </w:rPr>
        <w:t xml:space="preserve"> — забруднення довкілля синтетичними хімікатами, пластиком, важкими металами та іншими штучними речовинами.</w:t>
      </w:r>
    </w:p>
    <w:p>
      <w:pPr>
        <w:pStyle w:val="ListParagraph"/>
        <w:numPr>
          <w:ilvl w:val="0"/>
          <w:numId w:val="2"/>
        </w:numPr>
        <w:spacing w:after="130" w:line="290"/>
      </w:pPr>
      <w:r>
        <w:rPr>
          <w:b/>
          <w:bCs/>
          <w:sz w:val="21"/>
          <w:szCs w:val="21"/>
        </w:rPr>
        <w:t xml:space="preserve">Аерозольне забруднення атмосфери</w:t>
      </w:r>
      <w:r>
        <w:rPr>
          <w:sz w:val="21"/>
          <w:szCs w:val="21"/>
        </w:rPr>
        <w:t xml:space="preserve"> — накопичення дрібних частинок в атмосфері, які впливають на клімат і здоров'я людей.</w:t>
      </w:r>
    </w:p>
    <w:p>
      <w:pPr>
        <w:pStyle w:val="ListParagraph"/>
        <w:numPr>
          <w:ilvl w:val="0"/>
          <w:numId w:val="2"/>
        </w:numPr>
        <w:spacing w:after="130" w:line="290"/>
      </w:pPr>
      <w:r>
        <w:rPr>
          <w:b/>
          <w:bCs/>
          <w:sz w:val="21"/>
          <w:szCs w:val="21"/>
        </w:rPr>
        <w:t xml:space="preserve">Виснаження озонового шару</w:t>
      </w:r>
      <w:r>
        <w:rPr>
          <w:sz w:val="21"/>
          <w:szCs w:val="21"/>
        </w:rPr>
        <w:t xml:space="preserve"> — руйнування стратосферного озону, який захищає життя на Землі від надмірного ультрафіолетового випромінювання.</w:t>
      </w:r>
    </w:p>
    <w:p>
      <w:pPr>
        <w:pStyle w:val="Heading2"/>
        <w:spacing w:after="120" w:before="300"/>
      </w:pPr>
      <w:r>
        <w:rPr>
          <w:b/>
          <w:bCs/>
          <w:color w:val="224D83"/>
          <w:sz w:val="25"/>
          <w:szCs w:val="25"/>
        </w:rPr>
        <w:t xml:space="preserve">Стан меж на сьогодні</w:t>
      </w:r>
    </w:p>
    <w:p>
      <w:pPr>
        <w:spacing w:after="160" w:line="300"/>
        <w:jc w:val="both"/>
      </w:pPr>
      <w:r>
        <w:rPr>
          <w:sz w:val="21"/>
          <w:szCs w:val="21"/>
        </w:rPr>
        <w:t xml:space="preserve">За даними звіту Planetary Health Check 2025, підготовленого Потсдамським інститутом дослідження впливу на клімат разом зі Стокгольмським центром стійкості, сім із дев'яти меж перетнуто, причому всі сім демонструють тенденцію до подальшого погіршення. Три межі — зміна клімату, біогеохімічні потоки та цілісність біосфери — перетнуто настільки далеко, що система вже перебуває в зоні високого ризику (high-risk zone), а не просто в зоні зростаючого ризику. Лише дві межі залишаються в безпечній зоні: аерозольне забруднення атмосфери (тиск зростає, але кількісний поріг поки не перевищено) та виснаження озонового шару (ситуація навіть покращується завдяки Монреальському протоколу).</w:t>
      </w:r>
    </w:p>
    <w:p>
      <w:pPr>
        <w:pStyle w:val="Heading2"/>
        <w:spacing w:after="120" w:before="300"/>
      </w:pPr>
      <w:r>
        <w:rPr>
          <w:b/>
          <w:bCs/>
          <w:color w:val="224D83"/>
          <w:sz w:val="25"/>
          <w:szCs w:val="25"/>
        </w:rPr>
        <w:t xml:space="preserve">Детальний розгляд ключових меж</w:t>
      </w:r>
    </w:p>
    <w:p>
      <w:pPr>
        <w:spacing w:after="80" w:before="180"/>
      </w:pPr>
      <w:r>
        <w:rPr>
          <w:b/>
          <w:bCs/>
          <w:sz w:val="21"/>
          <w:szCs w:val="21"/>
        </w:rPr>
        <w:t xml:space="preserve">Зміна клімату</w:t>
      </w:r>
    </w:p>
    <w:p>
      <w:pPr>
        <w:spacing w:after="160" w:line="300"/>
        <w:jc w:val="both"/>
      </w:pPr>
      <w:r>
        <w:rPr>
          <w:sz w:val="21"/>
          <w:szCs w:val="21"/>
        </w:rPr>
        <w:t xml:space="preserve">Контрольними змінними для цієї межі є концентрація CO₂ в атмосфері та радіаційний вплив (величина додаткового «нагрівання» планети через парниковий ефект). Безпечна межа для CO₂ встановлена на рівні 350 частин на мільйон (ppm) — саме цей показник, а не доіндустріальний рівень у 280 ppm, обрано тому, що застосовано принцип обережності: концентрація в 350 ppm відповідає ще прийнятному рівню ризику. Станом на жовтень 2025 року фактична концентрація становить приблизно 424 ppm — тобто вже на 74 одиниці вище безпечного порога. Радіаційний вплив, безпечна межа якого встановлена на рівні +1,0 Вт/м² відносно доіндустріального періоду, фактично сягнув близько +2,97 Вт/м² — майже втричі більше допустимого.</w:t>
      </w:r>
    </w:p>
    <w:p>
      <w:pPr>
        <w:spacing w:after="80" w:before="180"/>
      </w:pPr>
      <w:r>
        <w:rPr>
          <w:b/>
          <w:bCs/>
          <w:sz w:val="21"/>
          <w:szCs w:val="21"/>
        </w:rPr>
        <w:t xml:space="preserve">Цілісність біосфери</w:t>
      </w:r>
    </w:p>
    <w:p>
      <w:pPr>
        <w:spacing w:after="160" w:line="300"/>
        <w:jc w:val="both"/>
      </w:pPr>
      <w:r>
        <w:rPr>
          <w:sz w:val="21"/>
          <w:szCs w:val="21"/>
        </w:rPr>
        <w:t xml:space="preserve">Цю межу оцінюють за двома показниками. Перший — швидкість вимирання видів, яку вимірюють в одиницях E/MSY (вимирань на мільйон видо-років). Безпечний поріг встановлено на рівні менше 10 E/MSY, тоді як фактична швидкість вимирання перевищує 100 E/MSY — тобто щонайменше вдесятеро вище безпечного рівня. Другий показник — частка первинної біологічної продукції, яку привласнює людство для власних потреб (сільське господарство, лісозаготівля, урбанізація), відома як HANPP (Human Appropriation of Net Primary Production). Безпечною вважається частка до 10%, тоді як фактичний показник сягає близько 30%.</w:t>
      </w:r>
    </w:p>
    <w:p>
      <w:pPr>
        <w:spacing w:after="80" w:before="180"/>
      </w:pPr>
      <w:r>
        <w:rPr>
          <w:b/>
          <w:bCs/>
          <w:sz w:val="21"/>
          <w:szCs w:val="21"/>
        </w:rPr>
        <w:t xml:space="preserve">Біогеохімічні потоки</w:t>
      </w:r>
    </w:p>
    <w:p>
      <w:pPr>
        <w:spacing w:after="160" w:line="300"/>
        <w:jc w:val="both"/>
      </w:pPr>
      <w:r>
        <w:rPr>
          <w:sz w:val="21"/>
          <w:szCs w:val="21"/>
        </w:rPr>
        <w:t xml:space="preserve">Ця межа стосується глобальних циклів азоту та фосфору — двох елементів, необхідних для росту рослин, які масово додають у ґрунт у формі добрив. Безпечна межа для азоту становить 62 тератонни на рік, тоді як фактичне антропогенне надходження оцінюється приблизно в 190 тератонн — утричі більше. Для фосфору безпечна межа становить 11 тератонн на рік, фактичний показник — близько 22 тератонн, тобто вдвічі більше. Надлишок цих елементів, який не засвоюється рослинами, стікає в річки й моря, спричиняючи евтрофікацію водойм — надмірне «цвітіння» водоростей, яке призводить до дефіциту кисню та утворення так званих «мертвих зон», непридатних для більшості форм життя.</w:t>
      </w:r>
    </w:p>
    <w:p>
      <w:pPr>
        <w:pStyle w:val="Heading2"/>
        <w:spacing w:after="120" w:before="300"/>
      </w:pPr>
      <w:r>
        <w:rPr>
          <w:b/>
          <w:bCs/>
          <w:color w:val="224D83"/>
          <w:sz w:val="25"/>
          <w:szCs w:val="25"/>
        </w:rPr>
        <w:t xml:space="preserve">«Основні» межі як підсилювачі ризику</w:t>
      </w:r>
    </w:p>
    <w:p>
      <w:pPr>
        <w:spacing w:after="160" w:line="300"/>
        <w:jc w:val="both"/>
      </w:pPr>
      <w:r>
        <w:rPr>
          <w:sz w:val="21"/>
          <w:szCs w:val="21"/>
        </w:rPr>
        <w:t xml:space="preserve">У 2024 році Рокстрьом та його колеги запропонували виокремити серед дев'яти меж дві «основні» (core boundaries) — зміну клімату та цілісність біосфери. Логіка полягає в тому, що ці дві межі мають системний, наскрізний вплив на решту процесів земної системи: порушення клімату чи біосфери підсилює ризики практично за всіма іншими напрямками, тоді як, наприклад, локальне забруднення пластиком не має такого масштабного каскадного ефекту. Це не применшує важливість решти семи меж, але допомагає визначити пріоритети для наукового моніторингу й політичних дій.</w:t>
      </w:r>
    </w:p>
    <w:p>
      <w:pPr>
        <w:pStyle w:val="Heading2"/>
        <w:spacing w:after="120" w:before="300"/>
      </w:pPr>
      <w:r>
        <w:rPr>
          <w:b/>
          <w:bCs/>
          <w:color w:val="224D83"/>
          <w:sz w:val="25"/>
          <w:szCs w:val="25"/>
        </w:rPr>
        <w:t xml:space="preserve">Приклад взаємозв'язку меж</w:t>
      </w:r>
    </w:p>
    <w:p>
      <w:pPr>
        <w:spacing w:after="160" w:line="300"/>
        <w:jc w:val="both"/>
      </w:pPr>
      <w:r>
        <w:rPr>
          <w:sz w:val="21"/>
          <w:szCs w:val="21"/>
        </w:rPr>
        <w:t xml:space="preserve">Жодна з дев'яти меж не існує ізольовано — усі вони тісно переплетені між собою. Показовий приклад — вирубка тропічного лісу. Цей процес одночасно:</w:t>
      </w:r>
    </w:p>
    <w:p>
      <w:pPr>
        <w:pStyle w:val="ListParagraph"/>
        <w:numPr>
          <w:ilvl w:val="0"/>
          <w:numId w:val="3"/>
        </w:numPr>
        <w:spacing w:after="90" w:line="290"/>
      </w:pPr>
      <w:r>
        <w:rPr>
          <w:sz w:val="21"/>
          <w:szCs w:val="21"/>
        </w:rPr>
        <w:t xml:space="preserve">зменшує випаровування вологи з крони дерев, що змінює регіональний режим опадів і впливає на межу прісної води;</w:t>
      </w:r>
    </w:p>
    <w:p>
      <w:pPr>
        <w:pStyle w:val="ListParagraph"/>
        <w:numPr>
          <w:ilvl w:val="0"/>
          <w:numId w:val="3"/>
        </w:numPr>
        <w:spacing w:after="90" w:line="290"/>
      </w:pPr>
      <w:r>
        <w:rPr>
          <w:sz w:val="21"/>
          <w:szCs w:val="21"/>
        </w:rPr>
        <w:t xml:space="preserve">вивільняє в атмосферу вуглець, накопичений у деревині та ґрунті, посилюючи парниковий ефект і межу зміни клімату;</w:t>
      </w:r>
    </w:p>
    <w:p>
      <w:pPr>
        <w:pStyle w:val="ListParagraph"/>
        <w:numPr>
          <w:ilvl w:val="0"/>
          <w:numId w:val="3"/>
        </w:numPr>
        <w:spacing w:after="90" w:line="290"/>
      </w:pPr>
      <w:r>
        <w:rPr>
          <w:sz w:val="21"/>
          <w:szCs w:val="21"/>
        </w:rPr>
        <w:t xml:space="preserve">фрагментує природні середовища проживання, прискорюючи втрату видів і порушуючи межу цілісності біосфери.</w:t>
      </w:r>
    </w:p>
    <w:p>
      <w:pPr>
        <w:spacing w:after="160" w:line="300"/>
        <w:jc w:val="both"/>
      </w:pPr>
      <w:r>
        <w:rPr>
          <w:sz w:val="21"/>
          <w:szCs w:val="21"/>
        </w:rPr>
        <w:t xml:space="preserve">Таким чином, одна господарська дія одночасно тисне на три різні планетарні межі — і саме така взаємопов'язаність робить кризу особливо складною для розв'язання: неможливо ефективно розв'язати одну проблему, ігноруючи решту.</w:t>
      </w:r>
    </w:p>
    <w:p>
      <w:pPr>
        <w:pStyle w:val="Heading2"/>
        <w:spacing w:after="120" w:before="300"/>
      </w:pPr>
      <w:r>
        <w:rPr>
          <w:b/>
          <w:bCs/>
          <w:color w:val="224D83"/>
          <w:sz w:val="25"/>
          <w:szCs w:val="25"/>
        </w:rPr>
        <w:t xml:space="preserve">Зв'язок з екологічним слідом і Цілями сталого розвитку</w:t>
      </w:r>
    </w:p>
    <w:p>
      <w:pPr>
        <w:spacing w:after="160" w:line="300"/>
        <w:jc w:val="both"/>
      </w:pPr>
      <w:r>
        <w:rPr>
          <w:sz w:val="21"/>
          <w:szCs w:val="21"/>
        </w:rPr>
        <w:t xml:space="preserve">Концепцію планетарних меж варто розглядати не окремо, а як частину ширшої картини, знайомої нам з попередніх лекцій. Планетарні межі визначають наукові ліміти системи Землі — тобто відповідають на запитання «скільки людство може безпечно брати від планети». Екологічний слід, у свою чергу, вимірює фактичний тиск людства на ці ліміти — відповідає на запитання «скільки людство фактично бере». А Цілі сталого розвитку ООН задають конкретні напрями дій, покликані утримати людську діяльність у межах можливостей планети. Ці три концепції утворюють цілісну аналітичну рамку: наука окреслює межі, слід вимірює наближення до них, а політика сталого розвитку пропонує шляхи повернення в безпечний простір.</w:t>
      </w:r>
    </w:p>
    <w:p>
      <w:pPr>
        <w:pStyle w:val="Heading2"/>
        <w:spacing w:after="120" w:before="300"/>
      </w:pPr>
      <w:r>
        <w:rPr>
          <w:b/>
          <w:bCs/>
          <w:color w:val="224D83"/>
          <w:sz w:val="25"/>
          <w:szCs w:val="25"/>
        </w:rPr>
        <w:t xml:space="preserve">Критика та обмеження концепції</w:t>
      </w:r>
    </w:p>
    <w:p>
      <w:pPr>
        <w:spacing w:after="160" w:line="300"/>
        <w:jc w:val="both"/>
      </w:pPr>
      <w:r>
        <w:rPr>
          <w:sz w:val="21"/>
          <w:szCs w:val="21"/>
        </w:rPr>
        <w:t xml:space="preserve">Попри широке наукове визнання, концепція планетарних меж має і критиків. По-перше, для деяких меж — зокрема нових сутностей — досі складно визначити єдиний кількісний поріг через величезну різноманітність хімічних речовин і брак довгострокових даних про їхній вплив. По-друге, глобальні середні показники неминуче приховують значні регіональні відмінності: країна може формально «вписуватися» у глобальну межу, тоді як окремі її регіони вже давно перебувають у кризовому стані (і навпаки). По-третє, серед дослідників розвитку триває дискусія щодо справедливого розподілу «залишкового простору» між країнами — чи мають країни, що історично найменше спричинили перетинання меж (здебільшого країни глобального Півдня), нести однакову відповідальність за їх відновлення, як і країни — найбільші забруднювачі. Нарешті, важливо пам'ятати: планетарна межа — це сигнал зростаючого ризику, а не жорсткий «дедлайн», після якого настає миттєва катастрофа. Це радше система раннього попередження, покликана скеровувати наукову й політичну увагу туди, де вона найбільш потрібна.</w:t>
      </w:r>
    </w:p>
    <w:p>
      <w:pPr>
        <w:pStyle w:val="Heading2"/>
        <w:spacing w:after="120" w:before="300"/>
      </w:pPr>
      <w:r>
        <w:rPr>
          <w:b/>
          <w:bCs/>
          <w:color w:val="224D83"/>
          <w:sz w:val="25"/>
          <w:szCs w:val="25"/>
        </w:rPr>
        <w:t xml:space="preserve">Висновки</w:t>
      </w:r>
    </w:p>
    <w:p>
      <w:pPr>
        <w:spacing w:after="160" w:line="300"/>
        <w:jc w:val="both"/>
      </w:pPr>
      <w:r>
        <w:rPr>
          <w:sz w:val="21"/>
          <w:szCs w:val="21"/>
        </w:rPr>
        <w:t xml:space="preserve">Концепція планетарних меж дає науково обґрунтовану систему координат для розуміння того, наскільки близько людство підійшло до дестабілізації ключових процесів, що підтримують життя на Землі у формі, звичній для цивілізації. Станом на 2025 рік сім із дев'яти меж перетнуто, а три з них — зміна клімату, біогеохімічні потоки та цілісність біосфери — перебувають у зоні високого ризику. Водночас дві межі, зокрема озоновий шар, демонструють, що за наявності політичної волі та міжнародної координації тренд можна розвернути. Розуміння взаємозв'язків між межами, а також зв'язку цієї концепції з екологічним слідом і Цілями сталого розвитку, дає цілісне бачення того, у яких межах може розвиватися людство, не ставлячи під загрозу стабільність планети для прийдешніх поколінь.</w:t>
      </w:r>
    </w:p>
    <w:p>
      <w:pPr>
        <w:pStyle w:val="Heading2"/>
        <w:spacing w:after="120" w:before="300"/>
      </w:pPr>
      <w:r>
        <w:rPr>
          <w:b/>
          <w:bCs/>
          <w:color w:val="224D83"/>
          <w:sz w:val="25"/>
          <w:szCs w:val="25"/>
        </w:rPr>
        <w:t xml:space="preserve">Питання для самоперевірки</w:t>
      </w:r>
    </w:p>
    <w:p>
      <w:pPr>
        <w:pStyle w:val="ListParagraph"/>
        <w:numPr>
          <w:ilvl w:val="0"/>
          <w:numId w:val="4"/>
        </w:numPr>
        <w:spacing w:after="100"/>
      </w:pPr>
      <w:r>
        <w:rPr>
          <w:sz w:val="21"/>
          <w:szCs w:val="21"/>
        </w:rPr>
        <w:t xml:space="preserve">Що таке планетарна межа і концепція «безпечного операційного простору»?</w:t>
      </w:r>
    </w:p>
    <w:p>
      <w:pPr>
        <w:pStyle w:val="ListParagraph"/>
        <w:numPr>
          <w:ilvl w:val="0"/>
          <w:numId w:val="4"/>
        </w:numPr>
        <w:spacing w:after="100"/>
      </w:pPr>
      <w:r>
        <w:rPr>
          <w:sz w:val="21"/>
          <w:szCs w:val="21"/>
        </w:rPr>
        <w:t xml:space="preserve">Скільки з 9 меж перетнуто станом на 2025 рік і які саме залишаються безпечними?</w:t>
      </w:r>
    </w:p>
    <w:p>
      <w:pPr>
        <w:pStyle w:val="ListParagraph"/>
        <w:numPr>
          <w:ilvl w:val="0"/>
          <w:numId w:val="4"/>
        </w:numPr>
        <w:spacing w:after="100"/>
      </w:pPr>
      <w:r>
        <w:rPr>
          <w:sz w:val="21"/>
          <w:szCs w:val="21"/>
        </w:rPr>
        <w:t xml:space="preserve">Які дві межі вважаються «основними» (core boundaries) і чому?</w:t>
      </w:r>
    </w:p>
    <w:p>
      <w:pPr>
        <w:pStyle w:val="ListParagraph"/>
        <w:numPr>
          <w:ilvl w:val="0"/>
          <w:numId w:val="4"/>
        </w:numPr>
        <w:spacing w:after="100"/>
      </w:pPr>
      <w:r>
        <w:rPr>
          <w:sz w:val="21"/>
          <w:szCs w:val="21"/>
        </w:rPr>
        <w:t xml:space="preserve">Наведіть приклад взаємозв'язку між різними планетарними межами.</w:t>
      </w:r>
    </w:p>
    <w:p>
      <w:pPr>
        <w:pStyle w:val="ListParagraph"/>
        <w:numPr>
          <w:ilvl w:val="0"/>
          <w:numId w:val="4"/>
        </w:numPr>
        <w:spacing w:after="100"/>
      </w:pPr>
      <w:r>
        <w:rPr>
          <w:sz w:val="21"/>
          <w:szCs w:val="21"/>
        </w:rPr>
        <w:t xml:space="preserve">У чому полягає основна критика концепції планетарних меж?</w:t>
      </w:r>
    </w:p>
    <w:p>
      <w:pPr>
        <w:pStyle w:val="Heading2"/>
        <w:spacing w:after="120" w:before="300"/>
      </w:pPr>
      <w:r>
        <w:rPr>
          <w:b/>
          <w:bCs/>
          <w:color w:val="224D83"/>
          <w:sz w:val="25"/>
          <w:szCs w:val="25"/>
        </w:rPr>
        <w:t xml:space="preserve">Рекомендована література</w:t>
      </w:r>
    </w:p>
    <w:p>
      <w:pPr>
        <w:pStyle w:val="ListParagraph"/>
        <w:numPr>
          <w:ilvl w:val="0"/>
          <w:numId w:val="3"/>
        </w:numPr>
        <w:spacing w:after="90" w:line="290"/>
      </w:pPr>
      <w:r>
        <w:rPr>
          <w:sz w:val="21"/>
          <w:szCs w:val="21"/>
        </w:rPr>
        <w:t xml:space="preserve">Rockström J. et al. A safe operating space for humanity. Nature, 2009.</w:t>
      </w:r>
    </w:p>
    <w:p>
      <w:pPr>
        <w:pStyle w:val="ListParagraph"/>
        <w:numPr>
          <w:ilvl w:val="0"/>
          <w:numId w:val="3"/>
        </w:numPr>
        <w:spacing w:after="90" w:line="290"/>
      </w:pPr>
      <w:r>
        <w:rPr>
          <w:sz w:val="21"/>
          <w:szCs w:val="21"/>
        </w:rPr>
        <w:t xml:space="preserve">Steffen W. et al. Planetary boundaries: Guiding human development on a changing planet. Science, 2015.</w:t>
      </w:r>
    </w:p>
    <w:p>
      <w:pPr>
        <w:pStyle w:val="ListParagraph"/>
        <w:numPr>
          <w:ilvl w:val="0"/>
          <w:numId w:val="3"/>
        </w:numPr>
        <w:spacing w:after="90" w:line="290"/>
      </w:pPr>
      <w:r>
        <w:rPr>
          <w:sz w:val="21"/>
          <w:szCs w:val="21"/>
        </w:rPr>
        <w:t xml:space="preserve">Richardson K. et al. Earth beyond six of nine planetary boundaries. Science Advances, 2023.</w:t>
      </w:r>
    </w:p>
    <w:p>
      <w:pPr>
        <w:pStyle w:val="ListParagraph"/>
        <w:numPr>
          <w:ilvl w:val="0"/>
          <w:numId w:val="3"/>
        </w:numPr>
        <w:spacing w:after="90" w:line="290"/>
      </w:pPr>
      <w:r>
        <w:rPr>
          <w:sz w:val="21"/>
          <w:szCs w:val="21"/>
        </w:rPr>
        <w:t xml:space="preserve">Planetary Health Check 2025. Potsdam Institute for Climate Impact Research.</w:t>
      </w:r>
    </w:p>
    <w:p>
      <w:pPr>
        <w:pStyle w:val="ListParagraph"/>
        <w:numPr>
          <w:ilvl w:val="0"/>
          <w:numId w:val="3"/>
        </w:numPr>
        <w:spacing w:after="90" w:line="290"/>
      </w:pPr>
      <w:r>
        <w:rPr>
          <w:sz w:val="21"/>
          <w:szCs w:val="21"/>
        </w:rPr>
        <w:t xml:space="preserve">stockholmresilience.org/planetary-boundaries</w:t>
      </w:r>
    </w:p>
    <w:p>
      <w:pPr>
        <w:pStyle w:val="ListParagraph"/>
        <w:numPr>
          <w:ilvl w:val="0"/>
          <w:numId w:val="3"/>
        </w:numPr>
        <w:spacing w:after="90" w:line="290"/>
      </w:pPr>
      <w:r>
        <w:rPr>
          <w:sz w:val="21"/>
          <w:szCs w:val="21"/>
        </w:rPr>
        <w:t xml:space="preserve">planetaryhealthcheck.org</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76" w:hanging="360"/>
      </w:pPr>
    </w:lvl>
  </w:abstractNum>
  <w:abstractNum w:abstractNumId="4" w15:restartNumberingAfterBreak="0">
    <w:multiLevelType w:val="hybridMultilevel"/>
    <w:lvl w:ilvl="0" w15:tentative="1">
      <w:start w:val="1"/>
      <w:numFmt w:val="decimal"/>
      <w:lvlText w:val="%1."/>
      <w:lvlJc w:val="left"/>
      <w:pPr>
        <w:ind w:left="576"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2026-09-21T21:42:46.513Z</dcterms:created>
  <dcterms:modified xsi:type="dcterms:W3CDTF">2026-09-21T21:42:46.522Z</dcterms:modified>
</cp:coreProperties>
</file>

<file path=docProps/custom.xml><?xml version="1.0" encoding="utf-8"?>
<Properties xmlns="http://schemas.openxmlformats.org/officeDocument/2006/custom-properties" xmlns:vt="http://schemas.openxmlformats.org/officeDocument/2006/docPropsVTypes"/>
</file>